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D178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D17877" w:rsidP="00D17877">
            <w:pPr>
              <w:jc w:val="right"/>
            </w:pPr>
            <w:r w:rsidRPr="00D17877">
              <w:rPr>
                <w:sz w:val="40"/>
              </w:rPr>
              <w:t>ECE</w:t>
            </w:r>
            <w:r>
              <w:t>/TRANS/WP.29/GRE/2018/49</w:t>
            </w:r>
          </w:p>
        </w:tc>
      </w:tr>
      <w:tr w:rsidR="002D5AAC" w:rsidRPr="00B2315D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D1787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D17877" w:rsidRDefault="00D17877" w:rsidP="00D1787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August 2018</w:t>
            </w:r>
          </w:p>
          <w:p w:rsidR="00D17877" w:rsidRDefault="00D17877" w:rsidP="00D1787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D17877" w:rsidRPr="008D53B6" w:rsidRDefault="00D17877" w:rsidP="00D1787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D17877" w:rsidRPr="00D17877" w:rsidRDefault="00D17877" w:rsidP="00D17877">
      <w:pPr>
        <w:pStyle w:val="SingleTxtGR"/>
        <w:spacing w:before="120"/>
        <w:ind w:left="0"/>
        <w:jc w:val="left"/>
        <w:rPr>
          <w:bCs/>
          <w:sz w:val="28"/>
          <w:szCs w:val="28"/>
        </w:rPr>
      </w:pPr>
      <w:r w:rsidRPr="00D17877">
        <w:rPr>
          <w:bCs/>
          <w:sz w:val="28"/>
          <w:szCs w:val="28"/>
        </w:rPr>
        <w:t>Комитет по внутреннему транспорту</w:t>
      </w:r>
    </w:p>
    <w:p w:rsidR="00D17877" w:rsidRPr="00D17877" w:rsidRDefault="00D17877" w:rsidP="00D17877">
      <w:pPr>
        <w:pStyle w:val="SingleTxtGR"/>
        <w:ind w:left="0"/>
        <w:jc w:val="left"/>
        <w:rPr>
          <w:b/>
          <w:bCs/>
          <w:sz w:val="24"/>
          <w:szCs w:val="24"/>
        </w:rPr>
      </w:pPr>
      <w:r w:rsidRPr="00D17877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D17877">
        <w:rPr>
          <w:b/>
          <w:bCs/>
          <w:sz w:val="24"/>
          <w:szCs w:val="24"/>
        </w:rPr>
        <w:t>в области транспортных средств</w:t>
      </w:r>
    </w:p>
    <w:p w:rsidR="00D17877" w:rsidRPr="00D17877" w:rsidRDefault="00D17877" w:rsidP="00D17877">
      <w:pPr>
        <w:pStyle w:val="SingleTxtGR"/>
        <w:spacing w:after="0"/>
        <w:ind w:left="0"/>
        <w:jc w:val="left"/>
        <w:rPr>
          <w:b/>
        </w:rPr>
      </w:pPr>
      <w:r w:rsidRPr="00D17877">
        <w:rPr>
          <w:b/>
          <w:bCs/>
        </w:rPr>
        <w:t xml:space="preserve">Рабочая группа по вопросам освещения </w:t>
      </w:r>
      <w:r>
        <w:rPr>
          <w:b/>
          <w:bCs/>
        </w:rPr>
        <w:br/>
      </w:r>
      <w:r w:rsidRPr="00D17877">
        <w:rPr>
          <w:b/>
          <w:bCs/>
        </w:rPr>
        <w:t>и световой сигнализации</w:t>
      </w:r>
    </w:p>
    <w:p w:rsidR="00D17877" w:rsidRPr="00D17877" w:rsidRDefault="00D17877" w:rsidP="00D17877">
      <w:pPr>
        <w:pStyle w:val="SingleTxtGR"/>
        <w:spacing w:before="120" w:after="0"/>
        <w:ind w:left="0"/>
        <w:jc w:val="left"/>
        <w:rPr>
          <w:b/>
          <w:bCs/>
        </w:rPr>
      </w:pPr>
      <w:r w:rsidRPr="00D17877">
        <w:rPr>
          <w:b/>
          <w:bCs/>
        </w:rPr>
        <w:t>Восьмидесятая сессия</w:t>
      </w:r>
    </w:p>
    <w:p w:rsidR="00D17877" w:rsidRPr="00D17877" w:rsidRDefault="00D17877" w:rsidP="00D17877">
      <w:pPr>
        <w:pStyle w:val="SingleTxtGR"/>
        <w:spacing w:after="0"/>
        <w:ind w:left="0"/>
        <w:jc w:val="left"/>
      </w:pPr>
      <w:r w:rsidRPr="00D17877">
        <w:t>Женева, 23</w:t>
      </w:r>
      <w:r>
        <w:t>–</w:t>
      </w:r>
      <w:r w:rsidRPr="00D17877">
        <w:t>26 октября 2018 года</w:t>
      </w:r>
    </w:p>
    <w:p w:rsidR="00D17877" w:rsidRPr="00D17877" w:rsidRDefault="00D17877" w:rsidP="00D17877">
      <w:pPr>
        <w:pStyle w:val="SingleTxtGR"/>
        <w:spacing w:after="0"/>
        <w:ind w:left="0"/>
        <w:jc w:val="left"/>
        <w:rPr>
          <w:bCs/>
        </w:rPr>
      </w:pPr>
      <w:r w:rsidRPr="00D17877">
        <w:rPr>
          <w:bCs/>
        </w:rPr>
        <w:t>Пункт 5 предварительной повестки дня</w:t>
      </w:r>
    </w:p>
    <w:p w:rsidR="00D17877" w:rsidRPr="00D17877" w:rsidRDefault="00D17877" w:rsidP="00D17877">
      <w:pPr>
        <w:pStyle w:val="SingleTxtGR"/>
        <w:spacing w:after="0"/>
        <w:ind w:left="0"/>
        <w:jc w:val="left"/>
        <w:rPr>
          <w:b/>
          <w:bCs/>
        </w:rPr>
      </w:pPr>
      <w:r w:rsidRPr="00D17877">
        <w:rPr>
          <w:b/>
          <w:bCs/>
        </w:rPr>
        <w:t xml:space="preserve">Правила № 37 ООН (лампы накаливания), </w:t>
      </w:r>
      <w:r>
        <w:rPr>
          <w:b/>
          <w:bCs/>
        </w:rPr>
        <w:br/>
      </w:r>
      <w:r w:rsidRPr="00D17877">
        <w:rPr>
          <w:b/>
          <w:bCs/>
        </w:rPr>
        <w:t>Правила № 99 ООН (газоразрядные источники света),</w:t>
      </w:r>
      <w:r>
        <w:rPr>
          <w:b/>
          <w:bCs/>
        </w:rPr>
        <w:br/>
      </w:r>
      <w:r w:rsidRPr="00D17877">
        <w:rPr>
          <w:b/>
        </w:rPr>
        <w:t xml:space="preserve">Правила № 128 ООН (источники света на СИД) </w:t>
      </w:r>
      <w:r>
        <w:rPr>
          <w:b/>
        </w:rPr>
        <w:br/>
      </w:r>
      <w:r w:rsidRPr="00D17877">
        <w:rPr>
          <w:b/>
        </w:rPr>
        <w:t>и</w:t>
      </w:r>
      <w:r>
        <w:t> </w:t>
      </w:r>
      <w:r w:rsidRPr="00D17877">
        <w:rPr>
          <w:b/>
        </w:rPr>
        <w:t>Сводная резолюция по общей спецификации</w:t>
      </w:r>
      <w:r>
        <w:t xml:space="preserve"> </w:t>
      </w:r>
      <w:r>
        <w:br/>
      </w:r>
      <w:r w:rsidRPr="00D17877">
        <w:rPr>
          <w:b/>
          <w:bCs/>
        </w:rPr>
        <w:t>для</w:t>
      </w:r>
      <w:r>
        <w:rPr>
          <w:bCs/>
        </w:rPr>
        <w:t> </w:t>
      </w:r>
      <w:r w:rsidRPr="00D17877">
        <w:rPr>
          <w:b/>
          <w:bCs/>
        </w:rPr>
        <w:t>категорий источников света</w:t>
      </w:r>
    </w:p>
    <w:p w:rsidR="00D17877" w:rsidRPr="00D17877" w:rsidRDefault="00D17877" w:rsidP="00D17877">
      <w:pPr>
        <w:pStyle w:val="HChGR"/>
      </w:pPr>
      <w:r w:rsidRPr="00D17877">
        <w:tab/>
      </w:r>
      <w:r w:rsidRPr="00D17877">
        <w:tab/>
        <w:t xml:space="preserve">Предложение по дополнению [8] к первоначальному варианту Правил № 128 </w:t>
      </w:r>
      <w:r w:rsidR="00DA0FC4">
        <w:t xml:space="preserve">ООН </w:t>
      </w:r>
      <w:r w:rsidRPr="00D17877">
        <w:t>(источники света на</w:t>
      </w:r>
      <w:r>
        <w:t> </w:t>
      </w:r>
      <w:r w:rsidRPr="00D17877">
        <w:t xml:space="preserve">светоизлучающих диодах) </w:t>
      </w:r>
    </w:p>
    <w:p w:rsidR="00D17877" w:rsidRPr="00D17877" w:rsidRDefault="00D17877" w:rsidP="00D17877">
      <w:pPr>
        <w:pStyle w:val="H1GR"/>
        <w:rPr>
          <w:b w:val="0"/>
          <w:sz w:val="20"/>
        </w:rPr>
      </w:pPr>
      <w:r>
        <w:tab/>
      </w:r>
      <w:r>
        <w:tab/>
      </w:r>
      <w:r w:rsidRPr="00D17877">
        <w:t>Представлено экспертом от Международной группы экспертов по</w:t>
      </w:r>
      <w:r>
        <w:t> </w:t>
      </w:r>
      <w:r w:rsidRPr="00D17877">
        <w:t xml:space="preserve">вопросам автомобильного освещения и световой </w:t>
      </w:r>
      <w:r w:rsidR="00DA0FC4">
        <w:br/>
      </w:r>
      <w:r w:rsidRPr="00D17877">
        <w:t>сигнализации (БРГ)</w:t>
      </w:r>
      <w:r w:rsidRPr="00D17877">
        <w:rPr>
          <w:b w:val="0"/>
          <w:sz w:val="20"/>
        </w:rPr>
        <w:footnoteReference w:customMarkFollows="1" w:id="1"/>
        <w:t>*</w:t>
      </w:r>
    </w:p>
    <w:p w:rsidR="00D17877" w:rsidRPr="00D17877" w:rsidRDefault="00D17877" w:rsidP="00D17877">
      <w:pPr>
        <w:pStyle w:val="SingleTxtGR"/>
      </w:pPr>
      <w:r>
        <w:tab/>
      </w:r>
      <w:r w:rsidRPr="00D17877">
        <w:t>Воспроизведенный ниже текст был подготовлен экспертом от БРГ для внесения поправок в предписания, касающиеся источников света на светоизлучающих диодах (СИД). Предусмотрена соответствующая поправка к Сводной резолюции по общей спецификации для категорий источников света</w:t>
      </w:r>
      <w:r w:rsidRPr="00D17877">
        <w:rPr>
          <w:b/>
          <w:bCs/>
        </w:rPr>
        <w:t xml:space="preserve"> </w:t>
      </w:r>
      <w:r w:rsidRPr="00D17877">
        <w:t>(</w:t>
      </w:r>
      <w:r w:rsidRPr="00D17877">
        <w:rPr>
          <w:lang w:val="en-GB"/>
        </w:rPr>
        <w:t>R</w:t>
      </w:r>
      <w:r w:rsidRPr="00D17877">
        <w:t>.</w:t>
      </w:r>
      <w:r w:rsidRPr="00D17877">
        <w:rPr>
          <w:lang w:val="en-GB"/>
        </w:rPr>
        <w:t>E</w:t>
      </w:r>
      <w:r w:rsidRPr="00D17877">
        <w:t>.5) (</w:t>
      </w:r>
      <w:bookmarkStart w:id="1" w:name="OLE_LINK1"/>
      <w:r w:rsidRPr="00D17877">
        <w:rPr>
          <w:lang w:val="en-GB"/>
        </w:rPr>
        <w:t>ECE</w:t>
      </w:r>
      <w:r w:rsidRPr="00D17877">
        <w:t>/</w:t>
      </w:r>
      <w:r w:rsidRPr="00D17877">
        <w:rPr>
          <w:lang w:val="en-GB"/>
        </w:rPr>
        <w:t>TRANS</w:t>
      </w:r>
      <w:r w:rsidRPr="00D17877">
        <w:t>/</w:t>
      </w:r>
      <w:r w:rsidRPr="00D17877">
        <w:rPr>
          <w:lang w:val="en-GB"/>
        </w:rPr>
        <w:t>WP</w:t>
      </w:r>
      <w:r w:rsidRPr="00D17877">
        <w:t>.29/</w:t>
      </w:r>
      <w:r>
        <w:t xml:space="preserve"> </w:t>
      </w:r>
      <w:r w:rsidRPr="00D17877">
        <w:rPr>
          <w:lang w:val="en-GB"/>
        </w:rPr>
        <w:t>GRE</w:t>
      </w:r>
      <w:r w:rsidRPr="00D17877">
        <w:t>/2018/48</w:t>
      </w:r>
      <w:bookmarkEnd w:id="1"/>
      <w:r w:rsidRPr="00D17877">
        <w:t xml:space="preserve">). </w:t>
      </w:r>
      <w:bookmarkStart w:id="2" w:name="OLE_LINK9"/>
      <w:bookmarkStart w:id="3" w:name="OLE_LINK10"/>
      <w:r w:rsidRPr="00D17877">
        <w:t>Изменения к существующему тексту правил ООН выделены жирным шрифтом в случае новых положений или зачеркиванием в случае исключенных элементов.</w:t>
      </w:r>
    </w:p>
    <w:bookmarkEnd w:id="2"/>
    <w:bookmarkEnd w:id="3"/>
    <w:p w:rsidR="00D17877" w:rsidRPr="00D17877" w:rsidRDefault="00D17877" w:rsidP="00D17877">
      <w:pPr>
        <w:pStyle w:val="HChGR"/>
      </w:pPr>
      <w:r w:rsidRPr="00D17877">
        <w:lastRenderedPageBreak/>
        <w:tab/>
      </w:r>
      <w:r w:rsidRPr="00D17877">
        <w:rPr>
          <w:lang w:val="en-GB"/>
        </w:rPr>
        <w:t>I</w:t>
      </w:r>
      <w:r w:rsidRPr="00D17877">
        <w:t>.</w:t>
      </w:r>
      <w:r w:rsidRPr="00D17877">
        <w:tab/>
        <w:t>Предложение</w:t>
      </w:r>
    </w:p>
    <w:p w:rsidR="00D17877" w:rsidRPr="00D17877" w:rsidRDefault="00D17877" w:rsidP="00D17877">
      <w:pPr>
        <w:pStyle w:val="SingleTxtGR"/>
        <w:rPr>
          <w:bCs/>
        </w:rPr>
      </w:pPr>
      <w:r w:rsidRPr="00D17877">
        <w:rPr>
          <w:bCs/>
          <w:i/>
        </w:rPr>
        <w:t>Приложение 4, пункт 1.2</w:t>
      </w:r>
      <w:r w:rsidRPr="00D17877">
        <w:rPr>
          <w:bCs/>
        </w:rPr>
        <w:t xml:space="preserve"> изменить следующим образом:</w:t>
      </w:r>
    </w:p>
    <w:p w:rsidR="00D17877" w:rsidRPr="00D17877" w:rsidRDefault="00D17877" w:rsidP="00D17877">
      <w:pPr>
        <w:pStyle w:val="SingleTxtGR"/>
        <w:tabs>
          <w:tab w:val="clear" w:pos="1701"/>
        </w:tabs>
      </w:pPr>
      <w:r>
        <w:rPr>
          <w:bCs/>
        </w:rPr>
        <w:t>«</w:t>
      </w:r>
      <w:r w:rsidRPr="00D17877">
        <w:rPr>
          <w:bCs/>
        </w:rPr>
        <w:t>1.2</w:t>
      </w:r>
      <w:r w:rsidRPr="00D17877">
        <w:rPr>
          <w:bCs/>
        </w:rPr>
        <w:tab/>
      </w:r>
      <w:r w:rsidRPr="00D17877">
        <w:t xml:space="preserve">Значения светового потока, измеренные по прошествии </w:t>
      </w:r>
    </w:p>
    <w:p w:rsidR="00D17877" w:rsidRPr="00D17877" w:rsidRDefault="00D17877" w:rsidP="00D17877">
      <w:pPr>
        <w:pStyle w:val="SingleTxtGR"/>
        <w:ind w:left="2268"/>
      </w:pPr>
      <w:r w:rsidRPr="00D17877">
        <w:t>a)</w:t>
      </w:r>
      <w:r w:rsidRPr="00D17877">
        <w:tab/>
        <w:t>30 минут</w:t>
      </w:r>
      <w:r w:rsidR="00830A94">
        <w:t>,</w:t>
      </w:r>
      <w:r w:rsidRPr="00D17877">
        <w:t xml:space="preserve"> или</w:t>
      </w:r>
    </w:p>
    <w:p w:rsidR="00830A94" w:rsidRDefault="00D17877" w:rsidP="00D17877">
      <w:pPr>
        <w:pStyle w:val="SingleTxtGR"/>
        <w:ind w:left="2835" w:hanging="567"/>
      </w:pPr>
      <w:r w:rsidRPr="00D17877">
        <w:t>b)</w:t>
      </w:r>
      <w:r w:rsidRPr="00D17877">
        <w:tab/>
        <w:t>после стабилизации температуры T</w:t>
      </w:r>
      <w:r w:rsidRPr="00D17877">
        <w:rPr>
          <w:vertAlign w:val="subscript"/>
        </w:rPr>
        <w:t>b</w:t>
      </w:r>
      <w:r w:rsidRPr="00D17877">
        <w:t>,</w:t>
      </w:r>
      <w:r>
        <w:t xml:space="preserve"> </w:t>
      </w:r>
    </w:p>
    <w:p w:rsidR="00D17877" w:rsidRPr="00D17877" w:rsidRDefault="00830A94" w:rsidP="00830A94">
      <w:pPr>
        <w:pStyle w:val="SingleTxtGR"/>
        <w:ind w:left="2268" w:hanging="567"/>
        <w:rPr>
          <w:bCs/>
        </w:rPr>
      </w:pPr>
      <w:r>
        <w:tab/>
      </w:r>
      <w:r>
        <w:tab/>
      </w:r>
      <w:r w:rsidR="00D17877" w:rsidRPr="00D17877">
        <w:t>должны соответствовать минимальным и максимальным предписанным значениям.</w:t>
      </w:r>
    </w:p>
    <w:p w:rsidR="00D17877" w:rsidRPr="00D17877" w:rsidRDefault="00D17877" w:rsidP="00D17877">
      <w:pPr>
        <w:pStyle w:val="SingleTxtGR"/>
        <w:ind w:left="2268"/>
        <w:rPr>
          <w:bCs/>
        </w:rPr>
      </w:pPr>
      <w:r w:rsidRPr="00D17877">
        <w:rPr>
          <w:bCs/>
        </w:rPr>
        <w:t xml:space="preserve">Кроме того, в случае </w:t>
      </w:r>
      <w:r w:rsidRPr="00D17877">
        <w:rPr>
          <w:bCs/>
          <w:lang w:val="en-GB"/>
        </w:rPr>
        <w:t>a</w:t>
      </w:r>
      <w:r w:rsidRPr="00D17877">
        <w:rPr>
          <w:bCs/>
        </w:rPr>
        <w:t xml:space="preserve">), если в спецификации не указано иное, </w:t>
      </w:r>
    </w:p>
    <w:p w:rsidR="00D17877" w:rsidRPr="00D17877" w:rsidRDefault="00D17877" w:rsidP="00D17877">
      <w:pPr>
        <w:pStyle w:val="SingleTxtGR"/>
        <w:numPr>
          <w:ilvl w:val="0"/>
          <w:numId w:val="22"/>
        </w:numPr>
        <w:rPr>
          <w:b/>
          <w:bCs/>
        </w:rPr>
      </w:pPr>
      <w:r w:rsidRPr="00D17877">
        <w:rPr>
          <w:b/>
          <w:bCs/>
        </w:rPr>
        <w:t xml:space="preserve">либо </w:t>
      </w:r>
      <w:r w:rsidRPr="00D17877">
        <w:rPr>
          <w:strike/>
        </w:rPr>
        <w:t>это</w:t>
      </w:r>
      <w:r w:rsidRPr="00D17877">
        <w:rPr>
          <w:b/>
          <w:bCs/>
        </w:rPr>
        <w:t xml:space="preserve"> </w:t>
      </w:r>
      <w:r w:rsidRPr="00D17877">
        <w:t>значение</w:t>
      </w:r>
      <w:r w:rsidRPr="00D17877">
        <w:rPr>
          <w:b/>
          <w:bCs/>
        </w:rPr>
        <w:t xml:space="preserve"> светового потока, измеренное через 30 минут, </w:t>
      </w:r>
      <w:r w:rsidRPr="00D17877">
        <w:t xml:space="preserve">должно находиться в пределах от 100% до 80% значения </w:t>
      </w:r>
      <w:r w:rsidRPr="00D17877">
        <w:rPr>
          <w:b/>
          <w:bCs/>
        </w:rPr>
        <w:t>светового потока</w:t>
      </w:r>
      <w:r w:rsidRPr="00D17877">
        <w:t>, измеренного по прошествии 1 минуты</w:t>
      </w:r>
      <w:r w:rsidRPr="00D17877">
        <w:rPr>
          <w:b/>
          <w:bCs/>
        </w:rPr>
        <w:t xml:space="preserve">, </w:t>
      </w:r>
    </w:p>
    <w:p w:rsidR="00D17877" w:rsidRPr="00D17877" w:rsidRDefault="00D17877" w:rsidP="00D17877">
      <w:pPr>
        <w:pStyle w:val="SingleTxtGR"/>
        <w:numPr>
          <w:ilvl w:val="0"/>
          <w:numId w:val="22"/>
        </w:numPr>
        <w:rPr>
          <w:b/>
          <w:bCs/>
        </w:rPr>
      </w:pPr>
      <w:r w:rsidRPr="00D17877">
        <w:rPr>
          <w:b/>
          <w:bCs/>
        </w:rPr>
        <w:t>либо значение светового потока, измеренное через 1 минуту, должно соответствовать минимальным и максимальным значениям и, кроме того, значение светового потока, измеренное через 30 минут, не до</w:t>
      </w:r>
      <w:r w:rsidR="00830A94">
        <w:rPr>
          <w:b/>
          <w:bCs/>
        </w:rPr>
        <w:t>лжно отклоняться более чем на ±</w:t>
      </w:r>
      <w:r w:rsidRPr="00D17877">
        <w:rPr>
          <w:b/>
          <w:bCs/>
        </w:rPr>
        <w:t>20% от значения светового потока, измеренного через 1 минуту.</w:t>
      </w:r>
      <w:r>
        <w:t>»</w:t>
      </w:r>
    </w:p>
    <w:p w:rsidR="00D17877" w:rsidRPr="00D17877" w:rsidRDefault="00D17877" w:rsidP="00D17877">
      <w:pPr>
        <w:pStyle w:val="HChGR"/>
      </w:pPr>
      <w:r w:rsidRPr="00D17877">
        <w:tab/>
      </w:r>
      <w:r w:rsidRPr="00D17877">
        <w:rPr>
          <w:lang w:val="en-GB"/>
        </w:rPr>
        <w:t>II</w:t>
      </w:r>
      <w:r w:rsidRPr="00D17877">
        <w:t>.</w:t>
      </w:r>
      <w:r w:rsidRPr="00D17877">
        <w:tab/>
        <w:t>Обоснование</w:t>
      </w:r>
    </w:p>
    <w:p w:rsidR="00D17877" w:rsidRPr="00D17877" w:rsidRDefault="00D17877" w:rsidP="00D17877">
      <w:pPr>
        <w:pStyle w:val="SingleTxtGR"/>
        <w:rPr>
          <w:bCs/>
        </w:rPr>
      </w:pPr>
      <w:r w:rsidRPr="00D17877">
        <w:rPr>
          <w:bCs/>
        </w:rPr>
        <w:t>1.</w:t>
      </w:r>
      <w:r w:rsidRPr="00D17877">
        <w:rPr>
          <w:bCs/>
        </w:rPr>
        <w:tab/>
        <w:t>Нынешний текст пункта 1.2 приложения 4 к Правилам № 128 ООН допускает лишь снижение силы светового потока в период от 1 минуты до 30 минут. На практике это требование к конструкции оказалось излишне ограничительным, так как электронные схемы формирования сигналов в стабилизированном источнике света позволяют несколько повышать силу светового потока в период от 1 минуты до 30</w:t>
      </w:r>
      <w:r>
        <w:rPr>
          <w:bCs/>
        </w:rPr>
        <w:t> </w:t>
      </w:r>
      <w:r w:rsidRPr="00D17877">
        <w:rPr>
          <w:bCs/>
        </w:rPr>
        <w:t>минут.</w:t>
      </w:r>
    </w:p>
    <w:p w:rsidR="00D17877" w:rsidRPr="00D17877" w:rsidRDefault="00D17877" w:rsidP="00D17877">
      <w:pPr>
        <w:pStyle w:val="SingleTxtGR"/>
        <w:rPr>
          <w:bCs/>
        </w:rPr>
      </w:pPr>
      <w:r w:rsidRPr="00D17877">
        <w:rPr>
          <w:bCs/>
        </w:rPr>
        <w:t>2.</w:t>
      </w:r>
      <w:r w:rsidRPr="00D17877">
        <w:rPr>
          <w:bCs/>
        </w:rPr>
        <w:tab/>
        <w:t>Предлагается допустить также ограниченное усиление светового потока в период от 1 минуты до 30 минут в рамках заданных минимального и максимального значений без негативного воздействия на фотометрические характеристики огней (безопасность дорожного движения). Примерные параметры светового потока в источнике света в рамках нового предложения проиллюстрированы на рис.1.</w:t>
      </w:r>
    </w:p>
    <w:p w:rsidR="00D17877" w:rsidRPr="00D17877" w:rsidRDefault="00D17877" w:rsidP="00D17877">
      <w:pPr>
        <w:pStyle w:val="SingleTxtGR"/>
        <w:rPr>
          <w:bCs/>
        </w:rPr>
      </w:pPr>
      <w:r w:rsidRPr="00D17877">
        <w:rPr>
          <w:bCs/>
        </w:rPr>
        <w:t>3.</w:t>
      </w:r>
      <w:r w:rsidRPr="00D17877">
        <w:rPr>
          <w:bCs/>
        </w:rPr>
        <w:tab/>
        <w:t xml:space="preserve">Чтобы допустить это ограниченное усиление светового потока, в уже существующую формулировку было включено новое положение </w:t>
      </w:r>
      <w:r w:rsidRPr="00D17877">
        <w:rPr>
          <w:bCs/>
          <w:lang w:val="en-GB"/>
        </w:rPr>
        <w:t>ii</w:t>
      </w:r>
      <w:r w:rsidRPr="00D17877">
        <w:rPr>
          <w:bCs/>
        </w:rPr>
        <w:t xml:space="preserve">). Прежняя формулировка была сохранена в качестве положения </w:t>
      </w:r>
      <w:r w:rsidRPr="00D17877">
        <w:rPr>
          <w:bCs/>
          <w:lang w:val="en-GB"/>
        </w:rPr>
        <w:t>i</w:t>
      </w:r>
      <w:r w:rsidRPr="00D17877">
        <w:rPr>
          <w:bCs/>
        </w:rPr>
        <w:t>) с некоторым усовершенствованием ее текста. Полное изменение редакции раздела</w:t>
      </w:r>
      <w:r w:rsidR="00FF5B16">
        <w:rPr>
          <w:bCs/>
        </w:rPr>
        <w:t> </w:t>
      </w:r>
      <w:r w:rsidRPr="00D17877">
        <w:rPr>
          <w:bCs/>
        </w:rPr>
        <w:t>1.2 приложения</w:t>
      </w:r>
      <w:r w:rsidR="00FF5B16">
        <w:rPr>
          <w:bCs/>
        </w:rPr>
        <w:t> </w:t>
      </w:r>
      <w:r w:rsidRPr="00D17877">
        <w:rPr>
          <w:bCs/>
        </w:rPr>
        <w:t>4 позволило бы повысить удобочитаемость текста и могло бы рассматриваться в качестве деятельности в рамках этапа 2 процесса упрощения.</w:t>
      </w:r>
    </w:p>
    <w:p w:rsidR="00D17877" w:rsidRDefault="00D17877" w:rsidP="00D17877">
      <w:pPr>
        <w:pStyle w:val="SingleTxtGR"/>
        <w:rPr>
          <w:bCs/>
        </w:rPr>
      </w:pPr>
      <w:r w:rsidRPr="00D17877">
        <w:rPr>
          <w:bCs/>
        </w:rPr>
        <w:t>4.</w:t>
      </w:r>
      <w:r w:rsidRPr="00D17877">
        <w:rPr>
          <w:bCs/>
        </w:rPr>
        <w:tab/>
        <w:t>Следствием настоящего предложения является связанное с ним предложение (</w:t>
      </w:r>
      <w:r w:rsidRPr="00D17877">
        <w:rPr>
          <w:bCs/>
          <w:lang w:val="en-GB"/>
        </w:rPr>
        <w:t>ECE</w:t>
      </w:r>
      <w:r w:rsidRPr="00D17877">
        <w:rPr>
          <w:bCs/>
        </w:rPr>
        <w:t>/</w:t>
      </w:r>
      <w:r w:rsidRPr="00D17877">
        <w:rPr>
          <w:bCs/>
          <w:lang w:val="en-GB"/>
        </w:rPr>
        <w:t>TRANS</w:t>
      </w:r>
      <w:r w:rsidRPr="00D17877">
        <w:rPr>
          <w:bCs/>
        </w:rPr>
        <w:t>/</w:t>
      </w:r>
      <w:r w:rsidRPr="00D17877">
        <w:rPr>
          <w:bCs/>
          <w:lang w:val="en-GB"/>
        </w:rPr>
        <w:t>WP</w:t>
      </w:r>
      <w:r w:rsidRPr="00D17877">
        <w:rPr>
          <w:bCs/>
        </w:rPr>
        <w:t>.29/</w:t>
      </w:r>
      <w:r w:rsidRPr="00D17877">
        <w:rPr>
          <w:bCs/>
          <w:lang w:val="en-GB"/>
        </w:rPr>
        <w:t>GRE</w:t>
      </w:r>
      <w:r w:rsidRPr="00D17877">
        <w:rPr>
          <w:bCs/>
        </w:rPr>
        <w:t xml:space="preserve">/2018/48) по спецификации для категории </w:t>
      </w:r>
      <w:r w:rsidRPr="00D17877">
        <w:rPr>
          <w:bCs/>
          <w:lang w:val="en-GB"/>
        </w:rPr>
        <w:t>LR</w:t>
      </w:r>
      <w:r w:rsidRPr="00D17877">
        <w:rPr>
          <w:bCs/>
        </w:rPr>
        <w:t xml:space="preserve">4 в рамках </w:t>
      </w:r>
      <w:r w:rsidRPr="00D17877">
        <w:t xml:space="preserve">Сводной резолюции по общей спецификации для категорий источников света </w:t>
      </w:r>
      <w:r w:rsidRPr="00D17877">
        <w:rPr>
          <w:bCs/>
        </w:rPr>
        <w:t>(СР.5).</w:t>
      </w:r>
    </w:p>
    <w:p w:rsidR="00E12C5F" w:rsidRPr="008D53B6" w:rsidRDefault="00D17877" w:rsidP="00D17877">
      <w:pPr>
        <w:pStyle w:val="SingleTxtGR"/>
        <w:spacing w:before="240" w:after="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8D53B6" w:rsidSect="00D17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D7" w:rsidRPr="00A312BC" w:rsidRDefault="00CA41D7" w:rsidP="00A312BC"/>
  </w:endnote>
  <w:endnote w:type="continuationSeparator" w:id="0">
    <w:p w:rsidR="00CA41D7" w:rsidRPr="00A312BC" w:rsidRDefault="00CA41D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77" w:rsidRPr="00D17877" w:rsidRDefault="00D17877">
    <w:pPr>
      <w:pStyle w:val="Footer"/>
    </w:pPr>
    <w:r w:rsidRPr="00D17877">
      <w:rPr>
        <w:b/>
        <w:sz w:val="18"/>
      </w:rPr>
      <w:fldChar w:fldCharType="begin"/>
    </w:r>
    <w:r w:rsidRPr="00D17877">
      <w:rPr>
        <w:b/>
        <w:sz w:val="18"/>
      </w:rPr>
      <w:instrText xml:space="preserve"> PAGE  \* MERGEFORMAT </w:instrText>
    </w:r>
    <w:r w:rsidRPr="00D17877">
      <w:rPr>
        <w:b/>
        <w:sz w:val="18"/>
      </w:rPr>
      <w:fldChar w:fldCharType="separate"/>
    </w:r>
    <w:r w:rsidR="00B2315D">
      <w:rPr>
        <w:b/>
        <w:noProof/>
        <w:sz w:val="18"/>
      </w:rPr>
      <w:t>2</w:t>
    </w:r>
    <w:r w:rsidRPr="00D17877">
      <w:rPr>
        <w:b/>
        <w:sz w:val="18"/>
      </w:rPr>
      <w:fldChar w:fldCharType="end"/>
    </w:r>
    <w:r>
      <w:rPr>
        <w:b/>
        <w:sz w:val="18"/>
      </w:rPr>
      <w:tab/>
    </w:r>
    <w:r>
      <w:t>GE.18-13193</w:t>
    </w:r>
  </w:p>
  <w:p w:rsidR="005B456D" w:rsidRDefault="005B45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77" w:rsidRPr="00D17877" w:rsidRDefault="00D17877" w:rsidP="00D17877">
    <w:pPr>
      <w:pStyle w:val="Footer"/>
      <w:tabs>
        <w:tab w:val="clear" w:pos="9639"/>
        <w:tab w:val="right" w:pos="9638"/>
      </w:tabs>
      <w:rPr>
        <w:b/>
        <w:sz w:val="18"/>
      </w:rPr>
    </w:pPr>
    <w:r>
      <w:t>GE.18-13193</w:t>
    </w:r>
    <w:r>
      <w:tab/>
    </w:r>
    <w:r w:rsidRPr="00D17877">
      <w:rPr>
        <w:b/>
        <w:sz w:val="18"/>
      </w:rPr>
      <w:fldChar w:fldCharType="begin"/>
    </w:r>
    <w:r w:rsidRPr="00D17877">
      <w:rPr>
        <w:b/>
        <w:sz w:val="18"/>
      </w:rPr>
      <w:instrText xml:space="preserve"> PAGE  \* MERGEFORMAT </w:instrText>
    </w:r>
    <w:r w:rsidRPr="00D17877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D17877">
      <w:rPr>
        <w:b/>
        <w:sz w:val="18"/>
      </w:rPr>
      <w:fldChar w:fldCharType="end"/>
    </w:r>
  </w:p>
  <w:p w:rsidR="005B456D" w:rsidRDefault="005B45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D17877" w:rsidRDefault="00D17877" w:rsidP="00D17877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18-13193  (R)</w:t>
    </w:r>
    <w:r>
      <w:rPr>
        <w:lang w:val="en-US"/>
      </w:rPr>
      <w:t xml:space="preserve">  140818  140818</w:t>
    </w:r>
    <w:r>
      <w:br/>
    </w:r>
    <w:r w:rsidRPr="00D17877">
      <w:rPr>
        <w:rFonts w:ascii="C39T30Lfz" w:hAnsi="C39T30Lfz"/>
        <w:kern w:val="14"/>
        <w:sz w:val="56"/>
      </w:rPr>
      <w:t></w:t>
    </w:r>
    <w:r w:rsidRPr="00D17877">
      <w:rPr>
        <w:rFonts w:ascii="C39T30Lfz" w:hAnsi="C39T30Lfz"/>
        <w:kern w:val="14"/>
        <w:sz w:val="56"/>
      </w:rPr>
      <w:t></w:t>
    </w:r>
    <w:r w:rsidRPr="00D17877">
      <w:rPr>
        <w:rFonts w:ascii="C39T30Lfz" w:hAnsi="C39T30Lfz"/>
        <w:kern w:val="14"/>
        <w:sz w:val="56"/>
      </w:rPr>
      <w:t></w:t>
    </w:r>
    <w:r w:rsidRPr="00D17877">
      <w:rPr>
        <w:rFonts w:ascii="C39T30Lfz" w:hAnsi="C39T30Lfz"/>
        <w:kern w:val="14"/>
        <w:sz w:val="56"/>
      </w:rPr>
      <w:t></w:t>
    </w:r>
    <w:r w:rsidRPr="00D17877">
      <w:rPr>
        <w:rFonts w:ascii="C39T30Lfz" w:hAnsi="C39T30Lfz"/>
        <w:kern w:val="14"/>
        <w:sz w:val="56"/>
      </w:rPr>
      <w:t></w:t>
    </w:r>
    <w:r w:rsidRPr="00D17877">
      <w:rPr>
        <w:rFonts w:ascii="C39T30Lfz" w:hAnsi="C39T30Lfz"/>
        <w:kern w:val="14"/>
        <w:sz w:val="56"/>
      </w:rPr>
      <w:t></w:t>
    </w:r>
    <w:r w:rsidRPr="00D17877">
      <w:rPr>
        <w:rFonts w:ascii="C39T30Lfz" w:hAnsi="C39T30Lfz"/>
        <w:kern w:val="14"/>
        <w:sz w:val="56"/>
      </w:rPr>
      <w:t></w:t>
    </w:r>
    <w:r w:rsidRPr="00D17877">
      <w:rPr>
        <w:rFonts w:ascii="C39T30Lfz" w:hAnsi="C39T30Lfz"/>
        <w:kern w:val="14"/>
        <w:sz w:val="56"/>
      </w:rPr>
      <w:t></w:t>
    </w:r>
    <w:r w:rsidRPr="00D17877">
      <w:rPr>
        <w:rFonts w:ascii="C39T30Lfz" w:hAnsi="C39T30Lfz"/>
        <w:kern w:val="14"/>
        <w:sz w:val="56"/>
      </w:rPr>
      <w:t></w: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E/2018/49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49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D7" w:rsidRPr="001075E9" w:rsidRDefault="00CA41D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A41D7" w:rsidRDefault="00CA41D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D17877" w:rsidRPr="00214207" w:rsidRDefault="00D17877" w:rsidP="00D17877">
      <w:pPr>
        <w:pStyle w:val="FootnoteText"/>
        <w:spacing w:after="240"/>
      </w:pPr>
      <w:r>
        <w:tab/>
      </w:r>
      <w:r w:rsidRPr="00D17877">
        <w:rPr>
          <w:sz w:val="20"/>
        </w:rPr>
        <w:t>*</w:t>
      </w:r>
      <w:r>
        <w:tab/>
        <w:t xml:space="preserve">В соответствии с программой работы Комитета по внутреннему транспорту </w:t>
      </w:r>
      <w:r w:rsidRPr="003D0A98">
        <w:br/>
      </w:r>
      <w:r>
        <w:t>на 2018–2019 годы (ECE/TRANS/274, пункт 123, и ECE/TRANS/2018/21/Add.1,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 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77" w:rsidRPr="00D17877" w:rsidRDefault="006C126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B2315D">
      <w:t>ECE/TRANS/WP.29/GRE/2018/49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77" w:rsidRPr="00D17877" w:rsidRDefault="006C1269" w:rsidP="00D17877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B2315D">
      <w:t>ECE/TRANS/WP.29/GRE/2018/49</w:t>
    </w:r>
    <w:r>
      <w:fldChar w:fldCharType="end"/>
    </w:r>
  </w:p>
  <w:p w:rsidR="005B456D" w:rsidRDefault="005B45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77" w:rsidRDefault="00D17877" w:rsidP="00D178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E37A0"/>
    <w:multiLevelType w:val="hybridMultilevel"/>
    <w:tmpl w:val="5E569BFC"/>
    <w:lvl w:ilvl="0" w:tplc="7E42448E">
      <w:start w:val="1"/>
      <w:numFmt w:val="lowerRoman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15"/>
  </w:num>
  <w:num w:numId="19">
    <w:abstractNumId w:val="16"/>
  </w:num>
  <w:num w:numId="20">
    <w:abstractNumId w:val="12"/>
  </w:num>
  <w:num w:numId="21">
    <w:abstractNumId w:val="15"/>
  </w:num>
  <w:num w:numId="2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D7"/>
    <w:rsid w:val="00033EE1"/>
    <w:rsid w:val="00042B72"/>
    <w:rsid w:val="000558BD"/>
    <w:rsid w:val="000B2956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42746"/>
    <w:rsid w:val="00255343"/>
    <w:rsid w:val="0027151D"/>
    <w:rsid w:val="002A2EFC"/>
    <w:rsid w:val="002B0106"/>
    <w:rsid w:val="002B74B1"/>
    <w:rsid w:val="002C0E18"/>
    <w:rsid w:val="002D5AAC"/>
    <w:rsid w:val="002E5067"/>
    <w:rsid w:val="002F3B03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3081"/>
    <w:rsid w:val="00517901"/>
    <w:rsid w:val="00526683"/>
    <w:rsid w:val="005639C1"/>
    <w:rsid w:val="00567131"/>
    <w:rsid w:val="005709E0"/>
    <w:rsid w:val="00572E19"/>
    <w:rsid w:val="005911A0"/>
    <w:rsid w:val="005961C8"/>
    <w:rsid w:val="005966F1"/>
    <w:rsid w:val="005B456D"/>
    <w:rsid w:val="005D3DF2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1269"/>
    <w:rsid w:val="006C2031"/>
    <w:rsid w:val="006D461A"/>
    <w:rsid w:val="006E1A94"/>
    <w:rsid w:val="006F35EE"/>
    <w:rsid w:val="007021FF"/>
    <w:rsid w:val="00712895"/>
    <w:rsid w:val="00734ACB"/>
    <w:rsid w:val="00757357"/>
    <w:rsid w:val="00792497"/>
    <w:rsid w:val="00806737"/>
    <w:rsid w:val="00825F8D"/>
    <w:rsid w:val="00830A94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84A01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2315D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A41D7"/>
    <w:rsid w:val="00CB151C"/>
    <w:rsid w:val="00CE5A1A"/>
    <w:rsid w:val="00CF55F6"/>
    <w:rsid w:val="00D17877"/>
    <w:rsid w:val="00D33D63"/>
    <w:rsid w:val="00D5253A"/>
    <w:rsid w:val="00D873A8"/>
    <w:rsid w:val="00D90028"/>
    <w:rsid w:val="00D90138"/>
    <w:rsid w:val="00D933AB"/>
    <w:rsid w:val="00DA0FC4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555ACF1-A0E9-40AD-92F2-2054BED9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9D7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617A4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617A43"/>
    <w:pPr>
      <w:numPr>
        <w:numId w:val="21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984A01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R,5_G,PP,5_G_6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R Char,5_G Char,PP Char,5_G_6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R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7A43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ECE/TRANS/WP.29/GRE/2018/49</vt:lpstr>
      <vt:lpstr>ECE/TRANS/WP.29/GRE/2018/49</vt:lpstr>
      <vt:lpstr>A/</vt:lpstr>
    </vt:vector>
  </TitlesOfParts>
  <Company>DCM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ECE/TRANS/WP.29/GRE/2018/49</dc:title>
  <dc:subject/>
  <dc:creator>Olga OVTCHINNIKOVA</dc:creator>
  <cp:keywords/>
  <cp:lastModifiedBy>Benedicte Boudol</cp:lastModifiedBy>
  <cp:revision>2</cp:revision>
  <cp:lastPrinted>2018-08-14T15:32:00Z</cp:lastPrinted>
  <dcterms:created xsi:type="dcterms:W3CDTF">2018-09-10T08:36:00Z</dcterms:created>
  <dcterms:modified xsi:type="dcterms:W3CDTF">2018-09-10T08:36:00Z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