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F35BAF" w:rsidRPr="00DB58B5" w:rsidTr="00C97039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:rsidR="00F35BAF" w:rsidRPr="00DB58B5" w:rsidRDefault="00F35BAF" w:rsidP="00912963">
            <w:bookmarkStart w:id="0" w:name="_GoBack"/>
            <w:bookmarkEnd w:id="0"/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F35BAF" w:rsidRPr="00DB58B5" w:rsidRDefault="00F35BAF" w:rsidP="00C97039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F35BAF" w:rsidRPr="00DB58B5" w:rsidRDefault="00912963" w:rsidP="00912963">
            <w:pPr>
              <w:jc w:val="right"/>
            </w:pPr>
            <w:r w:rsidRPr="00912963">
              <w:rPr>
                <w:sz w:val="40"/>
              </w:rPr>
              <w:t>ECE</w:t>
            </w:r>
            <w:r>
              <w:t>/TRANS/WP.29/GRE/2018/49</w:t>
            </w:r>
          </w:p>
        </w:tc>
      </w:tr>
      <w:tr w:rsidR="00F35BAF" w:rsidRPr="00DB58B5" w:rsidTr="00C97039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F35BAF" w:rsidRPr="00DB58B5" w:rsidRDefault="00F35BAF" w:rsidP="00C97039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5DD7C114" wp14:editId="39170DA2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F35BAF" w:rsidRPr="00740562" w:rsidRDefault="00F35BAF" w:rsidP="00C97039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FB77FF">
              <w:rPr>
                <w:b/>
                <w:sz w:val="40"/>
                <w:szCs w:val="40"/>
              </w:rPr>
              <w:t>Conseil économique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77FF">
              <w:rPr>
                <w:b/>
                <w:sz w:val="40"/>
                <w:szCs w:val="40"/>
              </w:rPr>
              <w:t>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F35BAF" w:rsidRDefault="00912963" w:rsidP="00C97039">
            <w:pPr>
              <w:spacing w:before="240"/>
            </w:pPr>
            <w:r>
              <w:t>Distr. générale</w:t>
            </w:r>
          </w:p>
          <w:p w:rsidR="00912963" w:rsidRDefault="00234DDC" w:rsidP="00912963">
            <w:pPr>
              <w:spacing w:line="240" w:lineRule="exact"/>
            </w:pPr>
            <w:r>
              <w:t>10</w:t>
            </w:r>
            <w:r w:rsidR="00912963">
              <w:t xml:space="preserve"> août 2018</w:t>
            </w:r>
          </w:p>
          <w:p w:rsidR="00912963" w:rsidRDefault="00912963" w:rsidP="00912963">
            <w:pPr>
              <w:spacing w:line="240" w:lineRule="exact"/>
            </w:pPr>
            <w:r>
              <w:t>Français</w:t>
            </w:r>
          </w:p>
          <w:p w:rsidR="00912963" w:rsidRPr="00DB58B5" w:rsidRDefault="00912963" w:rsidP="00912963">
            <w:pPr>
              <w:spacing w:line="240" w:lineRule="exact"/>
            </w:pPr>
            <w:r>
              <w:t>Original : anglais</w:t>
            </w:r>
          </w:p>
        </w:tc>
      </w:tr>
    </w:tbl>
    <w:p w:rsidR="007F20FA" w:rsidRPr="000312C0" w:rsidRDefault="007F20FA" w:rsidP="007F20FA">
      <w:pPr>
        <w:spacing w:before="120"/>
        <w:rPr>
          <w:b/>
          <w:sz w:val="28"/>
          <w:szCs w:val="28"/>
        </w:rPr>
      </w:pPr>
      <w:r w:rsidRPr="000312C0">
        <w:rPr>
          <w:b/>
          <w:sz w:val="28"/>
          <w:szCs w:val="28"/>
        </w:rPr>
        <w:t>Commission économique pour l</w:t>
      </w:r>
      <w:r w:rsidR="00912963">
        <w:rPr>
          <w:b/>
          <w:sz w:val="28"/>
          <w:szCs w:val="28"/>
        </w:rPr>
        <w:t>’</w:t>
      </w:r>
      <w:r w:rsidRPr="000312C0">
        <w:rPr>
          <w:b/>
          <w:sz w:val="28"/>
          <w:szCs w:val="28"/>
        </w:rPr>
        <w:t>Europe</w:t>
      </w:r>
    </w:p>
    <w:p w:rsidR="007F20FA" w:rsidRDefault="007F20FA" w:rsidP="007F20FA">
      <w:pPr>
        <w:spacing w:before="120"/>
        <w:rPr>
          <w:sz w:val="28"/>
          <w:szCs w:val="28"/>
        </w:rPr>
      </w:pPr>
      <w:r w:rsidRPr="00685843">
        <w:rPr>
          <w:sz w:val="28"/>
          <w:szCs w:val="28"/>
        </w:rPr>
        <w:t>Comité des transports intérieurs</w:t>
      </w:r>
    </w:p>
    <w:p w:rsidR="00912963" w:rsidRDefault="00912963" w:rsidP="00AF0CB5">
      <w:pPr>
        <w:spacing w:before="120"/>
        <w:rPr>
          <w:b/>
          <w:sz w:val="24"/>
          <w:szCs w:val="24"/>
        </w:rPr>
      </w:pPr>
      <w:r w:rsidRPr="00685843">
        <w:rPr>
          <w:b/>
          <w:sz w:val="24"/>
          <w:szCs w:val="24"/>
        </w:rPr>
        <w:t>Forum mondial de l</w:t>
      </w:r>
      <w:r>
        <w:rPr>
          <w:b/>
          <w:sz w:val="24"/>
          <w:szCs w:val="24"/>
        </w:rPr>
        <w:t>’</w:t>
      </w:r>
      <w:r w:rsidRPr="00685843">
        <w:rPr>
          <w:b/>
          <w:sz w:val="24"/>
          <w:szCs w:val="24"/>
        </w:rPr>
        <w:t>harmonisation</w:t>
      </w:r>
      <w:r>
        <w:rPr>
          <w:b/>
          <w:sz w:val="24"/>
          <w:szCs w:val="24"/>
        </w:rPr>
        <w:br/>
      </w:r>
      <w:r w:rsidRPr="00685843">
        <w:rPr>
          <w:b/>
          <w:sz w:val="24"/>
          <w:szCs w:val="24"/>
        </w:rPr>
        <w:t>des Règlements</w:t>
      </w:r>
      <w:r>
        <w:rPr>
          <w:b/>
          <w:sz w:val="24"/>
          <w:szCs w:val="24"/>
        </w:rPr>
        <w:t xml:space="preserve"> </w:t>
      </w:r>
      <w:r w:rsidRPr="00685843">
        <w:rPr>
          <w:b/>
          <w:sz w:val="24"/>
          <w:szCs w:val="24"/>
        </w:rPr>
        <w:t>concernant les véhicules</w:t>
      </w:r>
    </w:p>
    <w:p w:rsidR="00912963" w:rsidRDefault="00912963" w:rsidP="00257168">
      <w:pPr>
        <w:spacing w:before="120" w:after="120" w:line="240" w:lineRule="exact"/>
        <w:rPr>
          <w:b/>
        </w:rPr>
      </w:pPr>
      <w:r>
        <w:rPr>
          <w:b/>
        </w:rPr>
        <w:t>Groupe de travail de l’éclairage et de la signalisation lumineuse</w:t>
      </w:r>
    </w:p>
    <w:p w:rsidR="00912963" w:rsidRPr="00912963" w:rsidRDefault="00912963" w:rsidP="00912963">
      <w:pPr>
        <w:ind w:right="1134"/>
        <w:rPr>
          <w:b/>
        </w:rPr>
      </w:pPr>
      <w:r w:rsidRPr="00912963">
        <w:rPr>
          <w:b/>
          <w:lang w:val="fr-FR"/>
        </w:rPr>
        <w:t>Quatre-vingtième session</w:t>
      </w:r>
    </w:p>
    <w:p w:rsidR="00912963" w:rsidRPr="00E04EC7" w:rsidRDefault="00912963" w:rsidP="00912963">
      <w:pPr>
        <w:ind w:right="1134"/>
      </w:pPr>
      <w:r>
        <w:rPr>
          <w:lang w:val="fr-FR"/>
        </w:rPr>
        <w:t>Genève, 23-26</w:t>
      </w:r>
      <w:r w:rsidR="008822EA">
        <w:rPr>
          <w:lang w:val="fr-FR"/>
        </w:rPr>
        <w:t> </w:t>
      </w:r>
      <w:r>
        <w:rPr>
          <w:lang w:val="fr-FR"/>
        </w:rPr>
        <w:t>octobre 2018</w:t>
      </w:r>
    </w:p>
    <w:p w:rsidR="00912963" w:rsidRPr="00525E6C" w:rsidRDefault="00912963" w:rsidP="00912963">
      <w:pPr>
        <w:ind w:right="1134"/>
        <w:rPr>
          <w:bCs/>
        </w:rPr>
      </w:pPr>
      <w:r>
        <w:rPr>
          <w:lang w:val="fr-FR"/>
        </w:rPr>
        <w:t>Point 5 de l’ordre du jour provisoire</w:t>
      </w:r>
    </w:p>
    <w:p w:rsidR="00912963" w:rsidRPr="00D912FF" w:rsidRDefault="00912963" w:rsidP="00912963">
      <w:pPr>
        <w:ind w:right="1467"/>
        <w:rPr>
          <w:bCs/>
        </w:rPr>
      </w:pPr>
      <w:r>
        <w:rPr>
          <w:b/>
          <w:bCs/>
          <w:lang w:val="fr-FR"/>
        </w:rPr>
        <w:t>Règlements ONU n</w:t>
      </w:r>
      <w:r>
        <w:rPr>
          <w:b/>
          <w:bCs/>
          <w:vertAlign w:val="superscript"/>
          <w:lang w:val="fr-FR"/>
        </w:rPr>
        <w:t>os</w:t>
      </w:r>
      <w:r>
        <w:rPr>
          <w:b/>
          <w:bCs/>
          <w:lang w:val="fr-FR"/>
        </w:rPr>
        <w:t xml:space="preserve"> 37 (Lampes à incandescence), 99 (Sources lumineuses </w:t>
      </w:r>
      <w:r>
        <w:rPr>
          <w:b/>
          <w:bCs/>
          <w:lang w:val="fr-FR"/>
        </w:rPr>
        <w:br/>
        <w:t xml:space="preserve">à décharge) et 128 (Sources lumineuses à diodes électroluminescentes) </w:t>
      </w:r>
      <w:r>
        <w:rPr>
          <w:b/>
          <w:bCs/>
          <w:lang w:val="fr-FR"/>
        </w:rPr>
        <w:br/>
        <w:t xml:space="preserve">et Résolution </w:t>
      </w:r>
      <w:r w:rsidR="00A0004C">
        <w:rPr>
          <w:b/>
          <w:bCs/>
          <w:lang w:val="fr-FR"/>
        </w:rPr>
        <w:t>d’ensemble sur</w:t>
      </w:r>
      <w:r>
        <w:rPr>
          <w:b/>
          <w:bCs/>
          <w:lang w:val="fr-FR"/>
        </w:rPr>
        <w:t xml:space="preserve"> une spécification commune </w:t>
      </w:r>
      <w:r>
        <w:rPr>
          <w:b/>
          <w:bCs/>
          <w:lang w:val="fr-FR"/>
        </w:rPr>
        <w:br/>
        <w:t>des catégories de sources lumineuses</w:t>
      </w:r>
    </w:p>
    <w:p w:rsidR="00912963" w:rsidRPr="00525E6C" w:rsidRDefault="00912963" w:rsidP="00912963">
      <w:pPr>
        <w:pStyle w:val="HChG"/>
      </w:pPr>
      <w:r>
        <w:rPr>
          <w:lang w:val="fr-FR"/>
        </w:rPr>
        <w:tab/>
      </w:r>
      <w:r>
        <w:rPr>
          <w:lang w:val="fr-FR"/>
        </w:rPr>
        <w:tab/>
        <w:t xml:space="preserve">Proposition de complément [8] à la version initiale </w:t>
      </w:r>
      <w:r>
        <w:rPr>
          <w:lang w:val="fr-FR"/>
        </w:rPr>
        <w:br/>
        <w:t>du Règlement ONU n</w:t>
      </w:r>
      <w:r>
        <w:rPr>
          <w:vertAlign w:val="superscript"/>
          <w:lang w:val="fr-FR"/>
        </w:rPr>
        <w:t>o</w:t>
      </w:r>
      <w:r>
        <w:rPr>
          <w:lang w:val="fr-FR"/>
        </w:rPr>
        <w:t xml:space="preserve"> 128 (Sources lumineuses </w:t>
      </w:r>
      <w:r>
        <w:rPr>
          <w:lang w:val="fr-FR"/>
        </w:rPr>
        <w:br/>
        <w:t xml:space="preserve">à diodes électroluminescentes) </w:t>
      </w:r>
    </w:p>
    <w:p w:rsidR="00912963" w:rsidRPr="00525E6C" w:rsidRDefault="00912963" w:rsidP="00912963">
      <w:pPr>
        <w:pStyle w:val="H1G"/>
        <w:rPr>
          <w:szCs w:val="24"/>
        </w:rPr>
      </w:pPr>
      <w:r>
        <w:rPr>
          <w:lang w:val="fr-FR"/>
        </w:rPr>
        <w:tab/>
      </w:r>
      <w:r>
        <w:rPr>
          <w:lang w:val="fr-FR"/>
        </w:rPr>
        <w:tab/>
        <w:t xml:space="preserve">Communication de l’expert du Groupe de travail </w:t>
      </w:r>
      <w:r>
        <w:rPr>
          <w:lang w:val="fr-FR"/>
        </w:rPr>
        <w:br/>
        <w:t>« Bruxelles 1952 » (GTB)</w:t>
      </w:r>
      <w:r w:rsidRPr="00912963">
        <w:rPr>
          <w:rStyle w:val="FootnoteReference"/>
          <w:b w:val="0"/>
          <w:sz w:val="20"/>
          <w:vertAlign w:val="baseline"/>
        </w:rPr>
        <w:footnoteReference w:customMarkFollows="1" w:id="2"/>
        <w:t>*</w:t>
      </w:r>
    </w:p>
    <w:p w:rsidR="00912963" w:rsidRDefault="00912963" w:rsidP="00912963">
      <w:pPr>
        <w:pStyle w:val="SingleTxtG"/>
        <w:ind w:firstLine="567"/>
        <w:rPr>
          <w:lang w:val="fr-FR"/>
        </w:rPr>
      </w:pPr>
      <w:r>
        <w:rPr>
          <w:lang w:val="fr-FR"/>
        </w:rPr>
        <w:t xml:space="preserve">Le texte reproduit ci-après, établi par l’expert du GTB, vise à modifier les prescriptions relatives aux sources lumineuses à diodes électroluminescentes (DEL). Il existe un amendement </w:t>
      </w:r>
      <w:r w:rsidR="00A0004C">
        <w:rPr>
          <w:lang w:val="fr-FR"/>
        </w:rPr>
        <w:t>correspondant qui</w:t>
      </w:r>
      <w:r>
        <w:rPr>
          <w:lang w:val="fr-FR"/>
        </w:rPr>
        <w:t xml:space="preserve"> s’applique à la Résolution d’ensemble </w:t>
      </w:r>
      <w:r w:rsidR="00A0004C">
        <w:rPr>
          <w:lang w:val="fr-FR"/>
        </w:rPr>
        <w:t>sur une</w:t>
      </w:r>
      <w:r>
        <w:rPr>
          <w:lang w:val="fr-FR"/>
        </w:rPr>
        <w:t xml:space="preserve"> spécification commune des catégories de sources lumineuses (R.E.5) (ECE/TRANS/ WP.29/GRE/2018/48). Les modifications qu’il est proposé d’apporter au texte actuel du Règlement ONU figurent en caractères gras pour les ajouts et biffés pour les suppressions.</w:t>
      </w:r>
    </w:p>
    <w:p w:rsidR="00912963" w:rsidRDefault="00912963" w:rsidP="00912963">
      <w:pPr>
        <w:pStyle w:val="HChG"/>
      </w:pPr>
      <w:r>
        <w:rPr>
          <w:lang w:val="fr-FR"/>
        </w:rPr>
        <w:br w:type="page"/>
      </w:r>
      <w:r>
        <w:rPr>
          <w:lang w:val="fr-FR"/>
        </w:rPr>
        <w:lastRenderedPageBreak/>
        <w:tab/>
        <w:t>I.</w:t>
      </w:r>
      <w:r>
        <w:rPr>
          <w:lang w:val="fr-FR"/>
        </w:rPr>
        <w:tab/>
        <w:t>Proposition</w:t>
      </w:r>
    </w:p>
    <w:p w:rsidR="00912963" w:rsidRPr="008B0501" w:rsidRDefault="00912963" w:rsidP="00912963">
      <w:pPr>
        <w:pStyle w:val="SingleTxtG"/>
        <w:rPr>
          <w:bCs/>
        </w:rPr>
      </w:pPr>
      <w:r w:rsidRPr="00912963">
        <w:rPr>
          <w:i/>
          <w:lang w:val="fr-FR"/>
        </w:rPr>
        <w:t>Annexe 4, paragraphe 1.2</w:t>
      </w:r>
      <w:r w:rsidRPr="003F4514">
        <w:rPr>
          <w:lang w:val="fr-FR"/>
        </w:rPr>
        <w:t>,</w:t>
      </w:r>
      <w:r>
        <w:rPr>
          <w:lang w:val="fr-FR"/>
        </w:rPr>
        <w:t xml:space="preserve"> modifier comme suit :</w:t>
      </w:r>
    </w:p>
    <w:p w:rsidR="00912963" w:rsidRPr="00032801" w:rsidRDefault="00912963" w:rsidP="00912963">
      <w:pPr>
        <w:pStyle w:val="SingleTxtG"/>
        <w:ind w:left="2268" w:hanging="1134"/>
        <w:rPr>
          <w:bCs/>
        </w:rPr>
      </w:pPr>
      <w:r>
        <w:t>« </w:t>
      </w:r>
      <w:r>
        <w:rPr>
          <w:lang w:val="fr-FR"/>
        </w:rPr>
        <w:t>1.2</w:t>
      </w:r>
      <w:r>
        <w:rPr>
          <w:lang w:val="fr-FR"/>
        </w:rPr>
        <w:tab/>
        <w:t>Les valeurs de flux lumineux, telles que mesurées après :</w:t>
      </w:r>
    </w:p>
    <w:p w:rsidR="00912963" w:rsidRPr="00032801" w:rsidRDefault="00912963" w:rsidP="00912963">
      <w:pPr>
        <w:pStyle w:val="SingleTxtG"/>
        <w:ind w:left="2268"/>
        <w:rPr>
          <w:bCs/>
        </w:rPr>
      </w:pPr>
      <w:r>
        <w:rPr>
          <w:lang w:val="fr-FR"/>
        </w:rPr>
        <w:t>a)</w:t>
      </w:r>
      <w:r>
        <w:rPr>
          <w:lang w:val="fr-FR"/>
        </w:rPr>
        <w:tab/>
        <w:t>30 minutes, ou</w:t>
      </w:r>
    </w:p>
    <w:p w:rsidR="00912963" w:rsidRDefault="00912963" w:rsidP="00912963">
      <w:pPr>
        <w:pStyle w:val="SingleTxtG"/>
        <w:ind w:left="2268"/>
        <w:rPr>
          <w:bCs/>
        </w:rPr>
      </w:pPr>
      <w:r>
        <w:rPr>
          <w:lang w:val="fr-FR"/>
        </w:rPr>
        <w:t>b)</w:t>
      </w:r>
      <w:r>
        <w:rPr>
          <w:lang w:val="fr-FR"/>
        </w:rPr>
        <w:tab/>
        <w:t>Stabilisation de la température T</w:t>
      </w:r>
      <w:r>
        <w:rPr>
          <w:vertAlign w:val="subscript"/>
          <w:lang w:val="fr-FR"/>
        </w:rPr>
        <w:t>b</w:t>
      </w:r>
    </w:p>
    <w:p w:rsidR="00912963" w:rsidRDefault="00912963" w:rsidP="00912963">
      <w:pPr>
        <w:pStyle w:val="SingleTxtG"/>
        <w:ind w:left="2268"/>
        <w:rPr>
          <w:lang w:val="fr-FR"/>
        </w:rPr>
      </w:pPr>
      <w:r>
        <w:rPr>
          <w:lang w:val="fr-FR"/>
        </w:rPr>
        <w:t>doivent être conformes aux valeurs minimales et maximales prescrites.</w:t>
      </w:r>
    </w:p>
    <w:p w:rsidR="00912963" w:rsidRPr="009372A8" w:rsidRDefault="00912963" w:rsidP="00912963">
      <w:pPr>
        <w:pStyle w:val="SingleTxtG"/>
        <w:ind w:left="2268"/>
        <w:rPr>
          <w:bCs/>
        </w:rPr>
      </w:pPr>
      <w:r>
        <w:rPr>
          <w:lang w:val="fr-FR"/>
        </w:rPr>
        <w:t>De plus, dans le cas de figure a), sauf indication contraire figurant sur la feuille de données</w:t>
      </w:r>
      <w:r>
        <w:rPr>
          <w:strike/>
          <w:lang w:val="fr-FR"/>
        </w:rPr>
        <w:t>,</w:t>
      </w:r>
      <w:r>
        <w:rPr>
          <w:lang w:val="fr-FR"/>
        </w:rPr>
        <w:t xml:space="preserve"> </w:t>
      </w:r>
    </w:p>
    <w:p w:rsidR="00912963" w:rsidRPr="003F4514" w:rsidRDefault="00912963" w:rsidP="00912963">
      <w:pPr>
        <w:pStyle w:val="SingleTxtG"/>
        <w:ind w:left="2835" w:hanging="567"/>
        <w:rPr>
          <w:b/>
          <w:bCs/>
        </w:rPr>
      </w:pPr>
      <w:r>
        <w:rPr>
          <w:b/>
          <w:bCs/>
          <w:lang w:val="fr-FR"/>
        </w:rPr>
        <w:t>i)</w:t>
      </w:r>
      <w:r>
        <w:rPr>
          <w:b/>
          <w:bCs/>
          <w:lang w:val="fr-FR"/>
        </w:rPr>
        <w:tab/>
      </w:r>
      <w:r w:rsidRPr="003F4514">
        <w:rPr>
          <w:b/>
          <w:bCs/>
          <w:lang w:val="fr-FR"/>
        </w:rPr>
        <w:t>la</w:t>
      </w:r>
      <w:r w:rsidRPr="003F4514">
        <w:rPr>
          <w:lang w:val="fr-FR"/>
        </w:rPr>
        <w:t xml:space="preserve"> </w:t>
      </w:r>
      <w:r w:rsidRPr="003F4514">
        <w:rPr>
          <w:strike/>
          <w:lang w:val="fr-FR"/>
        </w:rPr>
        <w:t>cette</w:t>
      </w:r>
      <w:r w:rsidRPr="003F4514">
        <w:rPr>
          <w:lang w:val="fr-FR"/>
        </w:rPr>
        <w:t xml:space="preserve"> valeur </w:t>
      </w:r>
      <w:r w:rsidRPr="003F4514">
        <w:rPr>
          <w:b/>
          <w:bCs/>
          <w:lang w:val="fr-FR"/>
        </w:rPr>
        <w:t>du flux lumineux</w:t>
      </w:r>
      <w:r w:rsidRPr="003F4514">
        <w:rPr>
          <w:lang w:val="fr-FR"/>
        </w:rPr>
        <w:t xml:space="preserve"> </w:t>
      </w:r>
      <w:r w:rsidRPr="003F4514">
        <w:rPr>
          <w:b/>
          <w:bCs/>
          <w:lang w:val="fr-FR"/>
        </w:rPr>
        <w:t>mesuré</w:t>
      </w:r>
      <w:r>
        <w:rPr>
          <w:b/>
          <w:bCs/>
          <w:lang w:val="fr-FR"/>
        </w:rPr>
        <w:t>e</w:t>
      </w:r>
      <w:r w:rsidRPr="003F4514">
        <w:rPr>
          <w:b/>
          <w:bCs/>
          <w:lang w:val="fr-FR"/>
        </w:rPr>
        <w:t xml:space="preserve"> après 30 minutes</w:t>
      </w:r>
      <w:r w:rsidRPr="003F4514">
        <w:rPr>
          <w:lang w:val="fr-FR"/>
        </w:rPr>
        <w:t xml:space="preserve"> doit se situer entre 100</w:t>
      </w:r>
      <w:r>
        <w:rPr>
          <w:lang w:val="fr-FR"/>
        </w:rPr>
        <w:t> </w:t>
      </w:r>
      <w:r w:rsidRPr="003F4514">
        <w:rPr>
          <w:lang w:val="fr-FR"/>
        </w:rPr>
        <w:t>% et 80</w:t>
      </w:r>
      <w:r>
        <w:rPr>
          <w:lang w:val="fr-FR"/>
        </w:rPr>
        <w:t> </w:t>
      </w:r>
      <w:r w:rsidRPr="003F4514">
        <w:rPr>
          <w:lang w:val="fr-FR"/>
        </w:rPr>
        <w:t xml:space="preserve">% de la valeur </w:t>
      </w:r>
      <w:r w:rsidRPr="003F4514">
        <w:rPr>
          <w:b/>
          <w:bCs/>
          <w:lang w:val="fr-FR"/>
        </w:rPr>
        <w:t>du flux lumineux</w:t>
      </w:r>
      <w:r w:rsidRPr="003F4514">
        <w:rPr>
          <w:lang w:val="fr-FR"/>
        </w:rPr>
        <w:t xml:space="preserve"> mesurée après une minute</w:t>
      </w:r>
      <w:r w:rsidRPr="003F4514">
        <w:rPr>
          <w:b/>
          <w:bCs/>
          <w:lang w:val="fr-FR"/>
        </w:rPr>
        <w:t>, ou</w:t>
      </w:r>
    </w:p>
    <w:p w:rsidR="00912963" w:rsidRPr="009A6FB9" w:rsidRDefault="00912963" w:rsidP="00912963">
      <w:pPr>
        <w:pStyle w:val="SingleTxtG"/>
        <w:ind w:left="2835" w:hanging="567"/>
        <w:rPr>
          <w:b/>
          <w:bCs/>
        </w:rPr>
      </w:pPr>
      <w:r>
        <w:rPr>
          <w:b/>
          <w:bCs/>
          <w:lang w:val="fr-FR"/>
        </w:rPr>
        <w:t>ii)</w:t>
      </w:r>
      <w:r>
        <w:rPr>
          <w:b/>
          <w:bCs/>
          <w:lang w:val="fr-FR"/>
        </w:rPr>
        <w:tab/>
        <w:t xml:space="preserve">la valeur du flux lumineux mesurée après 1 minute doit être conforme aux prescriptions minimales et maximales, et la valeur du flux lumineux mesurée après 30 minutes ne doit pas s’écarter de plus de </w:t>
      </w:r>
      <w:r w:rsidR="00A0004C">
        <w:rPr>
          <w:b/>
          <w:bCs/>
          <w:lang w:val="fr-FR"/>
        </w:rPr>
        <w:sym w:font="Symbol" w:char="F0B1"/>
      </w:r>
      <w:r>
        <w:rPr>
          <w:b/>
          <w:bCs/>
          <w:lang w:val="fr-FR"/>
        </w:rPr>
        <w:t xml:space="preserve"> 20 % de la valeur du flux lumineux mesurée après 1 minute. </w:t>
      </w:r>
      <w:r w:rsidRPr="00912963">
        <w:rPr>
          <w:bCs/>
          <w:lang w:val="fr-FR"/>
        </w:rPr>
        <w:t>».</w:t>
      </w:r>
    </w:p>
    <w:p w:rsidR="00912963" w:rsidRDefault="00912963" w:rsidP="00912963">
      <w:pPr>
        <w:pStyle w:val="HChG"/>
      </w:pPr>
      <w:r>
        <w:rPr>
          <w:lang w:val="fr-FR"/>
        </w:rPr>
        <w:tab/>
        <w:t>II.</w:t>
      </w:r>
      <w:r>
        <w:rPr>
          <w:lang w:val="fr-FR"/>
        </w:rPr>
        <w:tab/>
        <w:t>Justification</w:t>
      </w:r>
    </w:p>
    <w:p w:rsidR="00912963" w:rsidRPr="0061713D" w:rsidRDefault="00912963" w:rsidP="00912963">
      <w:pPr>
        <w:pStyle w:val="SingleTxtG"/>
        <w:rPr>
          <w:bCs/>
        </w:rPr>
      </w:pPr>
      <w:r>
        <w:rPr>
          <w:lang w:val="fr-FR"/>
        </w:rPr>
        <w:t>1.</w:t>
      </w:r>
      <w:r>
        <w:rPr>
          <w:lang w:val="fr-FR"/>
        </w:rPr>
        <w:tab/>
        <w:t>Le texte actuel du paragraphe 1.2 de l’annexe 4 du Règlement ONU n</w:t>
      </w:r>
      <w:r>
        <w:rPr>
          <w:vertAlign w:val="superscript"/>
          <w:lang w:val="fr-FR"/>
        </w:rPr>
        <w:t>o</w:t>
      </w:r>
      <w:r>
        <w:rPr>
          <w:lang w:val="fr-FR"/>
        </w:rPr>
        <w:t xml:space="preserve"> 128 ne prévoit qu’une diminution du flux </w:t>
      </w:r>
      <w:r w:rsidR="00A0004C">
        <w:rPr>
          <w:lang w:val="fr-FR"/>
        </w:rPr>
        <w:t>lumineux entre</w:t>
      </w:r>
      <w:r>
        <w:rPr>
          <w:lang w:val="fr-FR"/>
        </w:rPr>
        <w:t xml:space="preserve"> 1 </w:t>
      </w:r>
      <w:r w:rsidR="00A0004C">
        <w:rPr>
          <w:lang w:val="fr-FR"/>
        </w:rPr>
        <w:t>minute et</w:t>
      </w:r>
      <w:r>
        <w:rPr>
          <w:lang w:val="fr-FR"/>
        </w:rPr>
        <w:t xml:space="preserve"> 30 minutes. Il a été établi que </w:t>
      </w:r>
      <w:r w:rsidR="00A0004C">
        <w:rPr>
          <w:lang w:val="fr-FR"/>
        </w:rPr>
        <w:t>cette disposition</w:t>
      </w:r>
      <w:r>
        <w:rPr>
          <w:lang w:val="fr-FR"/>
        </w:rPr>
        <w:t xml:space="preserve"> était inutilement restrictive car l’électronique de commande d’une source de lumière stabilisée peut entraîner une légère augmentation du flux lumineux entre 1</w:t>
      </w:r>
      <w:r w:rsidR="00A0004C">
        <w:rPr>
          <w:lang w:val="fr-FR"/>
        </w:rPr>
        <w:t> </w:t>
      </w:r>
      <w:r>
        <w:rPr>
          <w:lang w:val="fr-FR"/>
        </w:rPr>
        <w:t>minute et 30 minutes.</w:t>
      </w:r>
    </w:p>
    <w:p w:rsidR="00912963" w:rsidRPr="0061713D" w:rsidRDefault="00912963" w:rsidP="00912963">
      <w:pPr>
        <w:pStyle w:val="SingleTxtG"/>
        <w:rPr>
          <w:bCs/>
        </w:rPr>
      </w:pPr>
      <w:r>
        <w:rPr>
          <w:lang w:val="fr-FR"/>
        </w:rPr>
        <w:t>2.</w:t>
      </w:r>
      <w:r>
        <w:rPr>
          <w:lang w:val="fr-FR"/>
        </w:rPr>
        <w:tab/>
        <w:t xml:space="preserve">Il est proposé d’autoriser également une augmentation limitée du flux lumineux entre 1 minute et 30 minutes, conformément aux valeurs minimales et maximales prescrites, sans incidence négative sur les performances photométriques </w:t>
      </w:r>
      <w:r w:rsidR="00A0004C">
        <w:rPr>
          <w:lang w:val="fr-FR"/>
        </w:rPr>
        <w:t>des feux</w:t>
      </w:r>
      <w:r>
        <w:rPr>
          <w:lang w:val="fr-FR"/>
        </w:rPr>
        <w:t xml:space="preserve"> (sécurité routière). Un exemple de comportement du flux lumineux de la source lumineuse correspondant à la nouvelle proposition est illustré à la figure 1.</w:t>
      </w:r>
    </w:p>
    <w:p w:rsidR="00912963" w:rsidRPr="0061713D" w:rsidRDefault="00912963" w:rsidP="00912963">
      <w:pPr>
        <w:pStyle w:val="SingleTxtG"/>
        <w:rPr>
          <w:bCs/>
        </w:rPr>
      </w:pPr>
      <w:r>
        <w:rPr>
          <w:lang w:val="fr-FR"/>
        </w:rPr>
        <w:t>3.</w:t>
      </w:r>
      <w:r>
        <w:rPr>
          <w:lang w:val="fr-FR"/>
        </w:rPr>
        <w:tab/>
        <w:t xml:space="preserve">Une nouvelle disposition ii) a été ajoutée au libellé actuel afin de permettre cette augmentation limitée. L’ancien libellé a été conservé en tant que clause i), moyennant quelques légères améliorations. La réécriture intégrale du paragraphe 1.2 de l’annexe 4 permettrait d’améliorer la lisibilité et pourrait s’inscrire dans le cadre de la </w:t>
      </w:r>
      <w:r w:rsidR="00A0004C">
        <w:rPr>
          <w:lang w:val="fr-FR"/>
        </w:rPr>
        <w:t>deuxième phase</w:t>
      </w:r>
      <w:r>
        <w:rPr>
          <w:lang w:val="fr-FR"/>
        </w:rPr>
        <w:t xml:space="preserve"> du processus de simplification.</w:t>
      </w:r>
    </w:p>
    <w:p w:rsidR="00F9573C" w:rsidRDefault="00912963" w:rsidP="00912963">
      <w:pPr>
        <w:pStyle w:val="SingleTxtG"/>
        <w:rPr>
          <w:lang w:val="fr-FR"/>
        </w:rPr>
      </w:pPr>
      <w:r>
        <w:rPr>
          <w:lang w:val="fr-FR"/>
        </w:rPr>
        <w:t>4.</w:t>
      </w:r>
      <w:r>
        <w:rPr>
          <w:lang w:val="fr-FR"/>
        </w:rPr>
        <w:tab/>
        <w:t>Cette proposition a donné lieu à une proposition connexe (ECE/TRANS/WP.29/</w:t>
      </w:r>
      <w:r w:rsidR="00A0004C">
        <w:rPr>
          <w:lang w:val="fr-FR"/>
        </w:rPr>
        <w:t xml:space="preserve"> </w:t>
      </w:r>
      <w:r>
        <w:rPr>
          <w:lang w:val="fr-FR"/>
        </w:rPr>
        <w:t xml:space="preserve">GRE/2018/48) concernant la fiche de la catégorie LR4 dans la Résolution d’ensemble </w:t>
      </w:r>
      <w:r w:rsidR="00A0004C">
        <w:rPr>
          <w:lang w:val="fr-FR"/>
        </w:rPr>
        <w:t>sur une</w:t>
      </w:r>
      <w:r>
        <w:rPr>
          <w:lang w:val="fr-FR"/>
        </w:rPr>
        <w:t xml:space="preserve"> spécification commune des catégories de sources lumineuses (R.E.5).</w:t>
      </w:r>
    </w:p>
    <w:p w:rsidR="00912963" w:rsidRPr="00912963" w:rsidRDefault="00912963" w:rsidP="00912963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912963" w:rsidRPr="00912963" w:rsidSect="00912963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C60" w:rsidRDefault="00F96C60" w:rsidP="00F95C08">
      <w:pPr>
        <w:spacing w:line="240" w:lineRule="auto"/>
      </w:pPr>
    </w:p>
  </w:endnote>
  <w:endnote w:type="continuationSeparator" w:id="0">
    <w:p w:rsidR="00F96C60" w:rsidRPr="00AC3823" w:rsidRDefault="00F96C60" w:rsidP="00AC3823">
      <w:pPr>
        <w:pStyle w:val="Footer"/>
      </w:pPr>
    </w:p>
  </w:endnote>
  <w:endnote w:type="continuationNotice" w:id="1">
    <w:p w:rsidR="00F96C60" w:rsidRDefault="00F96C6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963" w:rsidRPr="00912963" w:rsidRDefault="00912963" w:rsidP="00912963">
    <w:pPr>
      <w:pStyle w:val="Footer"/>
      <w:tabs>
        <w:tab w:val="right" w:pos="9638"/>
      </w:tabs>
    </w:pPr>
    <w:r w:rsidRPr="00912963">
      <w:rPr>
        <w:b/>
        <w:sz w:val="18"/>
      </w:rPr>
      <w:fldChar w:fldCharType="begin"/>
    </w:r>
    <w:r w:rsidRPr="00912963">
      <w:rPr>
        <w:b/>
        <w:sz w:val="18"/>
      </w:rPr>
      <w:instrText xml:space="preserve"> PAGE  \* MERGEFORMAT </w:instrText>
    </w:r>
    <w:r w:rsidRPr="00912963">
      <w:rPr>
        <w:b/>
        <w:sz w:val="18"/>
      </w:rPr>
      <w:fldChar w:fldCharType="separate"/>
    </w:r>
    <w:r w:rsidR="00EF1AAC">
      <w:rPr>
        <w:b/>
        <w:noProof/>
        <w:sz w:val="18"/>
      </w:rPr>
      <w:t>2</w:t>
    </w:r>
    <w:r w:rsidRPr="00912963">
      <w:rPr>
        <w:b/>
        <w:sz w:val="18"/>
      </w:rPr>
      <w:fldChar w:fldCharType="end"/>
    </w:r>
    <w:r>
      <w:rPr>
        <w:b/>
        <w:sz w:val="18"/>
      </w:rPr>
      <w:tab/>
    </w:r>
    <w:r>
      <w:t>GE.18-13193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963" w:rsidRPr="00912963" w:rsidRDefault="00912963" w:rsidP="00912963">
    <w:pPr>
      <w:pStyle w:val="Footer"/>
      <w:tabs>
        <w:tab w:val="right" w:pos="9638"/>
      </w:tabs>
      <w:rPr>
        <w:b/>
        <w:sz w:val="18"/>
      </w:rPr>
    </w:pPr>
    <w:r>
      <w:t>GE.18-13193</w:t>
    </w:r>
    <w:r>
      <w:tab/>
    </w:r>
    <w:r w:rsidRPr="00912963">
      <w:rPr>
        <w:b/>
        <w:sz w:val="18"/>
      </w:rPr>
      <w:fldChar w:fldCharType="begin"/>
    </w:r>
    <w:r w:rsidRPr="00912963">
      <w:rPr>
        <w:b/>
        <w:sz w:val="18"/>
      </w:rPr>
      <w:instrText xml:space="preserve"> PAGE  \* MERGEFORMAT </w:instrText>
    </w:r>
    <w:r w:rsidRPr="00912963">
      <w:rPr>
        <w:b/>
        <w:sz w:val="18"/>
      </w:rPr>
      <w:fldChar w:fldCharType="separate"/>
    </w:r>
    <w:r w:rsidR="00234DDC">
      <w:rPr>
        <w:b/>
        <w:noProof/>
        <w:sz w:val="18"/>
      </w:rPr>
      <w:t>2</w:t>
    </w:r>
    <w:r w:rsidRPr="00912963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0FA" w:rsidRPr="00912963" w:rsidRDefault="00912963" w:rsidP="00912963">
    <w:pPr>
      <w:pStyle w:val="Footer"/>
      <w:spacing w:before="120"/>
      <w:rPr>
        <w:sz w:val="20"/>
      </w:rPr>
    </w:pPr>
    <w:r>
      <w:rPr>
        <w:sz w:val="20"/>
      </w:rPr>
      <w:t>GE.</w:t>
    </w:r>
    <w:r w:rsidR="007F20FA">
      <w:rPr>
        <w:noProof/>
        <w:lang w:eastAsia="fr-CH"/>
      </w:rPr>
      <w:drawing>
        <wp:anchor distT="0" distB="0" distL="114300" distR="114300" simplePos="0" relativeHeight="251660288" behindDoc="0" locked="0" layoutInCell="1" allowOverlap="0" wp14:anchorId="16F634A7" wp14:editId="7E4EAD80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18-13193  (F)</w:t>
    </w:r>
    <w:r w:rsidR="008822EA">
      <w:rPr>
        <w:sz w:val="20"/>
      </w:rPr>
      <w:t xml:space="preserve">    040918    070918</w:t>
    </w:r>
    <w:r>
      <w:rPr>
        <w:sz w:val="20"/>
      </w:rPr>
      <w:br/>
    </w:r>
    <w:r w:rsidRPr="00912963">
      <w:rPr>
        <w:rFonts w:ascii="C39T30Lfz" w:hAnsi="C39T30Lfz"/>
        <w:sz w:val="56"/>
      </w:rPr>
      <w:t></w:t>
    </w:r>
    <w:r w:rsidRPr="00912963">
      <w:rPr>
        <w:rFonts w:ascii="C39T30Lfz" w:hAnsi="C39T30Lfz"/>
        <w:sz w:val="56"/>
      </w:rPr>
      <w:t></w:t>
    </w:r>
    <w:r w:rsidRPr="00912963">
      <w:rPr>
        <w:rFonts w:ascii="C39T30Lfz" w:hAnsi="C39T30Lfz"/>
        <w:sz w:val="56"/>
      </w:rPr>
      <w:t></w:t>
    </w:r>
    <w:r w:rsidRPr="00912963">
      <w:rPr>
        <w:rFonts w:ascii="C39T30Lfz" w:hAnsi="C39T30Lfz"/>
        <w:sz w:val="56"/>
      </w:rPr>
      <w:t></w:t>
    </w:r>
    <w:r w:rsidRPr="00912963">
      <w:rPr>
        <w:rFonts w:ascii="C39T30Lfz" w:hAnsi="C39T30Lfz"/>
        <w:sz w:val="56"/>
      </w:rPr>
      <w:t></w:t>
    </w:r>
    <w:r w:rsidRPr="00912963">
      <w:rPr>
        <w:rFonts w:ascii="C39T30Lfz" w:hAnsi="C39T30Lfz"/>
        <w:sz w:val="56"/>
      </w:rPr>
      <w:t></w:t>
    </w:r>
    <w:r w:rsidRPr="00912963">
      <w:rPr>
        <w:rFonts w:ascii="C39T30Lfz" w:hAnsi="C39T30Lfz"/>
        <w:sz w:val="56"/>
      </w:rPr>
      <w:t></w:t>
    </w:r>
    <w:r w:rsidRPr="00912963">
      <w:rPr>
        <w:rFonts w:ascii="C39T30Lfz" w:hAnsi="C39T30Lfz"/>
        <w:sz w:val="56"/>
      </w:rPr>
      <w:t></w:t>
    </w:r>
    <w:r w:rsidRPr="00912963">
      <w:rPr>
        <w:rFonts w:ascii="C39T30Lfz" w:hAnsi="C39T30Lfz"/>
        <w:sz w:val="56"/>
      </w:rPr>
      <w:t></w:t>
    </w:r>
    <w:r>
      <w:rPr>
        <w:noProof/>
        <w:sz w:val="20"/>
        <w:lang w:eastAsia="fr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38175" cy="638175"/>
          <wp:effectExtent l="0" t="0" r="9525" b="9525"/>
          <wp:wrapNone/>
          <wp:docPr id="3" name="Image 1" descr="https://undocs.org/m2/QRCode.ashx?DS=ECE/TRANS/WP.29/GRE/2018/49&amp;Size=2&amp;Lang=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ECE/TRANS/WP.29/GRE/2018/49&amp;Size=2&amp;Lang=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C60" w:rsidRPr="00AC3823" w:rsidRDefault="00F96C60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F96C60" w:rsidRPr="00AC3823" w:rsidRDefault="00F96C60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F96C60" w:rsidRPr="00AC3823" w:rsidRDefault="00F96C60">
      <w:pPr>
        <w:spacing w:line="240" w:lineRule="auto"/>
        <w:rPr>
          <w:sz w:val="2"/>
          <w:szCs w:val="2"/>
        </w:rPr>
      </w:pPr>
    </w:p>
  </w:footnote>
  <w:footnote w:id="2">
    <w:p w:rsidR="00912963" w:rsidRPr="00912963" w:rsidRDefault="00912963">
      <w:pPr>
        <w:pStyle w:val="FootnoteText"/>
      </w:pPr>
      <w:r>
        <w:rPr>
          <w:rStyle w:val="FootnoteReference"/>
        </w:rPr>
        <w:tab/>
      </w:r>
      <w:r w:rsidRPr="00912963">
        <w:rPr>
          <w:rStyle w:val="FootnoteReference"/>
          <w:sz w:val="20"/>
          <w:vertAlign w:val="baseline"/>
        </w:rPr>
        <w:t>*</w:t>
      </w:r>
      <w:r>
        <w:rPr>
          <w:rStyle w:val="FootnoteReference"/>
          <w:sz w:val="20"/>
          <w:vertAlign w:val="baseline"/>
        </w:rPr>
        <w:tab/>
      </w:r>
      <w:r w:rsidRPr="003F4514">
        <w:rPr>
          <w:lang w:val="fr-FR"/>
        </w:rPr>
        <w:t xml:space="preserve">Conformément au programme de </w:t>
      </w:r>
      <w:r w:rsidRPr="00234DDC">
        <w:rPr>
          <w:spacing w:val="-2"/>
          <w:lang w:val="fr-FR"/>
        </w:rPr>
        <w:t>travail du Comité des transports intérieurs pour</w:t>
      </w:r>
      <w:r w:rsidRPr="003F4514">
        <w:rPr>
          <w:lang w:val="fr-FR"/>
        </w:rPr>
        <w:t xml:space="preserve"> la période 2018-2019 (ECE</w:t>
      </w:r>
      <w:r>
        <w:rPr>
          <w:lang w:val="fr-FR"/>
        </w:rPr>
        <w:t>/TRANS/274, par. </w:t>
      </w:r>
      <w:r w:rsidRPr="003F4514">
        <w:rPr>
          <w:lang w:val="fr-FR"/>
        </w:rPr>
        <w:t>123</w:t>
      </w:r>
      <w:r>
        <w:rPr>
          <w:lang w:val="fr-FR"/>
        </w:rPr>
        <w:t>,</w:t>
      </w:r>
      <w:r w:rsidRPr="003F4514">
        <w:rPr>
          <w:lang w:val="fr-FR"/>
        </w:rPr>
        <w:t xml:space="preserve"> et ECE/TRANS/2018/21/Add.1, module 3.1), le Forum mondial a pour mission d’élaborer, d’harmoniser et de mettre à jour les Règlements </w:t>
      </w:r>
      <w:r>
        <w:rPr>
          <w:lang w:val="fr-FR"/>
        </w:rPr>
        <w:t xml:space="preserve">ONU </w:t>
      </w:r>
      <w:r w:rsidRPr="003F4514">
        <w:rPr>
          <w:lang w:val="fr-FR"/>
        </w:rPr>
        <w:t>en vue d’améliorer les caractéristiques fonctionnelles des véhicules.</w:t>
      </w:r>
      <w:r>
        <w:rPr>
          <w:lang w:val="fr-FR"/>
        </w:rPr>
        <w:t xml:space="preserve"> Le présent document est soumis en vertu de ce mandat.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963" w:rsidRPr="00912963" w:rsidRDefault="0015392D">
    <w:pPr>
      <w:pStyle w:val="Header"/>
    </w:pPr>
    <w:r>
      <w:fldChar w:fldCharType="begin"/>
    </w:r>
    <w:r>
      <w:instrText xml:space="preserve"> TITLE  \* ME</w:instrText>
    </w:r>
    <w:r>
      <w:instrText xml:space="preserve">RGEFORMAT </w:instrText>
    </w:r>
    <w:r>
      <w:fldChar w:fldCharType="separate"/>
    </w:r>
    <w:r w:rsidR="00EF1AAC">
      <w:t>ECE/TRANS/WP.29/GRE/2018/49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963" w:rsidRPr="00912963" w:rsidRDefault="0015392D" w:rsidP="00912963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EF1AAC">
      <w:t>ECE/TRANS/WP.29/GRE/2018/49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E9CAAE62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7C7C3350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529E37A0"/>
    <w:multiLevelType w:val="hybridMultilevel"/>
    <w:tmpl w:val="D98A0E12"/>
    <w:lvl w:ilvl="0" w:tplc="FC222B8C">
      <w:start w:val="1"/>
      <w:numFmt w:val="lowerRoman"/>
      <w:lvlText w:val="(%1)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 w15:restartNumberingAfterBreak="0">
    <w:nsid w:val="68AD07B2"/>
    <w:multiLevelType w:val="hybridMultilevel"/>
    <w:tmpl w:val="2C7049BE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3"/>
  </w:num>
  <w:num w:numId="15">
    <w:abstractNumId w:val="11"/>
  </w:num>
  <w:num w:numId="16">
    <w:abstractNumId w:val="10"/>
  </w:num>
  <w:num w:numId="17">
    <w:abstractNumId w:val="12"/>
    <w:lvlOverride w:ilvl="0">
      <w:lvl w:ilvl="0" w:tplc="FC222B8C">
        <w:start w:val="1"/>
        <w:numFmt w:val="lowerRoman"/>
        <w:lvlText w:val="%1)"/>
        <w:lvlJc w:val="left"/>
        <w:pPr>
          <w:ind w:left="2628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567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60"/>
    <w:rsid w:val="00017F94"/>
    <w:rsid w:val="00023842"/>
    <w:rsid w:val="000334F9"/>
    <w:rsid w:val="00045FEB"/>
    <w:rsid w:val="0007796D"/>
    <w:rsid w:val="000B7790"/>
    <w:rsid w:val="00111F2F"/>
    <w:rsid w:val="0014365E"/>
    <w:rsid w:val="00143C66"/>
    <w:rsid w:val="0015392D"/>
    <w:rsid w:val="00176178"/>
    <w:rsid w:val="001F525A"/>
    <w:rsid w:val="00223272"/>
    <w:rsid w:val="00233E6D"/>
    <w:rsid w:val="00234DDC"/>
    <w:rsid w:val="0024779E"/>
    <w:rsid w:val="00257168"/>
    <w:rsid w:val="002744B8"/>
    <w:rsid w:val="002832AC"/>
    <w:rsid w:val="002D7C93"/>
    <w:rsid w:val="00305801"/>
    <w:rsid w:val="003916DE"/>
    <w:rsid w:val="00421996"/>
    <w:rsid w:val="00441C3B"/>
    <w:rsid w:val="00446FE5"/>
    <w:rsid w:val="00452396"/>
    <w:rsid w:val="004837D8"/>
    <w:rsid w:val="004B433F"/>
    <w:rsid w:val="004E2EED"/>
    <w:rsid w:val="004E468C"/>
    <w:rsid w:val="005505B7"/>
    <w:rsid w:val="00573BE5"/>
    <w:rsid w:val="00586ED3"/>
    <w:rsid w:val="00596AA9"/>
    <w:rsid w:val="0071601D"/>
    <w:rsid w:val="007A62E6"/>
    <w:rsid w:val="007F20FA"/>
    <w:rsid w:val="0080684C"/>
    <w:rsid w:val="00871C75"/>
    <w:rsid w:val="008776DC"/>
    <w:rsid w:val="008822EA"/>
    <w:rsid w:val="00912963"/>
    <w:rsid w:val="009446C0"/>
    <w:rsid w:val="009705C8"/>
    <w:rsid w:val="009C1CF4"/>
    <w:rsid w:val="009F6B74"/>
    <w:rsid w:val="00A0004C"/>
    <w:rsid w:val="00A3029F"/>
    <w:rsid w:val="00A30353"/>
    <w:rsid w:val="00AC3823"/>
    <w:rsid w:val="00AE323C"/>
    <w:rsid w:val="00AF0CB5"/>
    <w:rsid w:val="00B00181"/>
    <w:rsid w:val="00B00B0D"/>
    <w:rsid w:val="00B45F2E"/>
    <w:rsid w:val="00B765F7"/>
    <w:rsid w:val="00BA0CA9"/>
    <w:rsid w:val="00C02897"/>
    <w:rsid w:val="00C97039"/>
    <w:rsid w:val="00D3439C"/>
    <w:rsid w:val="00DB1831"/>
    <w:rsid w:val="00DD3BFD"/>
    <w:rsid w:val="00DF6678"/>
    <w:rsid w:val="00E0299A"/>
    <w:rsid w:val="00E85C74"/>
    <w:rsid w:val="00EA6547"/>
    <w:rsid w:val="00EF1AAC"/>
    <w:rsid w:val="00EF2E22"/>
    <w:rsid w:val="00F35BAF"/>
    <w:rsid w:val="00F660DF"/>
    <w:rsid w:val="00F94664"/>
    <w:rsid w:val="00F9573C"/>
    <w:rsid w:val="00F95C08"/>
    <w:rsid w:val="00F9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E9772E3-4C5B-453A-A069-34845453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99A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E0299A"/>
    <w:pPr>
      <w:keepNext/>
      <w:keepLines/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qFormat/>
    <w:rsid w:val="00023842"/>
    <w:pPr>
      <w:outlineLvl w:val="1"/>
    </w:pPr>
  </w:style>
  <w:style w:type="paragraph" w:styleId="Heading3">
    <w:name w:val="heading 3"/>
    <w:basedOn w:val="Normal"/>
    <w:next w:val="Normal"/>
    <w:link w:val="Heading3Char"/>
    <w:semiHidden/>
    <w:qFormat/>
    <w:rsid w:val="00023842"/>
    <w:pPr>
      <w:outlineLvl w:val="2"/>
    </w:pPr>
  </w:style>
  <w:style w:type="paragraph" w:styleId="Heading4">
    <w:name w:val="heading 4"/>
    <w:basedOn w:val="Normal"/>
    <w:next w:val="Normal"/>
    <w:link w:val="Heading4Char"/>
    <w:semiHidden/>
    <w:qFormat/>
    <w:rsid w:val="00023842"/>
    <w:pPr>
      <w:outlineLvl w:val="3"/>
    </w:pPr>
  </w:style>
  <w:style w:type="paragraph" w:styleId="Heading5">
    <w:name w:val="heading 5"/>
    <w:basedOn w:val="Normal"/>
    <w:next w:val="Normal"/>
    <w:link w:val="Heading5Char"/>
    <w:semiHidden/>
    <w:qFormat/>
    <w:rsid w:val="00023842"/>
    <w:pPr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rsid w:val="00023842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023842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023842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rsid w:val="000238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next w:val="Normal"/>
    <w:link w:val="HeaderChar"/>
    <w:qFormat/>
    <w:rsid w:val="00E0299A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E0299A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Footer">
    <w:name w:val="footer"/>
    <w:aliases w:val="3_G"/>
    <w:basedOn w:val="Normal"/>
    <w:next w:val="Normal"/>
    <w:link w:val="FooterChar"/>
    <w:qFormat/>
    <w:rsid w:val="00E0299A"/>
    <w:pPr>
      <w:spacing w:line="240" w:lineRule="auto"/>
    </w:pPr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E0299A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0299A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link w:val="H1GChar"/>
    <w:qFormat/>
    <w:rsid w:val="00E0299A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qFormat/>
    <w:rsid w:val="00E0299A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E0299A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E0299A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0299A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E0299A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E0299A"/>
    <w:pPr>
      <w:numPr>
        <w:numId w:val="16"/>
      </w:numPr>
      <w:tabs>
        <w:tab w:val="clear" w:pos="1701"/>
      </w:tabs>
      <w:spacing w:after="120"/>
      <w:ind w:right="1134"/>
      <w:jc w:val="both"/>
    </w:pPr>
  </w:style>
  <w:style w:type="character" w:styleId="FootnoteReference">
    <w:name w:val="footnote reference"/>
    <w:aliases w:val="4_G"/>
    <w:basedOn w:val="DefaultParagraphFont"/>
    <w:qFormat/>
    <w:rsid w:val="00E0299A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basedOn w:val="FootnoteReference"/>
    <w:qFormat/>
    <w:rsid w:val="00E0299A"/>
    <w:rPr>
      <w:rFonts w:ascii="Times New Roman" w:hAnsi="Times New Roman"/>
      <w:sz w:val="18"/>
      <w:vertAlign w:val="superscript"/>
      <w:lang w:val="fr-CH"/>
    </w:rPr>
  </w:style>
  <w:style w:type="table" w:styleId="TableGrid">
    <w:name w:val="Table Grid"/>
    <w:basedOn w:val="TableNormal"/>
    <w:rsid w:val="00E0299A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nhideWhenUsed/>
    <w:rsid w:val="00E0299A"/>
    <w:rPr>
      <w:color w:val="0000FF"/>
      <w:u w:val="none"/>
    </w:rPr>
  </w:style>
  <w:style w:type="character" w:styleId="FollowedHyperlink">
    <w:name w:val="FollowedHyperlink"/>
    <w:basedOn w:val="DefaultParagraphFont"/>
    <w:unhideWhenUsed/>
    <w:rsid w:val="00E0299A"/>
    <w:rPr>
      <w:color w:val="0000FF"/>
      <w:u w:val="none"/>
    </w:rPr>
  </w:style>
  <w:style w:type="paragraph" w:styleId="FootnoteText">
    <w:name w:val="footnote text"/>
    <w:aliases w:val="5_G,PP,5_G_6"/>
    <w:basedOn w:val="Normal"/>
    <w:link w:val="FootnoteTextChar"/>
    <w:qFormat/>
    <w:rsid w:val="00E0299A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,PP Char,5_G_6 Char"/>
    <w:basedOn w:val="DefaultParagraphFont"/>
    <w:link w:val="FootnoteText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E0299A"/>
  </w:style>
  <w:style w:type="character" w:customStyle="1" w:styleId="EndnoteTextChar">
    <w:name w:val="Endnote Text Char"/>
    <w:aliases w:val="2_G Char"/>
    <w:basedOn w:val="DefaultParagraphFont"/>
    <w:link w:val="EndnoteText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PageNumber">
    <w:name w:val="page number"/>
    <w:aliases w:val="7_G"/>
    <w:basedOn w:val="DefaultParagraphFont"/>
    <w:qFormat/>
    <w:rsid w:val="00E0299A"/>
    <w:rPr>
      <w:rFonts w:ascii="Times New Roman" w:hAnsi="Times New Roman"/>
      <w:b/>
      <w:sz w:val="18"/>
      <w:lang w:val="fr-CH"/>
    </w:rPr>
  </w:style>
  <w:style w:type="character" w:customStyle="1" w:styleId="Heading1Char">
    <w:name w:val="Heading 1 Char"/>
    <w:aliases w:val="Table_G Char"/>
    <w:basedOn w:val="DefaultParagraphFont"/>
    <w:link w:val="Heading1"/>
    <w:rsid w:val="00E0299A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BAF"/>
    <w:rPr>
      <w:rFonts w:ascii="Tahoma" w:hAnsi="Tahoma" w:cs="Tahoma"/>
      <w:sz w:val="16"/>
      <w:szCs w:val="16"/>
      <w:lang w:eastAsia="en-US"/>
    </w:rPr>
  </w:style>
  <w:style w:type="character" w:customStyle="1" w:styleId="HChGChar">
    <w:name w:val="_ H _Ch_G Char"/>
    <w:link w:val="HChG"/>
    <w:rsid w:val="00912963"/>
    <w:rPr>
      <w:rFonts w:ascii="Times New Roman" w:eastAsiaTheme="minorHAnsi" w:hAnsi="Times New Roman" w:cs="Times New Roman"/>
      <w:b/>
      <w:sz w:val="28"/>
      <w:szCs w:val="20"/>
      <w:lang w:eastAsia="en-US"/>
    </w:rPr>
  </w:style>
  <w:style w:type="character" w:customStyle="1" w:styleId="H1GChar">
    <w:name w:val="_ H_1_G Char"/>
    <w:link w:val="H1G"/>
    <w:rsid w:val="00912963"/>
    <w:rPr>
      <w:rFonts w:ascii="Times New Roman" w:eastAsiaTheme="minorHAnsi" w:hAnsi="Times New Roman" w:cs="Times New Roman"/>
      <w:b/>
      <w:sz w:val="24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912963"/>
    <w:pPr>
      <w:kinsoku/>
      <w:overflowPunct/>
      <w:autoSpaceDE/>
      <w:autoSpaceDN/>
      <w:adjustRightInd/>
      <w:snapToGrid/>
      <w:ind w:left="720"/>
      <w:contextualSpacing/>
    </w:pPr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ECE/TRANS/WP.29/GRE/2018/49</vt:lpstr>
      <vt:lpstr>ECE/TRANS/WP.29/GRE/2018/49</vt:lpstr>
    </vt:vector>
  </TitlesOfParts>
  <Company>DCM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ECE/TRANS/WP.29/GRE/2018/49</dc:title>
  <dc:subject/>
  <dc:creator>Fabienne CRELIER</dc:creator>
  <cp:keywords/>
  <cp:lastModifiedBy>Benedicte Boudol</cp:lastModifiedBy>
  <cp:revision>2</cp:revision>
  <cp:lastPrinted>2018-09-07T15:31:00Z</cp:lastPrinted>
  <dcterms:created xsi:type="dcterms:W3CDTF">2018-09-10T08:35:00Z</dcterms:created>
  <dcterms:modified xsi:type="dcterms:W3CDTF">2018-09-10T08:35:00Z</dcterms:modified>
</cp:coreProperties>
</file>