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3F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3FA3" w:rsidP="00AE3FA3">
            <w:pPr>
              <w:jc w:val="right"/>
            </w:pPr>
            <w:r w:rsidRPr="00AE3FA3">
              <w:rPr>
                <w:sz w:val="40"/>
              </w:rPr>
              <w:t>ECE</w:t>
            </w:r>
            <w:r>
              <w:t>/TRANS/WP.29/GRE/2018/47</w:t>
            </w:r>
          </w:p>
        </w:tc>
      </w:tr>
      <w:tr w:rsidR="002D5AAC" w:rsidRPr="00AE3FA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3F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3FA3" w:rsidRDefault="00AE3FA3" w:rsidP="00AE3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AE3FA3" w:rsidRDefault="00AE3FA3" w:rsidP="00AE3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3FA3" w:rsidRPr="008D53B6" w:rsidRDefault="00AE3FA3" w:rsidP="00AE3F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3FA3" w:rsidRPr="00656098" w:rsidRDefault="00AE3FA3" w:rsidP="00AE3FA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56098">
        <w:rPr>
          <w:sz w:val="28"/>
          <w:szCs w:val="28"/>
        </w:rPr>
        <w:t>Комитет по внутреннему транспорту</w:t>
      </w:r>
    </w:p>
    <w:p w:rsidR="00AE3FA3" w:rsidRPr="00656098" w:rsidRDefault="00AE3FA3" w:rsidP="00AE3FA3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65609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56098">
        <w:rPr>
          <w:b/>
          <w:bCs/>
          <w:sz w:val="24"/>
          <w:szCs w:val="24"/>
        </w:rPr>
        <w:br/>
        <w:t>в области транспортных средств</w:t>
      </w:r>
    </w:p>
    <w:p w:rsidR="00AE3FA3" w:rsidRPr="00656098" w:rsidRDefault="00AE3FA3" w:rsidP="00AE3FA3">
      <w:pPr>
        <w:spacing w:before="120" w:after="120"/>
        <w:rPr>
          <w:b/>
          <w:bCs/>
        </w:rPr>
      </w:pPr>
      <w:r w:rsidRPr="00656098">
        <w:rPr>
          <w:b/>
          <w:bCs/>
        </w:rPr>
        <w:t xml:space="preserve">Рабочая группа по вопросам освещения </w:t>
      </w:r>
      <w:r w:rsidRPr="00656098">
        <w:rPr>
          <w:b/>
          <w:bCs/>
        </w:rPr>
        <w:br/>
        <w:t>и световой сигнализации</w:t>
      </w:r>
    </w:p>
    <w:p w:rsidR="00AE3FA3" w:rsidRPr="00656098" w:rsidRDefault="00AE3FA3" w:rsidP="00AE3FA3">
      <w:pPr>
        <w:rPr>
          <w:b/>
        </w:rPr>
      </w:pPr>
      <w:r w:rsidRPr="00656098">
        <w:rPr>
          <w:b/>
        </w:rPr>
        <w:t xml:space="preserve">Восьмидесятая </w:t>
      </w:r>
      <w:r w:rsidRPr="00656098">
        <w:rPr>
          <w:b/>
          <w:bCs/>
        </w:rPr>
        <w:t>сессия</w:t>
      </w:r>
    </w:p>
    <w:p w:rsidR="00AE3FA3" w:rsidRPr="00656098" w:rsidRDefault="00AE3FA3" w:rsidP="00AE3FA3">
      <w:pPr>
        <w:rPr>
          <w:bCs/>
        </w:rPr>
      </w:pPr>
      <w:r w:rsidRPr="00656098">
        <w:t>Женева</w:t>
      </w:r>
      <w:r w:rsidRPr="00656098">
        <w:rPr>
          <w:bCs/>
        </w:rPr>
        <w:t>, 23</w:t>
      </w:r>
      <w:r w:rsidRPr="00656098">
        <w:t>–</w:t>
      </w:r>
      <w:r w:rsidRPr="00656098">
        <w:rPr>
          <w:bCs/>
        </w:rPr>
        <w:t xml:space="preserve">26 октября 2018 </w:t>
      </w:r>
      <w:r w:rsidRPr="00656098">
        <w:t>года</w:t>
      </w:r>
    </w:p>
    <w:p w:rsidR="00AE3FA3" w:rsidRPr="00656098" w:rsidRDefault="00AE3FA3" w:rsidP="00AE3FA3">
      <w:pPr>
        <w:ind w:right="1134"/>
        <w:rPr>
          <w:b/>
          <w:bCs/>
        </w:rPr>
      </w:pPr>
      <w:r w:rsidRPr="00656098">
        <w:t xml:space="preserve">Пункт </w:t>
      </w:r>
      <w:r w:rsidRPr="00656098">
        <w:rPr>
          <w:bCs/>
        </w:rPr>
        <w:t xml:space="preserve">7 b) </w:t>
      </w:r>
      <w:r w:rsidRPr="00656098">
        <w:t>предварительной повестки дня</w:t>
      </w:r>
      <w:r w:rsidRPr="00656098">
        <w:rPr>
          <w:bCs/>
        </w:rPr>
        <w:br/>
      </w:r>
      <w:r w:rsidRPr="00656098">
        <w:rPr>
          <w:b/>
        </w:rPr>
        <w:t>Другие правила ООН</w:t>
      </w:r>
      <w:r w:rsidRPr="00656098">
        <w:rPr>
          <w:b/>
          <w:bCs/>
        </w:rPr>
        <w:t>:</w:t>
      </w:r>
    </w:p>
    <w:p w:rsidR="00AE3FA3" w:rsidRPr="00656098" w:rsidRDefault="00AE3FA3" w:rsidP="00AE3FA3">
      <w:pPr>
        <w:ind w:right="1134"/>
        <w:rPr>
          <w:b/>
          <w:bCs/>
        </w:rPr>
      </w:pPr>
      <w:r w:rsidRPr="00656098">
        <w:rPr>
          <w:b/>
        </w:rPr>
        <w:t xml:space="preserve">Правила № 53 ООН (установка устройств освещения </w:t>
      </w:r>
      <w:r>
        <w:rPr>
          <w:b/>
        </w:rPr>
        <w:br/>
      </w:r>
      <w:r w:rsidRPr="00656098">
        <w:rPr>
          <w:b/>
        </w:rPr>
        <w:t xml:space="preserve">и световой сигнализации для транспортных средств </w:t>
      </w:r>
      <w:r>
        <w:rPr>
          <w:b/>
        </w:rPr>
        <w:br/>
      </w:r>
      <w:r w:rsidRPr="00656098">
        <w:rPr>
          <w:b/>
        </w:rPr>
        <w:t>категории</w:t>
      </w:r>
      <w:r w:rsidRPr="00656098">
        <w:rPr>
          <w:b/>
          <w:bCs/>
        </w:rPr>
        <w:t xml:space="preserve"> L</w:t>
      </w:r>
      <w:r w:rsidRPr="00656098">
        <w:rPr>
          <w:b/>
          <w:bCs/>
          <w:vertAlign w:val="subscript"/>
        </w:rPr>
        <w:t>3</w:t>
      </w:r>
      <w:r w:rsidRPr="00656098">
        <w:rPr>
          <w:b/>
          <w:bCs/>
        </w:rPr>
        <w:t>)</w:t>
      </w:r>
    </w:p>
    <w:p w:rsidR="00AE3FA3" w:rsidRPr="00656098" w:rsidRDefault="00AE3FA3" w:rsidP="00AE3FA3">
      <w:pPr>
        <w:pStyle w:val="HChG"/>
        <w:rPr>
          <w:lang w:val="ru-RU"/>
        </w:rPr>
      </w:pPr>
      <w:r w:rsidRPr="00656098">
        <w:rPr>
          <w:lang w:val="ru-RU"/>
        </w:rPr>
        <w:tab/>
      </w:r>
      <w:r w:rsidRPr="00656098">
        <w:rPr>
          <w:lang w:val="ru-RU"/>
        </w:rPr>
        <w:tab/>
        <w:t xml:space="preserve">Предложение по новому дополнению к поправкам </w:t>
      </w:r>
      <w:r>
        <w:rPr>
          <w:lang w:val="ru-RU"/>
        </w:rPr>
        <w:br/>
      </w:r>
      <w:r w:rsidRPr="00656098">
        <w:rPr>
          <w:lang w:val="ru-RU"/>
        </w:rPr>
        <w:t>серии 01 и к поправкам серии 02 к</w:t>
      </w:r>
      <w:r w:rsidRPr="00656098">
        <w:rPr>
          <w:lang w:val="en-US"/>
        </w:rPr>
        <w:t> </w:t>
      </w:r>
      <w:r w:rsidRPr="00656098">
        <w:rPr>
          <w:lang w:val="ru-RU"/>
        </w:rPr>
        <w:t xml:space="preserve">Правилам № 53 ООН </w:t>
      </w:r>
      <w:r w:rsidRPr="00656098">
        <w:rPr>
          <w:szCs w:val="28"/>
          <w:lang w:val="ru-RU"/>
        </w:rPr>
        <w:t>(</w:t>
      </w:r>
      <w:r w:rsidRPr="00656098">
        <w:rPr>
          <w:lang w:val="ru-RU"/>
        </w:rPr>
        <w:t>установка устройств освещения и световой сигнализации для транспортных средств категории</w:t>
      </w:r>
      <w:r w:rsidRPr="00656098">
        <w:rPr>
          <w:szCs w:val="28"/>
          <w:lang w:val="ru-RU"/>
        </w:rPr>
        <w:t xml:space="preserve"> </w:t>
      </w:r>
      <w:r w:rsidRPr="00656098">
        <w:rPr>
          <w:szCs w:val="28"/>
        </w:rPr>
        <w:t>L</w:t>
      </w:r>
      <w:r w:rsidRPr="00656098">
        <w:rPr>
          <w:szCs w:val="28"/>
          <w:vertAlign w:val="subscript"/>
          <w:lang w:val="ru-RU"/>
        </w:rPr>
        <w:t>3</w:t>
      </w:r>
      <w:r w:rsidRPr="00656098">
        <w:rPr>
          <w:szCs w:val="28"/>
          <w:lang w:val="ru-RU"/>
        </w:rPr>
        <w:t>)</w:t>
      </w:r>
      <w:r w:rsidRPr="00656098">
        <w:rPr>
          <w:lang w:val="ru-RU"/>
        </w:rPr>
        <w:t xml:space="preserve"> </w:t>
      </w:r>
    </w:p>
    <w:p w:rsidR="00AE3FA3" w:rsidRPr="00656098" w:rsidRDefault="00AE3FA3" w:rsidP="00AE3FA3">
      <w:pPr>
        <w:pStyle w:val="H1G"/>
        <w:ind w:firstLine="0"/>
        <w:rPr>
          <w:lang w:val="ru-RU"/>
        </w:rPr>
      </w:pPr>
      <w:r w:rsidRPr="00656098">
        <w:rPr>
          <w:lang w:val="ru-RU"/>
        </w:rPr>
        <w:t>Представлено экспертом от Индии</w:t>
      </w:r>
      <w:r w:rsidRPr="00AE3FA3">
        <w:rPr>
          <w:b w:val="0"/>
          <w:sz w:val="20"/>
          <w:lang w:val="ru-RU"/>
        </w:rPr>
        <w:footnoteReference w:customMarkFollows="1" w:id="1"/>
        <w:t>*</w:t>
      </w:r>
    </w:p>
    <w:p w:rsidR="00AE3FA3" w:rsidRPr="00656098" w:rsidRDefault="00AE3FA3" w:rsidP="00AE3FA3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r w:rsidRPr="00656098">
        <w:rPr>
          <w:shd w:val="clear" w:color="auto" w:fill="FFFFFF"/>
        </w:rPr>
        <w:t xml:space="preserve">Воспроизведенный ниже текст был подготовлен экспертом от Индии с целью сделать факультативным требование об установке передних габаритных огней с учетом введения в Правила № 53 ООН положений об автоматическом включении фар и в качестве альтернативы – дневных ходовых огней. Настоящий документ представляет собой сводное предложение, в основу которого положены неофициальные документы </w:t>
      </w:r>
      <w:r w:rsidRPr="00656098">
        <w:rPr>
          <w:rFonts w:eastAsia="Calibri"/>
        </w:rPr>
        <w:t xml:space="preserve">GRE-76-06 и GRE-77-08. Изменения к </w:t>
      </w:r>
      <w:r w:rsidRPr="00656098">
        <w:t xml:space="preserve">действующему </w:t>
      </w:r>
      <w:r w:rsidRPr="00656098">
        <w:rPr>
          <w:shd w:val="clear" w:color="auto" w:fill="FFFFFF"/>
        </w:rPr>
        <w:t>тексту выделены зачеркиванием в случае исключенных элементов и жирным шрифтом в случае добавления новых положений.</w:t>
      </w:r>
    </w:p>
    <w:p w:rsidR="00AE3FA3" w:rsidRPr="00656098" w:rsidRDefault="00AE3FA3" w:rsidP="00AE3FA3">
      <w:pPr>
        <w:pStyle w:val="HChG"/>
        <w:rPr>
          <w:rFonts w:eastAsia="Times New Roman"/>
          <w:lang w:val="ru-RU"/>
        </w:rPr>
      </w:pPr>
      <w:r w:rsidRPr="00656098">
        <w:rPr>
          <w:lang w:val="ru-RU"/>
        </w:rPr>
        <w:br w:type="page"/>
      </w:r>
      <w:r w:rsidRPr="00656098">
        <w:rPr>
          <w:rFonts w:eastAsia="Times New Roman"/>
          <w:lang w:val="ru-RU"/>
        </w:rPr>
        <w:lastRenderedPageBreak/>
        <w:t xml:space="preserve"> </w:t>
      </w:r>
      <w:r w:rsidRPr="00656098">
        <w:rPr>
          <w:rFonts w:eastAsia="Times New Roman"/>
          <w:lang w:val="ru-RU"/>
        </w:rPr>
        <w:tab/>
      </w:r>
      <w:r w:rsidRPr="00656098">
        <w:rPr>
          <w:rFonts w:eastAsia="Times New Roman"/>
          <w:lang w:val="en-US"/>
        </w:rPr>
        <w:t>I</w:t>
      </w:r>
      <w:r w:rsidRPr="00656098">
        <w:rPr>
          <w:rFonts w:eastAsia="Times New Roman"/>
          <w:lang w:val="ru-RU"/>
        </w:rPr>
        <w:t>.</w:t>
      </w:r>
      <w:r w:rsidRPr="00656098">
        <w:rPr>
          <w:rFonts w:eastAsia="Times New Roman"/>
          <w:lang w:val="ru-RU"/>
        </w:rPr>
        <w:tab/>
        <w:t>Предложение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1134" w:right="1134"/>
        <w:jc w:val="both"/>
      </w:pPr>
      <w:r w:rsidRPr="00656098">
        <w:rPr>
          <w:i/>
        </w:rPr>
        <w:t>Пункт 5.10</w:t>
      </w:r>
      <w:r w:rsidRPr="00656098">
        <w:t xml:space="preserve"> изменить следующим образом: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656098">
        <w:t>5.10</w:t>
      </w:r>
      <w:r w:rsidRPr="00656098">
        <w:tab/>
        <w:t xml:space="preserve">Схема электрических соединений должна быть такой, чтобы </w:t>
      </w:r>
      <w:r w:rsidRPr="00656098">
        <w:rPr>
          <w:strike/>
        </w:rPr>
        <w:t>передний габаритный огонь или</w:t>
      </w:r>
      <w:r w:rsidRPr="00656098">
        <w:t xml:space="preserve"> фара ближнего света </w:t>
      </w:r>
      <w:r w:rsidRPr="00656098">
        <w:rPr>
          <w:strike/>
        </w:rPr>
        <w:t>(в случае отсутствия переднего габаритного огня)</w:t>
      </w:r>
      <w:r w:rsidRPr="00656098">
        <w:t xml:space="preserve">, задний габаритный огонь и фонарь освещения заднего регистрационного знака могли включаться или выключаться только одновременно, если не указано иное. </w:t>
      </w:r>
      <w:r w:rsidRPr="00656098">
        <w:rPr>
          <w:b/>
        </w:rPr>
        <w:t>Данное условие не применимо в отрезок времени между активацией функции центрального управления (поворотом ключа зажигания) и запуском двигателя</w:t>
      </w:r>
      <w:r w:rsidRPr="00F217A9">
        <w:t>»</w:t>
      </w:r>
      <w:r w:rsidRPr="00656098">
        <w:t>.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1134" w:right="1134"/>
        <w:jc w:val="both"/>
      </w:pPr>
      <w:r w:rsidRPr="00656098">
        <w:rPr>
          <w:i/>
        </w:rPr>
        <w:t xml:space="preserve">Пункт 5.14 </w:t>
      </w:r>
      <w:r w:rsidRPr="00656098">
        <w:t>изменить следующим образом:</w:t>
      </w:r>
    </w:p>
    <w:p w:rsidR="00AE3FA3" w:rsidRPr="00656098" w:rsidRDefault="00AE3FA3" w:rsidP="00AE3FA3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656098">
        <w:rPr>
          <w:lang w:val="ru-RU"/>
        </w:rPr>
        <w:t>5.14</w:t>
      </w:r>
      <w:r w:rsidRPr="00656098">
        <w:rPr>
          <w:lang w:val="ru-RU"/>
        </w:rPr>
        <w:tab/>
        <w:t>Каждое транспортное средство, представленное на официальное утверждение на основании настоящих Правил, должно быть оборудовано следующими устройствами освещения и световой сигнализации: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5.14.1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фарой дальнего света (пункт 6.1);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5.14.2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фарой ближнего света (пункт 6.2);</w:t>
      </w:r>
    </w:p>
    <w:p w:rsidR="00AE3FA3" w:rsidRPr="00656098" w:rsidRDefault="00AE3FA3" w:rsidP="00AE3FA3">
      <w:pPr>
        <w:pStyle w:val="SingleTxtG"/>
        <w:ind w:left="2268" w:hanging="1134"/>
        <w:rPr>
          <w:lang w:val="ru-RU"/>
        </w:rPr>
      </w:pPr>
      <w:r w:rsidRPr="00656098">
        <w:rPr>
          <w:lang w:val="ru-RU"/>
        </w:rPr>
        <w:t>5.14.3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указателями поворота (пункт 6.3);</w:t>
      </w:r>
    </w:p>
    <w:p w:rsidR="00AE3FA3" w:rsidRPr="00656098" w:rsidRDefault="00AE3FA3" w:rsidP="00AE3FA3">
      <w:pPr>
        <w:pStyle w:val="SingleTxtG"/>
        <w:ind w:left="2268" w:hanging="1134"/>
        <w:rPr>
          <w:lang w:val="ru-RU"/>
        </w:rPr>
      </w:pPr>
      <w:r w:rsidRPr="00656098">
        <w:rPr>
          <w:lang w:val="ru-RU"/>
        </w:rPr>
        <w:t>5.14.4</w:t>
      </w:r>
      <w:r w:rsidRPr="00656098">
        <w:rPr>
          <w:lang w:val="ru-RU"/>
        </w:rPr>
        <w:tab/>
        <w:t xml:space="preserve">сигналом торможения − устройством категории </w:t>
      </w:r>
      <w:r w:rsidRPr="00656098">
        <w:t>S</w:t>
      </w:r>
      <w:r w:rsidRPr="00656098">
        <w:rPr>
          <w:lang w:val="ru-RU"/>
        </w:rPr>
        <w:t>1, указанным в Правилах № 7, либо сигналом торможения, указанным в Правилах</w:t>
      </w:r>
      <w:r w:rsidRPr="00656098">
        <w:t> </w:t>
      </w:r>
      <w:r w:rsidRPr="00656098">
        <w:rPr>
          <w:lang w:val="ru-RU"/>
        </w:rPr>
        <w:t>№ 50 (пункт 6.4);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5.14.5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фонарем освещения заднего регистрационного знака (пункт 6.5);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5.14.6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передним габаритным огнем (пункт 6.6).</w:t>
      </w:r>
    </w:p>
    <w:p w:rsidR="00AE3FA3" w:rsidRPr="00656098" w:rsidRDefault="00AE3FA3" w:rsidP="00AE3FA3">
      <w:pPr>
        <w:pStyle w:val="SingleTxtG"/>
        <w:ind w:left="2268"/>
        <w:rPr>
          <w:b/>
          <w:lang w:val="ru-RU"/>
        </w:rPr>
      </w:pPr>
      <w:r w:rsidRPr="00656098">
        <w:rPr>
          <w:b/>
          <w:lang w:val="ru-RU"/>
        </w:rPr>
        <w:t>Установка переднего(их) габаритного(ых) огня (огней) является факультативной в случае, когда неисправность источника света, обеспечивающего пучок света одной фары, не сказывается отрицательно на функционировании другой фары (всех остальных фар);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5.14.7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задним габаритным огнем (пункт 6.7);</w:t>
      </w:r>
    </w:p>
    <w:p w:rsidR="00AE3FA3" w:rsidRPr="00656098" w:rsidRDefault="00AE3FA3" w:rsidP="00AE3FA3">
      <w:pPr>
        <w:pStyle w:val="SingleTxtG"/>
        <w:ind w:left="2268" w:hanging="1134"/>
        <w:rPr>
          <w:lang w:val="ru-RU"/>
        </w:rPr>
      </w:pPr>
      <w:r w:rsidRPr="00656098">
        <w:rPr>
          <w:lang w:val="ru-RU"/>
        </w:rPr>
        <w:t>5.14.8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задним светоотражателем нетреугольной формы (пункт 6.8);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5.14.9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боковыми светоотражателями нетреугольной формы (пункт 6.12)</w:t>
      </w:r>
      <w:r w:rsidR="00F217A9">
        <w:rPr>
          <w:lang w:val="ru-RU"/>
        </w:rPr>
        <w:t>;</w:t>
      </w:r>
      <w:r>
        <w:rPr>
          <w:lang w:val="ru-RU"/>
        </w:rPr>
        <w:t>»</w:t>
      </w:r>
      <w:r w:rsidRPr="00656098">
        <w:rPr>
          <w:lang w:val="ru-RU"/>
        </w:rPr>
        <w:t>.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1134" w:right="1134"/>
        <w:jc w:val="both"/>
      </w:pPr>
      <w:r w:rsidRPr="00656098">
        <w:rPr>
          <w:i/>
        </w:rPr>
        <w:t>Пункт 5.15</w:t>
      </w:r>
      <w:r w:rsidRPr="00656098">
        <w:t xml:space="preserve"> изменить следующим образом: 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656098">
        <w:t>5.15</w:t>
      </w:r>
      <w:r w:rsidRPr="00656098">
        <w:tab/>
        <w:t>Кроме того, оно может быть оборудовано следующими устройствами освещения и световой сигнализации: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5.15.1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аварийным сигналом (пункт 6.9);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5.15.2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противотуманными фарами: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5.15.2.1</w:t>
      </w:r>
      <w:r w:rsidRPr="00656098">
        <w:rPr>
          <w:lang w:val="ru-RU"/>
        </w:rPr>
        <w:tab/>
        <w:t>передней (пункт 6.10);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5.15.2.2</w:t>
      </w:r>
      <w:r w:rsidRPr="00656098">
        <w:rPr>
          <w:lang w:val="ru-RU"/>
        </w:rPr>
        <w:tab/>
        <w:t>задней (пункт 6.11);</w:t>
      </w:r>
    </w:p>
    <w:p w:rsidR="00AE3FA3" w:rsidRPr="00656098" w:rsidRDefault="00AE3FA3" w:rsidP="00AE3FA3">
      <w:pPr>
        <w:pStyle w:val="SingleTxtG"/>
        <w:rPr>
          <w:lang w:val="ru-RU"/>
        </w:rPr>
      </w:pPr>
      <w:r w:rsidRPr="00656098">
        <w:rPr>
          <w:lang w:val="ru-RU"/>
        </w:rPr>
        <w:t>5.15.3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дневным ходовым огнем (пункт 6.13);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656098">
        <w:rPr>
          <w:b/>
        </w:rPr>
        <w:t>5.15.4</w:t>
      </w:r>
      <w:r w:rsidRPr="00656098">
        <w:rPr>
          <w:b/>
        </w:rPr>
        <w:tab/>
        <w:t>передним габаритным огнем (пункт 6.6) при соблюдении условий пункта 5.14.6;</w:t>
      </w:r>
      <w:r w:rsidRPr="00AE3FA3">
        <w:t>»</w:t>
      </w:r>
      <w:r>
        <w:t>.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1134" w:right="1134"/>
        <w:jc w:val="both"/>
      </w:pPr>
      <w:r w:rsidRPr="00656098">
        <w:rPr>
          <w:i/>
        </w:rPr>
        <w:t xml:space="preserve">Пункт 6.6.7 </w:t>
      </w:r>
      <w:r w:rsidRPr="00656098">
        <w:t>изменить следующим образом:</w:t>
      </w:r>
    </w:p>
    <w:p w:rsidR="00AE3FA3" w:rsidRPr="00656098" w:rsidRDefault="00AE3FA3" w:rsidP="00AE3FA3">
      <w:pPr>
        <w:pStyle w:val="SingleTxtG"/>
        <w:rPr>
          <w:lang w:val="ru-RU"/>
        </w:rPr>
      </w:pPr>
      <w:r>
        <w:rPr>
          <w:lang w:val="ru-RU"/>
        </w:rPr>
        <w:t>«</w:t>
      </w:r>
      <w:r w:rsidRPr="00656098">
        <w:rPr>
          <w:lang w:val="ru-RU"/>
        </w:rPr>
        <w:t>6.6.7</w:t>
      </w:r>
      <w:r w:rsidRPr="00656098">
        <w:rPr>
          <w:lang w:val="ru-RU"/>
        </w:rPr>
        <w:tab/>
      </w:r>
      <w:r w:rsidRPr="00656098">
        <w:rPr>
          <w:lang w:val="ru-RU"/>
        </w:rPr>
        <w:tab/>
        <w:t>Прочие требования</w:t>
      </w:r>
    </w:p>
    <w:p w:rsidR="00AE3FA3" w:rsidRPr="00656098" w:rsidRDefault="00AE3FA3" w:rsidP="00AE3FA3">
      <w:pPr>
        <w:pStyle w:val="SingleTxtG"/>
        <w:ind w:left="2268" w:hanging="1134"/>
        <w:rPr>
          <w:lang w:val="ru-RU"/>
        </w:rPr>
      </w:pPr>
      <w:r w:rsidRPr="00656098">
        <w:rPr>
          <w:lang w:val="ru-RU"/>
        </w:rPr>
        <w:t>6.6.7.1</w:t>
      </w:r>
      <w:r w:rsidRPr="00656098">
        <w:rPr>
          <w:lang w:val="ru-RU"/>
        </w:rPr>
        <w:tab/>
        <w:t xml:space="preserve">Если передний габаритный огонь совмещен с передним указателем поворота, то схема электрических соединений должна быть такой, чтобы габаритный огонь, расположенный на той же стороне, что и указатель </w:t>
      </w:r>
      <w:r w:rsidRPr="00656098">
        <w:rPr>
          <w:lang w:val="ru-RU"/>
        </w:rPr>
        <w:lastRenderedPageBreak/>
        <w:t>поворота, выключался при работе указателя поворота в мигающем режиме.</w:t>
      </w:r>
    </w:p>
    <w:p w:rsidR="00AE3FA3" w:rsidRPr="00656098" w:rsidRDefault="00AE3FA3" w:rsidP="00AE3FA3">
      <w:pPr>
        <w:shd w:val="clear" w:color="auto" w:fill="FFFFFF"/>
        <w:spacing w:after="120"/>
        <w:ind w:left="1134" w:right="1134"/>
        <w:jc w:val="both"/>
        <w:rPr>
          <w:b/>
        </w:rPr>
      </w:pPr>
      <w:r w:rsidRPr="00656098">
        <w:rPr>
          <w:b/>
        </w:rPr>
        <w:t>6.6.7.2</w:t>
      </w:r>
      <w:r w:rsidRPr="00656098">
        <w:rPr>
          <w:b/>
        </w:rPr>
        <w:tab/>
      </w:r>
      <w:r w:rsidRPr="00656098">
        <w:rPr>
          <w:b/>
        </w:rPr>
        <w:tab/>
        <w:t>Схема электрических соединений должна быть такой, чтобы:</w:t>
      </w:r>
    </w:p>
    <w:p w:rsidR="00AE3FA3" w:rsidRPr="00656098" w:rsidRDefault="00AE3FA3" w:rsidP="00AE3FA3">
      <w:pPr>
        <w:shd w:val="clear" w:color="auto" w:fill="FFFFFF"/>
        <w:spacing w:after="120"/>
        <w:ind w:left="2835" w:right="1134" w:hanging="570"/>
        <w:jc w:val="both"/>
        <w:rPr>
          <w:b/>
        </w:rPr>
      </w:pPr>
      <w:r w:rsidRPr="00656098">
        <w:rPr>
          <w:b/>
        </w:rPr>
        <w:t>a)</w:t>
      </w:r>
      <w:r w:rsidRPr="00656098">
        <w:rPr>
          <w:b/>
        </w:rPr>
        <w:tab/>
        <w:t>передний(е) габаритный(е) огонь (огни), в случае его (их) наличия, мог(ли) включаться вместе с фарой (фарами) либо независимо от фары (фар) при соблюдении условий, упомянутых в пункте 6.1.3.1 или 6.2.3.1;</w:t>
      </w:r>
    </w:p>
    <w:p w:rsidR="00AE3FA3" w:rsidRPr="00656098" w:rsidRDefault="00AE3FA3" w:rsidP="00AE3FA3">
      <w:pPr>
        <w:shd w:val="clear" w:color="auto" w:fill="FFFFFF"/>
        <w:spacing w:after="120"/>
        <w:ind w:left="2835" w:right="1134" w:hanging="570"/>
        <w:jc w:val="both"/>
        <w:rPr>
          <w:b/>
        </w:rPr>
      </w:pPr>
      <w:r w:rsidRPr="00656098">
        <w:rPr>
          <w:b/>
        </w:rPr>
        <w:t>b)</w:t>
      </w:r>
      <w:r w:rsidRPr="00656098">
        <w:rPr>
          <w:b/>
        </w:rPr>
        <w:tab/>
        <w:t>задний габаритный огонь включался при включении переднего габаритного огня;</w:t>
      </w:r>
    </w:p>
    <w:p w:rsidR="00AE3FA3" w:rsidRPr="00656098" w:rsidRDefault="00AE3FA3" w:rsidP="00AE3FA3">
      <w:pPr>
        <w:shd w:val="clear" w:color="auto" w:fill="FFFFFF"/>
        <w:spacing w:after="120"/>
        <w:ind w:left="2835" w:right="1134" w:hanging="570"/>
        <w:jc w:val="both"/>
        <w:rPr>
          <w:b/>
        </w:rPr>
      </w:pPr>
      <w:r w:rsidRPr="00656098">
        <w:rPr>
          <w:b/>
        </w:rPr>
        <w:t>c)</w:t>
      </w:r>
      <w:r w:rsidRPr="00656098">
        <w:rPr>
          <w:b/>
        </w:rPr>
        <w:tab/>
        <w:t>при включении переднего(их) габаритного(ых) огня (огней), в случае его (их) наличия, мог включаться фонарь освещения заднего регистрационного знака</w:t>
      </w:r>
      <w:r>
        <w:t>»</w:t>
      </w:r>
      <w:r w:rsidRPr="00656098">
        <w:t>.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1134" w:right="1134"/>
        <w:jc w:val="both"/>
      </w:pPr>
      <w:r w:rsidRPr="00656098">
        <w:rPr>
          <w:i/>
        </w:rPr>
        <w:t>Пункт 6.13.7.1</w:t>
      </w:r>
      <w:r w:rsidRPr="00656098">
        <w:t xml:space="preserve"> изменить следующим образом: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</w:t>
      </w:r>
      <w:r w:rsidRPr="00656098">
        <w:t>6.13.7.1</w:t>
      </w:r>
      <w:r w:rsidRPr="00656098">
        <w:tab/>
        <w:t>Дневной ходовой огонь должен автоматически выключаться при включении фар, кроме тех случаев, когда фары используются для подачи периодических световых сигналов предупреждения через короткие промежутки времени.</w:t>
      </w:r>
    </w:p>
    <w:p w:rsidR="00AE3FA3" w:rsidRPr="00656098" w:rsidRDefault="00AE3FA3" w:rsidP="00AE3FA3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656098">
        <w:tab/>
        <w:t>Задний габаритный огонь должен включаться при включении дневного(ых) ходового(ых) огня (огней). Передний(е) габаритный(е) огонь (огни)</w:t>
      </w:r>
      <w:r w:rsidRPr="00656098">
        <w:rPr>
          <w:b/>
        </w:rPr>
        <w:t>, в случае его (их) наличия,</w:t>
      </w:r>
      <w:r w:rsidRPr="00656098">
        <w:t xml:space="preserve"> и фонарь освещения заднего регистрационного знака могут включаться по отдельности или вместе при включении дневного(ых) ходового(ых) огня (огней)</w:t>
      </w:r>
      <w:r>
        <w:t>»</w:t>
      </w:r>
      <w:r w:rsidRPr="00656098">
        <w:t>.</w:t>
      </w:r>
    </w:p>
    <w:p w:rsidR="00AE3FA3" w:rsidRPr="00656098" w:rsidRDefault="00AE3FA3" w:rsidP="00AE3FA3">
      <w:pPr>
        <w:pStyle w:val="HChG"/>
        <w:rPr>
          <w:lang w:val="ru-RU"/>
        </w:rPr>
      </w:pPr>
      <w:r w:rsidRPr="00656098">
        <w:rPr>
          <w:lang w:val="ru-RU"/>
        </w:rPr>
        <w:tab/>
      </w:r>
      <w:r w:rsidRPr="00656098">
        <w:rPr>
          <w:lang w:val="en-US"/>
        </w:rPr>
        <w:t>II</w:t>
      </w:r>
      <w:r w:rsidRPr="00656098">
        <w:rPr>
          <w:lang w:val="ru-RU"/>
        </w:rPr>
        <w:t>.</w:t>
      </w:r>
      <w:r w:rsidRPr="00656098">
        <w:rPr>
          <w:lang w:val="ru-RU"/>
        </w:rPr>
        <w:tab/>
        <w:t>Обоснование</w:t>
      </w:r>
    </w:p>
    <w:p w:rsidR="00AE3FA3" w:rsidRPr="00656098" w:rsidRDefault="000B40E3" w:rsidP="000B40E3">
      <w:pPr>
        <w:pStyle w:val="H4GR"/>
      </w:pPr>
      <w:r>
        <w:tab/>
      </w:r>
      <w:r>
        <w:tab/>
      </w:r>
      <w:r w:rsidR="00AE3FA3" w:rsidRPr="00656098">
        <w:t>Предложение относительно факультативности установки переднего габаритного огня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 xml:space="preserve">Передний габаритный огонь предназначен для сигнализации </w:t>
      </w:r>
      <w:r>
        <w:rPr>
          <w:lang w:val="ru-RU"/>
        </w:rPr>
        <w:t>«</w:t>
      </w:r>
      <w:r w:rsidRPr="00656098">
        <w:rPr>
          <w:lang w:val="ru-RU"/>
        </w:rPr>
        <w:t>наличия мотоцикла</w:t>
      </w:r>
      <w:r>
        <w:rPr>
          <w:lang w:val="ru-RU"/>
        </w:rPr>
        <w:t>»</w:t>
      </w:r>
      <w:r w:rsidRPr="00656098">
        <w:rPr>
          <w:lang w:val="ru-RU"/>
        </w:rPr>
        <w:t>, если смотреть на него спереди.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>Обязательное наличие на мотоцикле переднего габаритного огня представляется целесообразным в случаях, когда транспортное средство не имеет функции автоматического включения фар (АВФ) или не оборудовано дневными ходовыми огнями (ДХО).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>Если же транспортное средство имеет функцию АВФ или оборудовано ДХО, то за счет этого обеспечивается гораздо более эффективная по сравнению с передним габаритным огнем сигнализация наличия мотоцикла спереди. Соответственно необходимость наличия переднего габаритного огня становится излишней.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shd w:val="clear" w:color="auto" w:fill="FFFFFF"/>
          <w:lang w:val="ru-RU"/>
        </w:rPr>
        <w:t>Факультативность требования о наличии переднего габаритного огня обеспечивает изготовителям возможность устанавливать такой огонь на мотоциклах, если они планируют сделать это.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>Предлагаемые в настоящем документе изменения позволят снизить приходящееся на огни потребление энергии, а также удешевить транспортное средство.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>Как известно, в 2001 году Рабочая группа GRE занималась аналогичным предложением, представленным Международной ассоциацией заводов-изготовителей мотоциклов (МАЗМ), которое впоследствии было снято с рассмотрения по соображениям безопасности, обусловленным недостаточной резервной избыточностью в случае выхода из строя фары. На момент внесения этого предложения Правилами № 53 ООН не предусматривалось обязательного наличия функции АВФ. Кроме того, предложенное изменение касалось только двухколесных транспортных средств с функцией АВФ. Впоследствии никаких серьезных усилий по решению этих проблем безопасности не предпринималось.</w:t>
      </w:r>
    </w:p>
    <w:p w:rsidR="00AE3FA3" w:rsidRPr="00656098" w:rsidRDefault="00AE3FA3" w:rsidP="000B40E3">
      <w:pPr>
        <w:pStyle w:val="ListParagraph"/>
        <w:numPr>
          <w:ilvl w:val="0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shd w:val="clear" w:color="auto" w:fill="FFFFFF"/>
          <w:lang w:val="ru-RU"/>
        </w:rPr>
        <w:lastRenderedPageBreak/>
        <w:t xml:space="preserve">Индия отдает себе отчет в том, что без урегулирования вопросов, касающихся </w:t>
      </w:r>
      <w:r w:rsidRPr="00656098">
        <w:rPr>
          <w:lang w:val="ru-RU"/>
        </w:rPr>
        <w:t>требований в отношении резервной избыточности, говорить о факультативности установки передних габаритных огней (ПГО) не</w:t>
      </w:r>
      <w:r w:rsidRPr="00656098">
        <w:rPr>
          <w:shd w:val="clear" w:color="auto" w:fill="FFFFFF"/>
          <w:lang w:val="ru-RU"/>
        </w:rPr>
        <w:t xml:space="preserve"> приходится. Ниже кратко изложены замечания Индии относительно требований, предъявляемых к безопасности.</w:t>
      </w:r>
    </w:p>
    <w:p w:rsidR="00AE3FA3" w:rsidRPr="00656098" w:rsidRDefault="00AE3FA3" w:rsidP="000B40E3">
      <w:pPr>
        <w:pStyle w:val="ListParagraph"/>
        <w:numPr>
          <w:ilvl w:val="1"/>
          <w:numId w:val="23"/>
        </w:numPr>
        <w:spacing w:after="120"/>
        <w:ind w:left="1701" w:right="1134" w:hanging="567"/>
        <w:contextualSpacing w:val="0"/>
        <w:jc w:val="both"/>
        <w:rPr>
          <w:lang w:val="ru-RU"/>
        </w:rPr>
      </w:pPr>
      <w:r w:rsidRPr="00656098">
        <w:rPr>
          <w:shd w:val="clear" w:color="auto" w:fill="FFFFFF"/>
          <w:lang w:val="ru-RU"/>
        </w:rPr>
        <w:t xml:space="preserve">Связанные с </w:t>
      </w:r>
      <w:r w:rsidRPr="00656098">
        <w:rPr>
          <w:lang w:val="ru-RU"/>
        </w:rPr>
        <w:t>ПГО вопросы обеспечения безопасности в случае неисправности фары</w:t>
      </w:r>
      <w:r w:rsidR="000B40E3">
        <w:rPr>
          <w:lang w:val="ru-RU"/>
        </w:rPr>
        <w:t>:</w:t>
      </w:r>
    </w:p>
    <w:p w:rsidR="00AE3FA3" w:rsidRPr="00656098" w:rsidRDefault="00AE3FA3" w:rsidP="000B40E3">
      <w:pPr>
        <w:pStyle w:val="ListParagraph"/>
        <w:numPr>
          <w:ilvl w:val="2"/>
          <w:numId w:val="23"/>
        </w:numPr>
        <w:spacing w:after="120"/>
        <w:ind w:left="1701" w:right="1134" w:hanging="567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t xml:space="preserve">ПГО предназначен главным образом для </w:t>
      </w:r>
      <w:r w:rsidRPr="00656098">
        <w:rPr>
          <w:lang w:val="ru-RU"/>
        </w:rPr>
        <w:t>обеспечения</w:t>
      </w:r>
      <w:r w:rsidRPr="00656098">
        <w:rPr>
          <w:shd w:val="clear" w:color="auto" w:fill="FFFFFF"/>
          <w:lang w:val="ru-RU"/>
        </w:rPr>
        <w:t xml:space="preserve"> заметности транспортного средства спереди. Он не будет служит никакой иной цели, кроме как совсем незначительное улучшение видимости для мотоциклиста.</w:t>
      </w:r>
    </w:p>
    <w:p w:rsidR="00AE3FA3" w:rsidRPr="00656098" w:rsidRDefault="00AE3FA3" w:rsidP="000B40E3">
      <w:pPr>
        <w:pStyle w:val="ListParagraph"/>
        <w:numPr>
          <w:ilvl w:val="2"/>
          <w:numId w:val="23"/>
        </w:numPr>
        <w:spacing w:after="120"/>
        <w:ind w:left="1701" w:right="1134" w:hanging="567"/>
        <w:contextualSpacing w:val="0"/>
        <w:jc w:val="both"/>
        <w:rPr>
          <w:lang w:val="ru-RU"/>
        </w:rPr>
      </w:pPr>
      <w:r w:rsidRPr="00656098">
        <w:rPr>
          <w:lang w:val="ru-RU"/>
        </w:rPr>
        <w:t xml:space="preserve">В Индии установка ПГО до сих пор являлась факультативной, однако о каких-либо негативных последствиях, обусловленных </w:t>
      </w:r>
      <w:r w:rsidRPr="00656098">
        <w:rPr>
          <w:shd w:val="clear" w:color="auto" w:fill="FFFFFF"/>
          <w:lang w:val="ru-RU"/>
        </w:rPr>
        <w:t xml:space="preserve">– в </w:t>
      </w:r>
      <w:r w:rsidRPr="00656098">
        <w:rPr>
          <w:lang w:val="ru-RU"/>
        </w:rPr>
        <w:t xml:space="preserve">отсутствие </w:t>
      </w:r>
      <w:r w:rsidRPr="00656098">
        <w:rPr>
          <w:shd w:val="clear" w:color="auto" w:fill="FFFFFF"/>
          <w:lang w:val="ru-RU"/>
        </w:rPr>
        <w:t xml:space="preserve">ПГО – </w:t>
      </w:r>
      <w:r w:rsidRPr="00656098">
        <w:rPr>
          <w:lang w:val="ru-RU"/>
        </w:rPr>
        <w:t>выходом из строя фары, не сообщалось.</w:t>
      </w:r>
    </w:p>
    <w:p w:rsidR="00AE3FA3" w:rsidRPr="00656098" w:rsidRDefault="00AE3FA3" w:rsidP="000B40E3">
      <w:pPr>
        <w:pStyle w:val="ListParagraph"/>
        <w:numPr>
          <w:ilvl w:val="1"/>
          <w:numId w:val="23"/>
        </w:numPr>
        <w:spacing w:after="120"/>
        <w:ind w:left="1134" w:right="1134" w:firstLine="0"/>
        <w:contextualSpacing w:val="0"/>
        <w:jc w:val="both"/>
        <w:rPr>
          <w:lang w:val="ru-RU"/>
        </w:rPr>
      </w:pPr>
      <w:r w:rsidRPr="00656098">
        <w:rPr>
          <w:lang w:val="ru-RU"/>
        </w:rPr>
        <w:t>Требования в отношении резервной избыточности</w:t>
      </w:r>
      <w:r w:rsidR="000B40E3">
        <w:rPr>
          <w:lang w:val="ru-RU"/>
        </w:rPr>
        <w:t>:</w:t>
      </w:r>
    </w:p>
    <w:p w:rsidR="00AE3FA3" w:rsidRPr="00656098" w:rsidRDefault="00AE3FA3" w:rsidP="000B40E3">
      <w:pPr>
        <w:spacing w:after="120"/>
        <w:ind w:left="1701" w:right="1134"/>
        <w:rPr>
          <w:shd w:val="clear" w:color="auto" w:fill="FFFFFF"/>
        </w:rPr>
      </w:pPr>
      <w:r w:rsidRPr="00656098">
        <w:rPr>
          <w:shd w:val="clear" w:color="auto" w:fill="FFFFFF"/>
        </w:rPr>
        <w:t>Возможны следующие виды неисправности фары:</w:t>
      </w:r>
    </w:p>
    <w:p w:rsidR="00AE3FA3" w:rsidRPr="00656098" w:rsidRDefault="00AE3FA3" w:rsidP="000B40E3">
      <w:pPr>
        <w:spacing w:after="120"/>
        <w:ind w:left="1701" w:right="1134"/>
        <w:rPr>
          <w:shd w:val="clear" w:color="auto" w:fill="FFFFFF"/>
        </w:rPr>
      </w:pPr>
      <w:r w:rsidRPr="00656098">
        <w:rPr>
          <w:shd w:val="clear" w:color="auto" w:fill="FFFFFF"/>
        </w:rPr>
        <w:t xml:space="preserve">a) </w:t>
      </w:r>
      <w:r w:rsidRPr="00656098">
        <w:rPr>
          <w:shd w:val="clear" w:color="auto" w:fill="FFFFFF"/>
        </w:rPr>
        <w:tab/>
      </w:r>
      <w:r w:rsidRPr="00656098">
        <w:t>выход из строя источника света;</w:t>
      </w:r>
    </w:p>
    <w:p w:rsidR="00AE3FA3" w:rsidRPr="00656098" w:rsidRDefault="00AE3FA3" w:rsidP="000B40E3">
      <w:pPr>
        <w:spacing w:after="120"/>
        <w:ind w:left="2265" w:right="1134" w:hanging="564"/>
        <w:rPr>
          <w:shd w:val="clear" w:color="auto" w:fill="FFFFFF"/>
        </w:rPr>
      </w:pPr>
      <w:r w:rsidRPr="00656098">
        <w:rPr>
          <w:shd w:val="clear" w:color="auto" w:fill="FFFFFF"/>
        </w:rPr>
        <w:t xml:space="preserve">b) </w:t>
      </w:r>
      <w:r w:rsidRPr="00656098">
        <w:rPr>
          <w:shd w:val="clear" w:color="auto" w:fill="FFFFFF"/>
        </w:rPr>
        <w:tab/>
        <w:t>нарушение целостности цепи (разрыв электропровода, отход контакта и</w:t>
      </w:r>
      <w:r>
        <w:rPr>
          <w:shd w:val="clear" w:color="auto" w:fill="FFFFFF"/>
        </w:rPr>
        <w:t> </w:t>
      </w:r>
      <w:r w:rsidRPr="00656098">
        <w:rPr>
          <w:shd w:val="clear" w:color="auto" w:fill="FFFFFF"/>
        </w:rPr>
        <w:t>т.</w:t>
      </w:r>
      <w:r>
        <w:rPr>
          <w:shd w:val="clear" w:color="auto" w:fill="FFFFFF"/>
        </w:rPr>
        <w:t> </w:t>
      </w:r>
      <w:r w:rsidRPr="00656098">
        <w:rPr>
          <w:shd w:val="clear" w:color="auto" w:fill="FFFFFF"/>
        </w:rPr>
        <w:t>д.);</w:t>
      </w:r>
    </w:p>
    <w:p w:rsidR="00AE3FA3" w:rsidRPr="00656098" w:rsidRDefault="00AE3FA3" w:rsidP="000B40E3">
      <w:pPr>
        <w:spacing w:after="120"/>
        <w:ind w:left="1134" w:right="1134" w:firstLine="567"/>
        <w:rPr>
          <w:shd w:val="clear" w:color="auto" w:fill="FFFFFF"/>
        </w:rPr>
      </w:pPr>
      <w:r w:rsidRPr="00656098">
        <w:rPr>
          <w:shd w:val="clear" w:color="auto" w:fill="FFFFFF"/>
        </w:rPr>
        <w:t xml:space="preserve">c) </w:t>
      </w:r>
      <w:r w:rsidRPr="00656098">
        <w:rPr>
          <w:shd w:val="clear" w:color="auto" w:fill="FFFFFF"/>
        </w:rPr>
        <w:tab/>
        <w:t>механическое повреждение фары.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t xml:space="preserve">При наличии неисправностей цепи и механическом повреждении фары не будут работать и </w:t>
      </w:r>
      <w:r w:rsidRPr="00656098">
        <w:rPr>
          <w:lang w:val="ru-RU"/>
        </w:rPr>
        <w:t>ПГО</w:t>
      </w:r>
      <w:r w:rsidRPr="00656098">
        <w:rPr>
          <w:shd w:val="clear" w:color="auto" w:fill="FFFFFF"/>
          <w:lang w:val="ru-RU"/>
        </w:rPr>
        <w:t>.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t xml:space="preserve">Для целей обеспечения </w:t>
      </w:r>
      <w:r w:rsidRPr="00656098">
        <w:rPr>
          <w:lang w:val="ru-RU"/>
        </w:rPr>
        <w:t xml:space="preserve">применительно к любому требованию в плане </w:t>
      </w:r>
      <w:r w:rsidRPr="00656098">
        <w:rPr>
          <w:shd w:val="clear" w:color="auto" w:fill="FFFFFF"/>
          <w:lang w:val="ru-RU"/>
        </w:rPr>
        <w:t xml:space="preserve">безопасности </w:t>
      </w:r>
      <w:r w:rsidRPr="00656098">
        <w:rPr>
          <w:lang w:val="ru-RU"/>
        </w:rPr>
        <w:t>резервной избыточ</w:t>
      </w:r>
      <w:r w:rsidRPr="00656098">
        <w:rPr>
          <w:shd w:val="clear" w:color="auto" w:fill="FFFFFF"/>
          <w:lang w:val="ru-RU"/>
        </w:rPr>
        <w:t xml:space="preserve">ности следуют общему подходу, предполагающему наличие </w:t>
      </w:r>
      <w:r>
        <w:rPr>
          <w:lang w:val="ru-RU"/>
        </w:rPr>
        <w:t>«</w:t>
      </w:r>
      <w:r w:rsidRPr="00656098">
        <w:rPr>
          <w:lang w:val="ru-RU"/>
        </w:rPr>
        <w:t>одновременно только одной неисправности</w:t>
      </w:r>
      <w:r>
        <w:rPr>
          <w:lang w:val="ru-RU"/>
        </w:rPr>
        <w:t>»</w:t>
      </w:r>
      <w:r w:rsidRPr="00656098">
        <w:rPr>
          <w:shd w:val="clear" w:color="auto" w:fill="FFFFFF"/>
          <w:lang w:val="ru-RU"/>
        </w:rPr>
        <w:t>. Данный подход прочно утвердился для тормозных систем (транспортные средства всех категорий, системы рулевого управления 4-колесных транспортных средств и т.</w:t>
      </w:r>
      <w:r>
        <w:rPr>
          <w:shd w:val="clear" w:color="auto" w:fill="FFFFFF"/>
          <w:lang w:val="ru-RU"/>
        </w:rPr>
        <w:t> </w:t>
      </w:r>
      <w:r w:rsidRPr="00656098">
        <w:rPr>
          <w:shd w:val="clear" w:color="auto" w:fill="FFFFFF"/>
          <w:lang w:val="ru-RU"/>
        </w:rPr>
        <w:t>д.).</w:t>
      </w:r>
    </w:p>
    <w:p w:rsidR="00AE3FA3" w:rsidRPr="00656098" w:rsidRDefault="00AE3FA3" w:rsidP="000B40E3">
      <w:pPr>
        <w:pStyle w:val="ListParagraph"/>
        <w:numPr>
          <w:ilvl w:val="2"/>
          <w:numId w:val="23"/>
        </w:numPr>
        <w:spacing w:after="120"/>
        <w:ind w:left="1134" w:right="1134" w:firstLine="0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lang w:val="ru-RU"/>
        </w:rPr>
        <w:t>Резервная избыточность, уже заложенная и без ПГО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lang w:val="ru-RU"/>
        </w:rPr>
        <w:t>Наличие ПГО для обеспечения резервной избыточности не требуется в следующих случаях:</w:t>
      </w:r>
    </w:p>
    <w:p w:rsidR="00AE3FA3" w:rsidRPr="00656098" w:rsidRDefault="00AE3FA3" w:rsidP="000B40E3">
      <w:pPr>
        <w:spacing w:after="120"/>
        <w:ind w:left="2265" w:right="1134" w:hanging="564"/>
        <w:rPr>
          <w:shd w:val="clear" w:color="auto" w:fill="FFFFFF"/>
        </w:rPr>
      </w:pPr>
      <w:r w:rsidRPr="00656098">
        <w:rPr>
          <w:shd w:val="clear" w:color="auto" w:fill="FFFFFF"/>
        </w:rPr>
        <w:t>a)</w:t>
      </w:r>
      <w:r w:rsidRPr="00656098">
        <w:rPr>
          <w:shd w:val="clear" w:color="auto" w:fill="FFFFFF"/>
        </w:rPr>
        <w:tab/>
        <w:t xml:space="preserve">при использовании вместо </w:t>
      </w:r>
      <w:r w:rsidRPr="00656098">
        <w:t xml:space="preserve">АВФ дневных ходовых огней </w:t>
      </w:r>
      <w:r w:rsidRPr="00656098">
        <w:rPr>
          <w:shd w:val="clear" w:color="auto" w:fill="FFFFFF"/>
        </w:rPr>
        <w:t xml:space="preserve">функцию обеспечения видимости и заметности будут выполнять – в случае </w:t>
      </w:r>
      <w:r w:rsidRPr="00656098">
        <w:t xml:space="preserve">выхода из строя фары </w:t>
      </w:r>
      <w:r w:rsidRPr="00656098">
        <w:rPr>
          <w:shd w:val="clear" w:color="auto" w:fill="FFFFFF"/>
        </w:rPr>
        <w:t>–</w:t>
      </w:r>
      <w:r w:rsidRPr="00656098">
        <w:t xml:space="preserve"> ДХО;</w:t>
      </w:r>
    </w:p>
    <w:p w:rsidR="00AE3FA3" w:rsidRPr="00656098" w:rsidRDefault="00AE3FA3" w:rsidP="000B40E3">
      <w:pPr>
        <w:spacing w:after="120"/>
        <w:ind w:left="2265" w:right="1134" w:hanging="564"/>
        <w:rPr>
          <w:shd w:val="clear" w:color="auto" w:fill="FFFFFF"/>
        </w:rPr>
      </w:pPr>
      <w:r w:rsidRPr="00656098">
        <w:rPr>
          <w:shd w:val="clear" w:color="auto" w:fill="FFFFFF"/>
        </w:rPr>
        <w:t>b)</w:t>
      </w:r>
      <w:r w:rsidRPr="00656098">
        <w:rPr>
          <w:shd w:val="clear" w:color="auto" w:fill="FFFFFF"/>
        </w:rPr>
        <w:tab/>
        <w:t xml:space="preserve">Правилами № 53 ООН предписываются различные схемы установки фары. Если предусмотрено несколько фар (будь то дальнего или ближнего света), то </w:t>
      </w:r>
      <w:r w:rsidRPr="00656098">
        <w:t>выход из строя одной фары обычно не сказывается на функционировании другой(их) фары (фар)</w:t>
      </w:r>
      <w:r w:rsidRPr="00656098">
        <w:rPr>
          <w:shd w:val="clear" w:color="auto" w:fill="FFFFFF"/>
        </w:rPr>
        <w:t xml:space="preserve">. Поэтому в наличии </w:t>
      </w:r>
      <w:r w:rsidRPr="00656098">
        <w:t>ПГО для целей резервной избыточности нет необходимости.</w:t>
      </w:r>
    </w:p>
    <w:p w:rsidR="00AE3FA3" w:rsidRPr="00656098" w:rsidRDefault="00AE3FA3" w:rsidP="000B40E3">
      <w:pPr>
        <w:pStyle w:val="ListParagraph"/>
        <w:numPr>
          <w:ilvl w:val="2"/>
          <w:numId w:val="23"/>
        </w:numPr>
        <w:spacing w:after="120"/>
        <w:ind w:left="1134" w:right="1134" w:firstLine="0"/>
        <w:contextualSpacing w:val="0"/>
        <w:jc w:val="both"/>
        <w:rPr>
          <w:shd w:val="clear" w:color="auto" w:fill="FFFFFF"/>
        </w:rPr>
      </w:pPr>
      <w:r w:rsidRPr="00656098">
        <w:rPr>
          <w:shd w:val="clear" w:color="auto" w:fill="FFFFFF"/>
          <w:lang w:val="ru-RU"/>
        </w:rPr>
        <w:t>Необходимая резервная избыточность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t xml:space="preserve">Необходимость в обеспечении резервной избыточности возникает только в случае, когда фары ближнего и дальнего света являются совмещенными, причем в них используются источники света с двойной либо одиночной нитью накала, работающие при разных значениях напряжения (например, </w:t>
      </w:r>
      <w:r w:rsidRPr="00656098">
        <w:rPr>
          <w:shd w:val="clear" w:color="auto" w:fill="FFFFFF"/>
        </w:rPr>
        <w:t>H</w:t>
      </w:r>
      <w:r w:rsidRPr="00656098">
        <w:rPr>
          <w:shd w:val="clear" w:color="auto" w:fill="FFFFFF"/>
          <w:lang w:val="ru-RU"/>
        </w:rPr>
        <w:t>9 или распределенная система освещения, и т.</w:t>
      </w:r>
      <w:r w:rsidR="000B40E3">
        <w:rPr>
          <w:shd w:val="clear" w:color="auto" w:fill="FFFFFF"/>
          <w:lang w:val="ru-RU"/>
        </w:rPr>
        <w:t> </w:t>
      </w:r>
      <w:r w:rsidRPr="00656098">
        <w:rPr>
          <w:shd w:val="clear" w:color="auto" w:fill="FFFFFF"/>
          <w:lang w:val="ru-RU"/>
        </w:rPr>
        <w:t>д.).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t xml:space="preserve">Выход из строя одной нити накала </w:t>
      </w:r>
      <w:r w:rsidRPr="00656098">
        <w:rPr>
          <w:lang w:val="ru-RU"/>
        </w:rPr>
        <w:t xml:space="preserve">не должен сказываться на функционировании другой </w:t>
      </w:r>
      <w:r w:rsidRPr="00656098">
        <w:rPr>
          <w:shd w:val="clear" w:color="auto" w:fill="FFFFFF"/>
          <w:lang w:val="ru-RU"/>
        </w:rPr>
        <w:t xml:space="preserve">нити накала. Таким образом, при выходе из строя нити накала луча ближнего света может включаться луч дальнего света, и наоборот. Надлежит учитывать возможность разрыва электрической цепи, при котором происходит </w:t>
      </w:r>
      <w:r w:rsidRPr="00656098">
        <w:rPr>
          <w:lang w:val="ru-RU"/>
        </w:rPr>
        <w:t>выключение как фары ближнего, так и фары дальнего света.</w:t>
      </w:r>
    </w:p>
    <w:p w:rsidR="00AE3FA3" w:rsidRPr="00656098" w:rsidRDefault="00AE3FA3" w:rsidP="000B40E3">
      <w:pPr>
        <w:pStyle w:val="ListParagraph"/>
        <w:spacing w:after="120"/>
        <w:ind w:left="1701" w:right="1134"/>
        <w:contextualSpacing w:val="0"/>
        <w:jc w:val="both"/>
        <w:rPr>
          <w:shd w:val="clear" w:color="auto" w:fill="FFFFFF"/>
          <w:lang w:val="ru-RU"/>
        </w:rPr>
      </w:pPr>
      <w:r w:rsidRPr="00656098">
        <w:rPr>
          <w:shd w:val="clear" w:color="auto" w:fill="FFFFFF"/>
          <w:lang w:val="ru-RU"/>
        </w:rPr>
        <w:lastRenderedPageBreak/>
        <w:t xml:space="preserve">Однако в случаях, когда и для фары ближнего, и для фары дальнего света используется единый источник света, в порядке обеспечения резервной избыточности будет требоваться наличие </w:t>
      </w:r>
      <w:r w:rsidRPr="00656098">
        <w:rPr>
          <w:lang w:val="ru-RU"/>
        </w:rPr>
        <w:t>ПГО</w:t>
      </w:r>
      <w:r w:rsidRPr="00656098">
        <w:rPr>
          <w:shd w:val="clear" w:color="auto" w:fill="FFFFFF"/>
          <w:lang w:val="ru-RU"/>
        </w:rPr>
        <w:t>.</w:t>
      </w:r>
    </w:p>
    <w:p w:rsidR="00AE3FA3" w:rsidRPr="00656098" w:rsidRDefault="00AE3FA3" w:rsidP="000B40E3">
      <w:pPr>
        <w:spacing w:after="120"/>
        <w:ind w:left="1701" w:right="1134" w:hanging="567"/>
        <w:jc w:val="both"/>
      </w:pPr>
      <w:r w:rsidRPr="00656098">
        <w:t>8.</w:t>
      </w:r>
      <w:r w:rsidRPr="00656098">
        <w:tab/>
        <w:t>Резюме предлагаемых изменений к требованиям, касающимся схемы электрических соединений:</w:t>
      </w:r>
    </w:p>
    <w:tbl>
      <w:tblPr>
        <w:tblStyle w:val="TableGrid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260"/>
        <w:gridCol w:w="1564"/>
      </w:tblGrid>
      <w:tr w:rsidR="00AE3FA3" w:rsidRPr="00AE3FA3" w:rsidTr="000B40E3">
        <w:trPr>
          <w:tblHeader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>Устройство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>Состояние</w:t>
            </w:r>
            <w:r w:rsidRPr="00AE3FA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E3FA3">
              <w:rPr>
                <w:b/>
                <w:i/>
                <w:sz w:val="16"/>
                <w:szCs w:val="16"/>
                <w:lang w:val="ru-RU"/>
              </w:rPr>
              <w:t>других</w:t>
            </w:r>
            <w:r w:rsidRPr="00AE3FA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AE3FA3">
              <w:rPr>
                <w:b/>
                <w:i/>
                <w:sz w:val="16"/>
                <w:szCs w:val="16"/>
                <w:lang w:val="ru-RU"/>
              </w:rPr>
              <w:t>огней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>Замечания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 xml:space="preserve">Предусматриваемые предложением </w:t>
            </w:r>
            <w:r>
              <w:rPr>
                <w:b/>
                <w:i/>
                <w:sz w:val="16"/>
                <w:szCs w:val="16"/>
                <w:lang w:val="ru-RU"/>
              </w:rPr>
              <w:br/>
            </w:r>
            <w:r w:rsidRPr="00AE3FA3">
              <w:rPr>
                <w:b/>
                <w:i/>
                <w:sz w:val="16"/>
                <w:szCs w:val="16"/>
                <w:lang w:val="ru-RU"/>
              </w:rPr>
              <w:t>изменения</w:t>
            </w:r>
          </w:p>
        </w:tc>
      </w:tr>
      <w:tr w:rsidR="00AE3FA3" w:rsidRPr="00AE3FA3" w:rsidTr="000B40E3">
        <w:trPr>
          <w:tblHeader/>
        </w:trPr>
        <w:tc>
          <w:tcPr>
            <w:tcW w:w="15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>нынешнее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E3FA3">
              <w:rPr>
                <w:b/>
                <w:i/>
                <w:sz w:val="16"/>
                <w:szCs w:val="16"/>
                <w:lang w:val="ru-RU"/>
              </w:rPr>
              <w:t xml:space="preserve">предлагаемое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3FA3" w:rsidRPr="00AE3FA3" w:rsidRDefault="00AE3FA3" w:rsidP="00AE3FA3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0"/>
              <w:contextualSpacing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AE3FA3" w:rsidRPr="00656098" w:rsidTr="008C2E59">
        <w:tc>
          <w:tcPr>
            <w:tcW w:w="1555" w:type="dxa"/>
            <w:tcBorders>
              <w:top w:val="single" w:sz="12" w:space="0" w:color="auto"/>
            </w:tcBorders>
          </w:tcPr>
          <w:p w:rsidR="00AE3FA3" w:rsidRPr="00AE3FA3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Фара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При включении фары ДХО выключается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E3FA3" w:rsidRPr="00AE3FA3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</w:rPr>
              <w:sym w:font="Wingdings" w:char="F0DF"/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E3FA3" w:rsidRPr="00AE3FA3" w:rsidRDefault="00AE3FA3" w:rsidP="00231A4C">
            <w:pPr>
              <w:autoSpaceDE w:val="0"/>
              <w:autoSpaceDN w:val="0"/>
              <w:adjustRightInd w:val="0"/>
              <w:spacing w:before="80" w:after="80"/>
              <w:ind w:left="62" w:right="76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</w:rPr>
              <w:t>Без</w:t>
            </w:r>
            <w:r w:rsidRPr="00AE3FA3">
              <w:rPr>
                <w:sz w:val="18"/>
                <w:szCs w:val="18"/>
              </w:rPr>
              <w:t xml:space="preserve"> </w:t>
            </w:r>
            <w:r w:rsidRPr="00656098">
              <w:rPr>
                <w:sz w:val="18"/>
                <w:szCs w:val="18"/>
              </w:rPr>
              <w:t>изменений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AE3FA3" w:rsidRPr="00AE3FA3" w:rsidRDefault="00AE3FA3" w:rsidP="000B40E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rPr>
                <w:sz w:val="18"/>
                <w:szCs w:val="18"/>
                <w:lang w:val="ru-RU"/>
              </w:rPr>
            </w:pPr>
            <w:r w:rsidRPr="00AE3FA3">
              <w:rPr>
                <w:sz w:val="18"/>
                <w:szCs w:val="18"/>
                <w:lang w:val="ru-RU"/>
              </w:rPr>
              <w:t>−</w:t>
            </w:r>
          </w:p>
        </w:tc>
      </w:tr>
      <w:tr w:rsidR="008C2E59" w:rsidRPr="00656098" w:rsidTr="008C2E59">
        <w:tc>
          <w:tcPr>
            <w:tcW w:w="1555" w:type="dxa"/>
            <w:vMerge w:val="restart"/>
          </w:tcPr>
          <w:p w:rsidR="00AE3FA3" w:rsidRPr="00AE3FA3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Задний</w:t>
            </w:r>
            <w:r w:rsidRPr="00AE3FA3">
              <w:rPr>
                <w:sz w:val="18"/>
                <w:szCs w:val="18"/>
                <w:lang w:val="ru-RU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габаритный</w:t>
            </w:r>
            <w:r w:rsidRPr="00AE3FA3">
              <w:rPr>
                <w:sz w:val="18"/>
                <w:szCs w:val="18"/>
                <w:lang w:val="ru-RU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огонь</w:t>
            </w:r>
          </w:p>
        </w:tc>
        <w:tc>
          <w:tcPr>
            <w:tcW w:w="1559" w:type="dxa"/>
          </w:tcPr>
          <w:p w:rsidR="00AE3FA3" w:rsidRPr="00656098" w:rsidRDefault="00AE3FA3" w:rsidP="000B40E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одновременно с</w:t>
            </w:r>
            <w:r w:rsidR="000B40E3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 xml:space="preserve">фарой 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вместе с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фарой</w:t>
            </w:r>
          </w:p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Однако может включаться при выключении фары в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 xml:space="preserve">период, когда главный переключатель находится в положении </w:t>
            </w:r>
            <w:r>
              <w:rPr>
                <w:sz w:val="18"/>
                <w:szCs w:val="18"/>
                <w:lang w:val="ru-RU"/>
              </w:rPr>
              <w:t>«</w:t>
            </w:r>
            <w:r w:rsidRPr="00656098">
              <w:rPr>
                <w:sz w:val="18"/>
                <w:szCs w:val="18"/>
                <w:lang w:val="ru-RU"/>
              </w:rPr>
              <w:t>ВКЛ.</w:t>
            </w:r>
            <w:r>
              <w:rPr>
                <w:sz w:val="18"/>
                <w:szCs w:val="18"/>
                <w:lang w:val="ru-RU"/>
              </w:rPr>
              <w:t>»</w:t>
            </w:r>
            <w:r w:rsidRPr="00656098">
              <w:rPr>
                <w:sz w:val="18"/>
                <w:szCs w:val="18"/>
                <w:lang w:val="ru-RU"/>
              </w:rPr>
              <w:t>, а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двигатель еще не запущен.</w:t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autoSpaceDE w:val="0"/>
              <w:autoSpaceDN w:val="0"/>
              <w:adjustRightInd w:val="0"/>
              <w:spacing w:before="80" w:after="80"/>
              <w:ind w:left="62" w:right="76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</w:rPr>
              <w:t>На двухколесных транспортных средствах используются системы освещения с питанием от постоянного или переменного либо постоянного и переменного тока. Также практикуется установка некоторых огней, работающих на постоянном, а некоторых – на переменном токе. Огни с питанием от постоянного тока могут включаться при повороте ключа зажигания, а огни с питанием от переменного тока включаются только после запуска двигателя.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Дополнительный текст к пункту</w:t>
            </w:r>
            <w:r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 xml:space="preserve">5.10 </w:t>
            </w:r>
          </w:p>
        </w:tc>
      </w:tr>
      <w:tr w:rsidR="008C2E59" w:rsidRPr="00656098" w:rsidTr="008C2E59">
        <w:tc>
          <w:tcPr>
            <w:tcW w:w="1555" w:type="dxa"/>
            <w:vMerge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при включении ДХО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jc w:val="both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</w:rPr>
              <w:sym w:font="Wingdings" w:char="F0DF"/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62" w:right="76"/>
              <w:contextualSpacing w:val="0"/>
              <w:jc w:val="both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jc w:val="both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−</w:t>
            </w:r>
          </w:p>
        </w:tc>
      </w:tr>
      <w:tr w:rsidR="008C2E59" w:rsidRPr="00EA6C8A" w:rsidTr="008C2E59">
        <w:trPr>
          <w:trHeight w:val="416"/>
        </w:trPr>
        <w:tc>
          <w:tcPr>
            <w:tcW w:w="1555" w:type="dxa"/>
            <w:vMerge w:val="restart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Передний</w:t>
            </w:r>
            <w:r w:rsidRPr="00656098">
              <w:rPr>
                <w:sz w:val="18"/>
                <w:szCs w:val="18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габаритный</w:t>
            </w:r>
            <w:r w:rsidRPr="00656098">
              <w:rPr>
                <w:sz w:val="18"/>
                <w:szCs w:val="18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огонь</w:t>
            </w:r>
            <w:r w:rsidRPr="00656098">
              <w:rPr>
                <w:sz w:val="18"/>
                <w:szCs w:val="18"/>
              </w:rPr>
              <w:t xml:space="preserve"> (</w:t>
            </w:r>
            <w:r w:rsidRPr="00656098">
              <w:rPr>
                <w:sz w:val="18"/>
                <w:szCs w:val="18"/>
                <w:lang w:val="ru-RU"/>
              </w:rPr>
              <w:t>ПГО</w:t>
            </w:r>
            <w:r w:rsidRPr="0065609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одновременно с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фарой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факультативно при включении фары.</w:t>
            </w:r>
          </w:p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highlight w:val="yellow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При соблюдении условий пункта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6.1.3.1 или 6.2.3.1.</w:t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62" w:right="76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Соответственно установка ПГО приобретает факультативный характер. Согласно действующему тексту Правил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№ 53 ООН, включение этого огня является факультативным при включении дневного ходового огня. На</w:t>
            </w:r>
            <w:r w:rsidR="008C2E59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наш взгляд, целесообразность такого положения продиктована тем, что ДХО также служит цели сигнализации наличия транспортного средства, если смотреть на него спереди. То же самое применимо и к случаю, когда транспортное средство имеет функции автоматического включения фар (АВФ).</w:t>
            </w:r>
          </w:p>
          <w:p w:rsidR="00AE3FA3" w:rsidRPr="00656098" w:rsidRDefault="00AE3FA3" w:rsidP="000B40E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62" w:right="76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Одним из вариантов применительно к</w:t>
            </w:r>
            <w:r w:rsidR="000B40E3">
              <w:rPr>
                <w:sz w:val="18"/>
                <w:szCs w:val="18"/>
                <w:lang w:val="ru-RU"/>
              </w:rPr>
              <w:t> </w:t>
            </w:r>
            <w:r w:rsidRPr="00656098">
              <w:rPr>
                <w:sz w:val="18"/>
                <w:szCs w:val="18"/>
                <w:lang w:val="ru-RU"/>
              </w:rPr>
              <w:t>асимметричной установке фары является обеспечение симметрии ПГО. В таких случаях ПГО должен автоматически включаться вместе с фарой.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 xml:space="preserve">Дополнительный текст </w:t>
            </w:r>
            <w:r w:rsidR="008C2E59">
              <w:rPr>
                <w:sz w:val="18"/>
                <w:szCs w:val="18"/>
                <w:lang w:val="ru-RU"/>
              </w:rPr>
              <w:br/>
            </w:r>
            <w:r w:rsidRPr="00656098">
              <w:rPr>
                <w:sz w:val="18"/>
                <w:szCs w:val="18"/>
                <w:lang w:val="ru-RU"/>
              </w:rPr>
              <w:t xml:space="preserve">к пунктам 5.10 </w:t>
            </w:r>
            <w:r w:rsidR="008C2E59">
              <w:rPr>
                <w:sz w:val="18"/>
                <w:szCs w:val="18"/>
                <w:lang w:val="ru-RU"/>
              </w:rPr>
              <w:br/>
            </w:r>
            <w:r w:rsidRPr="00656098">
              <w:rPr>
                <w:sz w:val="18"/>
                <w:szCs w:val="18"/>
                <w:lang w:val="ru-RU"/>
              </w:rPr>
              <w:t>и 6.6.7.2</w:t>
            </w:r>
          </w:p>
        </w:tc>
      </w:tr>
      <w:tr w:rsidR="008C2E59" w:rsidRPr="00656098" w:rsidTr="008C2E59">
        <w:trPr>
          <w:trHeight w:val="622"/>
        </w:trPr>
        <w:tc>
          <w:tcPr>
            <w:tcW w:w="1555" w:type="dxa"/>
            <w:vMerge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факультативно при включении ДХО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</w:rPr>
              <w:sym w:font="Wingdings" w:char="F0DF"/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62" w:right="76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jc w:val="both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−</w:t>
            </w:r>
          </w:p>
        </w:tc>
      </w:tr>
      <w:tr w:rsidR="008C2E59" w:rsidRPr="00656098" w:rsidTr="008C2E59">
        <w:tc>
          <w:tcPr>
            <w:tcW w:w="1555" w:type="dxa"/>
            <w:vMerge w:val="restart"/>
          </w:tcPr>
          <w:p w:rsidR="00AE3FA3" w:rsidRPr="00656098" w:rsidRDefault="00AE3FA3" w:rsidP="00231A4C">
            <w:pPr>
              <w:pStyle w:val="ListParagraph"/>
              <w:pageBreakBefore/>
              <w:autoSpaceDE w:val="0"/>
              <w:autoSpaceDN w:val="0"/>
              <w:adjustRightInd w:val="0"/>
              <w:spacing w:before="80" w:after="80"/>
              <w:ind w:left="47" w:right="30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lastRenderedPageBreak/>
              <w:t>Фонарь освещения заднего регистрационного знака</w:t>
            </w:r>
          </w:p>
        </w:tc>
        <w:tc>
          <w:tcPr>
            <w:tcW w:w="1559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факультативно при включении ДХО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</w:rPr>
              <w:sym w:font="Wingdings" w:char="F0DF"/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62" w:right="76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Без изменений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jc w:val="both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−</w:t>
            </w:r>
          </w:p>
        </w:tc>
      </w:tr>
      <w:tr w:rsidR="008C2E59" w:rsidRPr="00656098" w:rsidTr="008C2E59">
        <w:tc>
          <w:tcPr>
            <w:tcW w:w="1555" w:type="dxa"/>
            <w:vMerge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88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при включении ПГО</w:t>
            </w:r>
          </w:p>
        </w:tc>
        <w:tc>
          <w:tcPr>
            <w:tcW w:w="1701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2" w:right="79"/>
              <w:contextualSpacing w:val="0"/>
              <w:rPr>
                <w:sz w:val="18"/>
                <w:szCs w:val="18"/>
                <w:lang w:val="ru-RU"/>
              </w:rPr>
            </w:pPr>
            <w:r w:rsidRPr="00656098">
              <w:rPr>
                <w:sz w:val="18"/>
                <w:szCs w:val="18"/>
                <w:lang w:val="ru-RU"/>
              </w:rPr>
              <w:t>Включается факультативно при включении ПГО</w:t>
            </w:r>
          </w:p>
        </w:tc>
        <w:tc>
          <w:tcPr>
            <w:tcW w:w="3260" w:type="dxa"/>
          </w:tcPr>
          <w:p w:rsidR="00AE3FA3" w:rsidRPr="00656098" w:rsidRDefault="00AE3FA3" w:rsidP="00231A4C">
            <w:pPr>
              <w:spacing w:before="80" w:after="80"/>
              <w:ind w:left="62" w:right="76"/>
              <w:rPr>
                <w:sz w:val="18"/>
                <w:szCs w:val="18"/>
                <w:shd w:val="clear" w:color="auto" w:fill="FFFFFF"/>
              </w:rPr>
            </w:pPr>
            <w:r w:rsidRPr="00656098">
              <w:rPr>
                <w:sz w:val="18"/>
                <w:szCs w:val="18"/>
                <w:shd w:val="clear" w:color="auto" w:fill="FFFFFF"/>
              </w:rPr>
              <w:t xml:space="preserve">Поскольку ПГО является факультативным, то требование о включении фонаря </w:t>
            </w:r>
            <w:r w:rsidRPr="00656098">
              <w:rPr>
                <w:sz w:val="18"/>
                <w:szCs w:val="18"/>
              </w:rPr>
              <w:t>освещения заднего регистрационного знака</w:t>
            </w:r>
            <w:r w:rsidRPr="0065609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56098">
              <w:rPr>
                <w:sz w:val="18"/>
                <w:szCs w:val="18"/>
              </w:rPr>
              <w:t>при включении ПГО</w:t>
            </w:r>
            <w:r w:rsidRPr="00656098">
              <w:rPr>
                <w:sz w:val="18"/>
                <w:szCs w:val="18"/>
                <w:shd w:val="clear" w:color="auto" w:fill="FFFFFF"/>
              </w:rPr>
              <w:t xml:space="preserve"> не носит обязательного характера.</w:t>
            </w:r>
          </w:p>
        </w:tc>
        <w:tc>
          <w:tcPr>
            <w:tcW w:w="1564" w:type="dxa"/>
          </w:tcPr>
          <w:p w:rsidR="00AE3FA3" w:rsidRPr="00656098" w:rsidRDefault="00AE3FA3" w:rsidP="00231A4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50"/>
              <w:contextualSpacing w:val="0"/>
              <w:rPr>
                <w:sz w:val="18"/>
                <w:szCs w:val="18"/>
              </w:rPr>
            </w:pPr>
            <w:r w:rsidRPr="00656098">
              <w:rPr>
                <w:sz w:val="18"/>
                <w:szCs w:val="18"/>
                <w:lang w:val="ru-RU"/>
              </w:rPr>
              <w:t>Дополнительный</w:t>
            </w:r>
            <w:r w:rsidRPr="00656098">
              <w:rPr>
                <w:sz w:val="18"/>
                <w:szCs w:val="18"/>
                <w:lang w:val="en-US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текст</w:t>
            </w:r>
            <w:r w:rsidRPr="00656098">
              <w:rPr>
                <w:sz w:val="18"/>
                <w:szCs w:val="18"/>
                <w:lang w:val="en-US"/>
              </w:rPr>
              <w:t xml:space="preserve"> </w:t>
            </w:r>
            <w:r w:rsidR="008C2E59">
              <w:rPr>
                <w:sz w:val="18"/>
                <w:szCs w:val="18"/>
                <w:lang w:val="en-US"/>
              </w:rPr>
              <w:br/>
            </w:r>
            <w:r w:rsidRPr="00656098">
              <w:rPr>
                <w:sz w:val="18"/>
                <w:szCs w:val="18"/>
                <w:lang w:val="ru-RU"/>
              </w:rPr>
              <w:t>к</w:t>
            </w:r>
            <w:r w:rsidRPr="00656098">
              <w:rPr>
                <w:sz w:val="18"/>
                <w:szCs w:val="18"/>
                <w:lang w:val="en-US"/>
              </w:rPr>
              <w:t xml:space="preserve"> </w:t>
            </w:r>
            <w:r w:rsidRPr="00656098">
              <w:rPr>
                <w:sz w:val="18"/>
                <w:szCs w:val="18"/>
                <w:lang w:val="ru-RU"/>
              </w:rPr>
              <w:t>пункту</w:t>
            </w:r>
            <w:r w:rsidRPr="00656098">
              <w:rPr>
                <w:sz w:val="18"/>
                <w:szCs w:val="18"/>
              </w:rPr>
              <w:t xml:space="preserve"> 6.6.7.2</w:t>
            </w:r>
          </w:p>
        </w:tc>
      </w:tr>
    </w:tbl>
    <w:p w:rsidR="00AE3FA3" w:rsidRPr="00656098" w:rsidRDefault="00AE3FA3" w:rsidP="00AE3FA3">
      <w:pPr>
        <w:spacing w:before="240"/>
        <w:ind w:left="1134" w:right="1134"/>
        <w:jc w:val="center"/>
        <w:rPr>
          <w:u w:val="single"/>
          <w:lang w:val="en-US"/>
        </w:rPr>
      </w:pPr>
      <w:r w:rsidRPr="00656098">
        <w:rPr>
          <w:u w:val="single"/>
          <w:lang w:val="en-US"/>
        </w:rPr>
        <w:tab/>
      </w:r>
      <w:r w:rsidRPr="00656098">
        <w:rPr>
          <w:u w:val="single"/>
          <w:lang w:val="en-US"/>
        </w:rPr>
        <w:tab/>
      </w:r>
      <w:r w:rsidRPr="00656098">
        <w:rPr>
          <w:u w:val="single"/>
          <w:lang w:val="en-US"/>
        </w:rPr>
        <w:tab/>
      </w:r>
      <w:r w:rsidRPr="00656098">
        <w:rPr>
          <w:u w:val="single"/>
          <w:lang w:val="en-US"/>
        </w:rPr>
        <w:tab/>
      </w:r>
    </w:p>
    <w:sectPr w:rsidR="00AE3FA3" w:rsidRPr="00656098" w:rsidSect="00AE3F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AE" w:rsidRPr="00A312BC" w:rsidRDefault="00290BAE" w:rsidP="00A312BC"/>
  </w:endnote>
  <w:endnote w:type="continuationSeparator" w:id="0">
    <w:p w:rsidR="00290BAE" w:rsidRPr="00A312BC" w:rsidRDefault="00290B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A3" w:rsidRPr="00AE3FA3" w:rsidRDefault="00AE3FA3">
    <w:pPr>
      <w:pStyle w:val="Footer"/>
    </w:pPr>
    <w:r w:rsidRPr="00AE3FA3">
      <w:rPr>
        <w:b/>
        <w:sz w:val="18"/>
      </w:rPr>
      <w:fldChar w:fldCharType="begin"/>
    </w:r>
    <w:r w:rsidRPr="00AE3FA3">
      <w:rPr>
        <w:b/>
        <w:sz w:val="18"/>
      </w:rPr>
      <w:instrText xml:space="preserve"> PAGE  \* MERGEFORMAT </w:instrText>
    </w:r>
    <w:r w:rsidRPr="00AE3FA3">
      <w:rPr>
        <w:b/>
        <w:sz w:val="18"/>
      </w:rPr>
      <w:fldChar w:fldCharType="separate"/>
    </w:r>
    <w:r w:rsidR="00E679E6">
      <w:rPr>
        <w:b/>
        <w:noProof/>
        <w:sz w:val="18"/>
      </w:rPr>
      <w:t>6</w:t>
    </w:r>
    <w:r w:rsidRPr="00AE3FA3">
      <w:rPr>
        <w:b/>
        <w:sz w:val="18"/>
      </w:rPr>
      <w:fldChar w:fldCharType="end"/>
    </w:r>
    <w:r>
      <w:rPr>
        <w:b/>
        <w:sz w:val="18"/>
      </w:rPr>
      <w:tab/>
    </w:r>
    <w:r>
      <w:t>GE.18-13182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A3" w:rsidRPr="00AE3FA3" w:rsidRDefault="00AE3FA3" w:rsidP="00AE3FA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GE.18-13182</w:t>
    </w:r>
    <w:r>
      <w:tab/>
    </w:r>
    <w:r w:rsidRPr="00AE3FA3">
      <w:rPr>
        <w:b/>
        <w:sz w:val="18"/>
      </w:rPr>
      <w:fldChar w:fldCharType="begin"/>
    </w:r>
    <w:r w:rsidRPr="00AE3FA3">
      <w:rPr>
        <w:b/>
        <w:sz w:val="18"/>
      </w:rPr>
      <w:instrText xml:space="preserve"> PAGE  \* MERGEFORMAT </w:instrText>
    </w:r>
    <w:r w:rsidRPr="00AE3FA3">
      <w:rPr>
        <w:b/>
        <w:sz w:val="18"/>
      </w:rPr>
      <w:fldChar w:fldCharType="separate"/>
    </w:r>
    <w:r w:rsidR="00E679E6">
      <w:rPr>
        <w:b/>
        <w:noProof/>
        <w:sz w:val="18"/>
      </w:rPr>
      <w:t>5</w:t>
    </w:r>
    <w:r w:rsidRPr="00AE3F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E3FA3" w:rsidRDefault="00AE3FA3" w:rsidP="00AE3F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18-13182  (R)</w:t>
    </w:r>
    <w:r>
      <w:rPr>
        <w:lang w:val="en-US"/>
      </w:rPr>
      <w:t xml:space="preserve">  030918  030918</w:t>
    </w:r>
    <w:r>
      <w:br/>
    </w:r>
    <w:r w:rsidRPr="00AE3FA3">
      <w:rPr>
        <w:rFonts w:ascii="C39T30Lfz" w:hAnsi="C39T30Lfz"/>
        <w:kern w:val="14"/>
        <w:sz w:val="56"/>
      </w:rPr>
      <w:t></w:t>
    </w:r>
    <w:r w:rsidRPr="00AE3FA3">
      <w:rPr>
        <w:rFonts w:ascii="C39T30Lfz" w:hAnsi="C39T30Lfz"/>
        <w:kern w:val="14"/>
        <w:sz w:val="56"/>
      </w:rPr>
      <w:t></w:t>
    </w:r>
    <w:r w:rsidRPr="00AE3FA3">
      <w:rPr>
        <w:rFonts w:ascii="C39T30Lfz" w:hAnsi="C39T30Lfz"/>
        <w:kern w:val="14"/>
        <w:sz w:val="56"/>
      </w:rPr>
      <w:t></w:t>
    </w:r>
    <w:r w:rsidRPr="00AE3FA3">
      <w:rPr>
        <w:rFonts w:ascii="C39T30Lfz" w:hAnsi="C39T30Lfz"/>
        <w:kern w:val="14"/>
        <w:sz w:val="56"/>
      </w:rPr>
      <w:t></w:t>
    </w:r>
    <w:r w:rsidRPr="00AE3FA3">
      <w:rPr>
        <w:rFonts w:ascii="C39T30Lfz" w:hAnsi="C39T30Lfz"/>
        <w:kern w:val="14"/>
        <w:sz w:val="56"/>
      </w:rPr>
      <w:t></w:t>
    </w:r>
    <w:r w:rsidRPr="00AE3FA3">
      <w:rPr>
        <w:rFonts w:ascii="C39T30Lfz" w:hAnsi="C39T30Lfz"/>
        <w:kern w:val="14"/>
        <w:sz w:val="56"/>
      </w:rPr>
      <w:t></w:t>
    </w:r>
    <w:r w:rsidRPr="00AE3FA3">
      <w:rPr>
        <w:rFonts w:ascii="C39T30Lfz" w:hAnsi="C39T30Lfz"/>
        <w:kern w:val="14"/>
        <w:sz w:val="56"/>
      </w:rPr>
      <w:t></w:t>
    </w:r>
    <w:r w:rsidRPr="00AE3FA3">
      <w:rPr>
        <w:rFonts w:ascii="C39T30Lfz" w:hAnsi="C39T30Lfz"/>
        <w:kern w:val="14"/>
        <w:sz w:val="56"/>
      </w:rPr>
      <w:t></w:t>
    </w:r>
    <w:r w:rsidRPr="00AE3F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AE" w:rsidRPr="001075E9" w:rsidRDefault="00290B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0BAE" w:rsidRDefault="00290B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E3FA3" w:rsidRPr="008F7D82" w:rsidRDefault="00AE3FA3" w:rsidP="00AE3FA3">
      <w:pPr>
        <w:pStyle w:val="FootnoteText"/>
        <w:rPr>
          <w:lang w:val="en-US"/>
        </w:rPr>
      </w:pPr>
      <w:r w:rsidRPr="00A90EA8">
        <w:tab/>
      </w:r>
      <w:r w:rsidRPr="00AE3FA3">
        <w:rPr>
          <w:rStyle w:val="FootnoteReference"/>
          <w:sz w:val="20"/>
          <w:vertAlign w:val="baseline"/>
        </w:rPr>
        <w:t>*</w:t>
      </w:r>
      <w:r w:rsidRPr="008F7D82">
        <w:rPr>
          <w:sz w:val="20"/>
        </w:rPr>
        <w:tab/>
      </w:r>
      <w:r w:rsidRPr="00B83A9F">
        <w:t>В соответствии с программой работы Комитета п</w:t>
      </w:r>
      <w:r>
        <w:t>о внутреннему транспорту на 2018–2019 годы (ECE/TRANS/274, пункт 123</w:t>
      </w:r>
      <w:r w:rsidRPr="00B83A9F">
        <w:t xml:space="preserve">, и </w:t>
      </w:r>
      <w:r w:rsidRPr="00626F57">
        <w:rPr>
          <w:szCs w:val="18"/>
          <w:lang w:val="en-US"/>
        </w:rPr>
        <w:t>ECE</w:t>
      </w:r>
      <w:r w:rsidRPr="00034130">
        <w:rPr>
          <w:szCs w:val="18"/>
        </w:rPr>
        <w:t>/</w:t>
      </w:r>
      <w:r w:rsidRPr="00626F57">
        <w:rPr>
          <w:szCs w:val="18"/>
          <w:lang w:val="en-US"/>
        </w:rPr>
        <w:t>TRANS</w:t>
      </w:r>
      <w:r w:rsidRPr="00034130">
        <w:rPr>
          <w:szCs w:val="18"/>
        </w:rPr>
        <w:t>/2018/21/</w:t>
      </w:r>
      <w:r w:rsidRPr="00626F57">
        <w:rPr>
          <w:szCs w:val="18"/>
          <w:lang w:val="en-US"/>
        </w:rPr>
        <w:t>Add</w:t>
      </w:r>
      <w:r w:rsidRPr="00034130">
        <w:rPr>
          <w:szCs w:val="18"/>
        </w:rPr>
        <w:t>.1</w:t>
      </w:r>
      <w:r w:rsidRPr="00B83A9F">
        <w:t xml:space="preserve">, направление </w:t>
      </w:r>
      <w:r>
        <w:t>деятельности 3.1</w:t>
      </w:r>
      <w:r w:rsidRPr="00B83A9F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A3" w:rsidRPr="00AE3FA3" w:rsidRDefault="002A1A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679E6">
      <w:t>ECE/TRANS/WP.29/GRE/2018/47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FA3" w:rsidRPr="00AE3FA3" w:rsidRDefault="002A1A4E" w:rsidP="00AE3F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679E6">
      <w:t>ECE/TRANS/WP.29/GRE/2018/47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0E49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E"/>
    <w:rsid w:val="00033EE1"/>
    <w:rsid w:val="00042B72"/>
    <w:rsid w:val="000558BD"/>
    <w:rsid w:val="000B40E3"/>
    <w:rsid w:val="000B57E7"/>
    <w:rsid w:val="000B6373"/>
    <w:rsid w:val="000E4E5B"/>
    <w:rsid w:val="000F09DF"/>
    <w:rsid w:val="000F61B2"/>
    <w:rsid w:val="00101B80"/>
    <w:rsid w:val="001075E9"/>
    <w:rsid w:val="0014152F"/>
    <w:rsid w:val="00180183"/>
    <w:rsid w:val="0018024D"/>
    <w:rsid w:val="0018649F"/>
    <w:rsid w:val="00196389"/>
    <w:rsid w:val="001B3EF6"/>
    <w:rsid w:val="001C7A89"/>
    <w:rsid w:val="00231A4C"/>
    <w:rsid w:val="00255343"/>
    <w:rsid w:val="0027151D"/>
    <w:rsid w:val="00290BAE"/>
    <w:rsid w:val="002A1A4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E5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FA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0886"/>
    <w:rsid w:val="00C92939"/>
    <w:rsid w:val="00CA1679"/>
    <w:rsid w:val="00CB151C"/>
    <w:rsid w:val="00CE5A1A"/>
    <w:rsid w:val="00CF55F6"/>
    <w:rsid w:val="00D33D63"/>
    <w:rsid w:val="00D5253A"/>
    <w:rsid w:val="00D74DEA"/>
    <w:rsid w:val="00D873A8"/>
    <w:rsid w:val="00D90028"/>
    <w:rsid w:val="00D90138"/>
    <w:rsid w:val="00DD78D1"/>
    <w:rsid w:val="00DE32CD"/>
    <w:rsid w:val="00DF5767"/>
    <w:rsid w:val="00DF71B9"/>
    <w:rsid w:val="00E12C5F"/>
    <w:rsid w:val="00E679E6"/>
    <w:rsid w:val="00E73F76"/>
    <w:rsid w:val="00EA2C9F"/>
    <w:rsid w:val="00EA420E"/>
    <w:rsid w:val="00ED0BDA"/>
    <w:rsid w:val="00EE142A"/>
    <w:rsid w:val="00EF1360"/>
    <w:rsid w:val="00EF3220"/>
    <w:rsid w:val="00F217A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7F86AD-082A-4485-8A9E-3D71DE1F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AE3F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AE3FA3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AE3FA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AE3FA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AE3FA3"/>
    <w:rPr>
      <w:rFonts w:eastAsia="MS Mincho"/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AE3FA3"/>
    <w:rPr>
      <w:rFonts w:eastAsia="MS Mincho"/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E3FA3"/>
    <w:pPr>
      <w:ind w:left="720"/>
      <w:contextualSpacing/>
    </w:pPr>
    <w:rPr>
      <w:rFonts w:eastAsia="MS Mincho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ECE/TRANS/WP.29/GRE/2018/47</vt:lpstr>
      <vt:lpstr>ECE/TRANS/WP.29/GRE/2018/47</vt:lpstr>
      <vt:lpstr>A/</vt:lpstr>
    </vt:vector>
  </TitlesOfParts>
  <Company>DCM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ECE/TRANS/WP.29/GRE/2018/47</dc:title>
  <dc:subject/>
  <dc:creator>Svetlana PROKOUDINA</dc:creator>
  <cp:keywords/>
  <cp:lastModifiedBy>Benedicte Boudol</cp:lastModifiedBy>
  <cp:revision>2</cp:revision>
  <cp:lastPrinted>2018-09-03T11:32:00Z</cp:lastPrinted>
  <dcterms:created xsi:type="dcterms:W3CDTF">2018-09-07T11:17:00Z</dcterms:created>
  <dcterms:modified xsi:type="dcterms:W3CDTF">2018-09-07T11:17:00Z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