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1922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1922B1" w:rsidP="001922B1">
            <w:pPr>
              <w:jc w:val="right"/>
            </w:pPr>
            <w:r w:rsidRPr="001922B1">
              <w:rPr>
                <w:sz w:val="40"/>
              </w:rPr>
              <w:t>ECE</w:t>
            </w:r>
            <w:r>
              <w:t>/TRANS/WP.29/GRE/2018/42</w:t>
            </w:r>
          </w:p>
        </w:tc>
      </w:tr>
      <w:tr w:rsidR="002D5AAC" w:rsidRPr="00FD1898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1922B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1922B1" w:rsidRDefault="001922B1" w:rsidP="001922B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2018</w:t>
            </w:r>
          </w:p>
          <w:p w:rsidR="001922B1" w:rsidRDefault="001922B1" w:rsidP="001922B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1922B1" w:rsidRPr="008D53B6" w:rsidRDefault="001922B1" w:rsidP="001922B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1922B1" w:rsidRPr="001922B1" w:rsidRDefault="001922B1" w:rsidP="00255343">
      <w:pPr>
        <w:spacing w:before="120"/>
        <w:rPr>
          <w:sz w:val="28"/>
          <w:szCs w:val="28"/>
        </w:rPr>
      </w:pPr>
      <w:r w:rsidRPr="001922B1">
        <w:rPr>
          <w:sz w:val="28"/>
          <w:szCs w:val="28"/>
        </w:rPr>
        <w:t>Комитет по внутреннему транспорту</w:t>
      </w:r>
    </w:p>
    <w:p w:rsidR="001922B1" w:rsidRPr="001922B1" w:rsidRDefault="001922B1" w:rsidP="001922B1">
      <w:pPr>
        <w:suppressAutoHyphens w:val="0"/>
        <w:spacing w:before="120" w:line="240" w:lineRule="auto"/>
        <w:rPr>
          <w:b/>
          <w:bCs/>
          <w:sz w:val="24"/>
          <w:szCs w:val="24"/>
        </w:rPr>
      </w:pPr>
      <w:r w:rsidRPr="001922B1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1922B1">
        <w:rPr>
          <w:b/>
          <w:bCs/>
          <w:sz w:val="24"/>
          <w:szCs w:val="24"/>
        </w:rPr>
        <w:t>в области транспортных средств</w:t>
      </w:r>
    </w:p>
    <w:p w:rsidR="001922B1" w:rsidRPr="001922B1" w:rsidRDefault="001922B1" w:rsidP="001922B1">
      <w:pPr>
        <w:suppressAutoHyphens w:val="0"/>
        <w:spacing w:before="120" w:line="240" w:lineRule="auto"/>
        <w:rPr>
          <w:b/>
        </w:rPr>
      </w:pPr>
      <w:r w:rsidRPr="001922B1">
        <w:rPr>
          <w:b/>
          <w:bCs/>
        </w:rPr>
        <w:t xml:space="preserve">Рабочая группа по вопросам освещения </w:t>
      </w:r>
      <w:r>
        <w:rPr>
          <w:b/>
          <w:bCs/>
        </w:rPr>
        <w:br/>
      </w:r>
      <w:r w:rsidRPr="001922B1">
        <w:rPr>
          <w:b/>
          <w:bCs/>
        </w:rPr>
        <w:t>и световой сигнализации</w:t>
      </w:r>
    </w:p>
    <w:p w:rsidR="001922B1" w:rsidRPr="001922B1" w:rsidRDefault="001922B1" w:rsidP="001922B1">
      <w:pPr>
        <w:suppressAutoHyphens w:val="0"/>
        <w:spacing w:line="240" w:lineRule="auto"/>
        <w:rPr>
          <w:b/>
          <w:bCs/>
        </w:rPr>
      </w:pPr>
      <w:r w:rsidRPr="001922B1">
        <w:rPr>
          <w:b/>
          <w:bCs/>
        </w:rPr>
        <w:t>Восьмидесятая сессия</w:t>
      </w:r>
    </w:p>
    <w:p w:rsidR="001922B1" w:rsidRPr="001922B1" w:rsidRDefault="001922B1" w:rsidP="001922B1">
      <w:pPr>
        <w:suppressAutoHyphens w:val="0"/>
        <w:spacing w:line="240" w:lineRule="auto"/>
      </w:pPr>
      <w:r w:rsidRPr="001922B1">
        <w:t>Женева,</w:t>
      </w:r>
      <w:r>
        <w:t xml:space="preserve"> 23–</w:t>
      </w:r>
      <w:r w:rsidRPr="001922B1">
        <w:t>26 октября 2018 года</w:t>
      </w:r>
    </w:p>
    <w:p w:rsidR="001922B1" w:rsidRPr="001922B1" w:rsidRDefault="001922B1" w:rsidP="001922B1">
      <w:pPr>
        <w:suppressAutoHyphens w:val="0"/>
        <w:spacing w:line="240" w:lineRule="auto"/>
        <w:rPr>
          <w:bCs/>
        </w:rPr>
      </w:pPr>
      <w:r w:rsidRPr="001922B1">
        <w:rPr>
          <w:bCs/>
        </w:rPr>
        <w:t>Пункт 4 предварительной повестки дня</w:t>
      </w:r>
    </w:p>
    <w:p w:rsidR="001922B1" w:rsidRPr="001922B1" w:rsidRDefault="001922B1" w:rsidP="001922B1">
      <w:pPr>
        <w:suppressAutoHyphens w:val="0"/>
        <w:spacing w:line="240" w:lineRule="auto"/>
        <w:rPr>
          <w:b/>
          <w:bCs/>
        </w:rPr>
      </w:pPr>
      <w:r w:rsidRPr="001922B1">
        <w:rPr>
          <w:b/>
          <w:bCs/>
        </w:rPr>
        <w:t xml:space="preserve">Упрощение правил, касающихся освещения </w:t>
      </w:r>
      <w:r>
        <w:rPr>
          <w:b/>
          <w:bCs/>
        </w:rPr>
        <w:br/>
      </w:r>
      <w:r w:rsidRPr="001922B1">
        <w:rPr>
          <w:b/>
          <w:bCs/>
        </w:rPr>
        <w:t xml:space="preserve">и световой сигнализации </w:t>
      </w:r>
    </w:p>
    <w:p w:rsidR="001922B1" w:rsidRDefault="001922B1" w:rsidP="001922B1">
      <w:pPr>
        <w:pStyle w:val="HChGR"/>
      </w:pPr>
      <w:r>
        <w:tab/>
      </w:r>
      <w:r>
        <w:tab/>
      </w:r>
      <w:r w:rsidRPr="001922B1">
        <w:t>Предложение о введении требований относительно использования аль</w:t>
      </w:r>
      <w:r>
        <w:t>тернативных источников света на </w:t>
      </w:r>
      <w:r w:rsidRPr="001922B1">
        <w:t>светоизлучающих диодах в новые правила ООН, касающиеся устройств освещения и световой сигнализации</w:t>
      </w:r>
    </w:p>
    <w:p w:rsidR="001922B1" w:rsidRPr="001922B1" w:rsidRDefault="001922B1" w:rsidP="001922B1">
      <w:pPr>
        <w:pStyle w:val="H1GR"/>
      </w:pPr>
      <w:r>
        <w:tab/>
      </w:r>
      <w:r>
        <w:tab/>
      </w:r>
      <w:r w:rsidRPr="001922B1">
        <w:t xml:space="preserve">Представлено </w:t>
      </w:r>
      <w:bookmarkStart w:id="1" w:name="OLE_LINK7"/>
      <w:r w:rsidRPr="001922B1">
        <w:t xml:space="preserve">целевой группой по </w:t>
      </w:r>
      <w:r>
        <w:t>альтернативным и </w:t>
      </w:r>
      <w:r w:rsidRPr="001922B1">
        <w:t>модифицированным устройствам (ЦГ по АМ</w:t>
      </w:r>
      <w:bookmarkEnd w:id="1"/>
      <w:r w:rsidRPr="001922B1">
        <w:t>)</w:t>
      </w:r>
      <w:r w:rsidRPr="00094BEF">
        <w:rPr>
          <w:b w:val="0"/>
          <w:sz w:val="20"/>
        </w:rPr>
        <w:footnoteReference w:customMarkFollows="1" w:id="1"/>
        <w:t>*</w:t>
      </w:r>
    </w:p>
    <w:p w:rsidR="001922B1" w:rsidRPr="001922B1" w:rsidRDefault="001922B1" w:rsidP="001922B1">
      <w:pPr>
        <w:pStyle w:val="SingleTxtGR"/>
      </w:pPr>
      <w:r>
        <w:tab/>
      </w:r>
      <w:r w:rsidRPr="001922B1">
        <w:t>Воспроизведенный ниже текст был подготовлен целевой группой по альтернативным/модифицированным устройствам (ЦГ по А/М) в качестве пересмотренного варианта первоначального предложения, разработанного экспертом от Международной группы экспертов по вопросам автомобильного освещения и световой сигнализации (БРГ), на основании которого в проект новых правил ООН, касающихся устройств световой сигнализации (УСС), вводятся предписания относительно светоизлучающих диодов (СИД). Этот текст уже был представлен Рабочей группе по вопросам освещения и световой сигнализации (</w:t>
      </w:r>
      <w:r w:rsidRPr="001922B1">
        <w:rPr>
          <w:lang w:val="en-GB"/>
        </w:rPr>
        <w:t>GRE</w:t>
      </w:r>
      <w:r w:rsidRPr="001922B1">
        <w:t xml:space="preserve">) на ее семьдесят седьмой сессии в качестве неофициального документа </w:t>
      </w:r>
      <w:r w:rsidRPr="001922B1">
        <w:rPr>
          <w:lang w:val="en-GB"/>
        </w:rPr>
        <w:t>GRE</w:t>
      </w:r>
      <w:r w:rsidRPr="001922B1">
        <w:t xml:space="preserve">-77-15 и в принципе принят в ожидании его официального рассмотрения </w:t>
      </w:r>
      <w:r w:rsidRPr="001922B1">
        <w:rPr>
          <w:lang w:val="en-GB"/>
        </w:rPr>
        <w:t>GRE</w:t>
      </w:r>
      <w:r w:rsidRPr="001922B1">
        <w:t xml:space="preserve"> совместно с окончательным текстом проекта новых правил. Затем этот текст был представлен в качестве документа </w:t>
      </w:r>
      <w:r w:rsidRPr="001922B1">
        <w:rPr>
          <w:lang w:val="en-GB"/>
        </w:rPr>
        <w:t>ECE</w:t>
      </w:r>
      <w:r w:rsidRPr="001922B1">
        <w:t>/</w:t>
      </w:r>
      <w:r w:rsidRPr="001922B1">
        <w:rPr>
          <w:lang w:val="en-GB"/>
        </w:rPr>
        <w:t>TRANS</w:t>
      </w:r>
      <w:r w:rsidRPr="001922B1">
        <w:t>/</w:t>
      </w:r>
      <w:r w:rsidRPr="001922B1">
        <w:rPr>
          <w:lang w:val="en-GB"/>
        </w:rPr>
        <w:t>WP</w:t>
      </w:r>
      <w:r w:rsidRPr="001922B1">
        <w:t>.29/</w:t>
      </w:r>
      <w:r w:rsidRPr="001922B1">
        <w:rPr>
          <w:lang w:val="en-GB"/>
        </w:rPr>
        <w:t>GRE</w:t>
      </w:r>
      <w:r w:rsidRPr="001922B1">
        <w:t xml:space="preserve">/2017/14 с исправлениями, содержащимися в документе </w:t>
      </w:r>
      <w:r w:rsidRPr="001922B1">
        <w:rPr>
          <w:lang w:val="en-GB"/>
        </w:rPr>
        <w:t>GRE</w:t>
      </w:r>
      <w:r w:rsidRPr="001922B1">
        <w:t xml:space="preserve">-78-04. Были приняты во внимание содержание </w:t>
      </w:r>
      <w:r w:rsidRPr="001922B1">
        <w:lastRenderedPageBreak/>
        <w:t xml:space="preserve">документа </w:t>
      </w:r>
      <w:r w:rsidRPr="001922B1">
        <w:rPr>
          <w:lang w:val="en-GB"/>
        </w:rPr>
        <w:t>ECE</w:t>
      </w:r>
      <w:r w:rsidRPr="001922B1">
        <w:t>/</w:t>
      </w:r>
      <w:r w:rsidRPr="001922B1">
        <w:rPr>
          <w:lang w:val="en-GB"/>
        </w:rPr>
        <w:t>TRANS</w:t>
      </w:r>
      <w:r w:rsidRPr="001922B1">
        <w:t>/</w:t>
      </w:r>
      <w:r w:rsidRPr="001922B1">
        <w:rPr>
          <w:lang w:val="en-GB"/>
        </w:rPr>
        <w:t>WP</w:t>
      </w:r>
      <w:r w:rsidRPr="001922B1">
        <w:t>.29/</w:t>
      </w:r>
      <w:r w:rsidRPr="001922B1">
        <w:rPr>
          <w:lang w:val="en-GB"/>
        </w:rPr>
        <w:t>GRE</w:t>
      </w:r>
      <w:r w:rsidRPr="001922B1">
        <w:t xml:space="preserve">/2018/2, а также замечания, изложенные в ходе семьдесят восьмой и семьдесят девятой сессий </w:t>
      </w:r>
      <w:r w:rsidRPr="001922B1">
        <w:rPr>
          <w:lang w:val="en-GB"/>
        </w:rPr>
        <w:t>GRE</w:t>
      </w:r>
      <w:r w:rsidRPr="001922B1">
        <w:t xml:space="preserve">. </w:t>
      </w:r>
      <w:bookmarkStart w:id="2" w:name="OLE_LINK9"/>
      <w:bookmarkStart w:id="3" w:name="OLE_LINK10"/>
      <w:r w:rsidRPr="001922B1">
        <w:t>Изменения к тексту проекта новых правил ООН выделены жирным шрифтом в случае новых положений или зачеркиванием в случае исключенных элементов.</w:t>
      </w:r>
    </w:p>
    <w:bookmarkEnd w:id="2"/>
    <w:bookmarkEnd w:id="3"/>
    <w:p w:rsidR="001922B1" w:rsidRPr="001922B1" w:rsidRDefault="001922B1" w:rsidP="001922B1">
      <w:pPr>
        <w:pStyle w:val="HChGR"/>
      </w:pPr>
      <w:r w:rsidRPr="001922B1">
        <w:br w:type="page"/>
      </w:r>
      <w:r>
        <w:lastRenderedPageBreak/>
        <w:tab/>
      </w:r>
      <w:r w:rsidRPr="001922B1">
        <w:rPr>
          <w:lang w:val="en-GB"/>
        </w:rPr>
        <w:t>I</w:t>
      </w:r>
      <w:r w:rsidRPr="001922B1">
        <w:t>.</w:t>
      </w:r>
      <w:r w:rsidRPr="001922B1">
        <w:tab/>
        <w:t>Предложение</w:t>
      </w:r>
    </w:p>
    <w:p w:rsidR="001922B1" w:rsidRPr="001922B1" w:rsidRDefault="001922B1" w:rsidP="001922B1">
      <w:pPr>
        <w:pStyle w:val="SingleTxtGR"/>
      </w:pPr>
      <w:r w:rsidRPr="001922B1">
        <w:rPr>
          <w:i/>
        </w:rPr>
        <w:t>Пункт 2.2</w:t>
      </w:r>
      <w:r w:rsidRPr="001922B1">
        <w:t xml:space="preserve"> изменить следующим образом:</w:t>
      </w:r>
    </w:p>
    <w:p w:rsidR="001922B1" w:rsidRPr="001922B1" w:rsidRDefault="001922B1" w:rsidP="001922B1">
      <w:pPr>
        <w:pStyle w:val="SingleTxtGR"/>
      </w:pPr>
      <w:bookmarkStart w:id="4" w:name="_Toc473483452"/>
      <w:r w:rsidRPr="001922B1">
        <w:t>«</w:t>
      </w:r>
      <w:r w:rsidRPr="001922B1">
        <w:rPr>
          <w:bCs/>
        </w:rPr>
        <w:t>2</w:t>
      </w:r>
      <w:r w:rsidRPr="001922B1">
        <w:t>.2</w:t>
      </w:r>
      <w:r w:rsidRPr="001922B1">
        <w:tab/>
      </w:r>
      <w:r w:rsidR="00D14265">
        <w:tab/>
      </w:r>
      <w:r w:rsidR="00114EF3" w:rsidRPr="00114EF3">
        <w:rPr>
          <w:iCs/>
        </w:rPr>
        <w:t>"</w:t>
      </w:r>
      <w:r w:rsidRPr="001922B1">
        <w:rPr>
          <w:i/>
          <w:iCs/>
        </w:rPr>
        <w:t>огни различных типов</w:t>
      </w:r>
      <w:r w:rsidR="00114EF3" w:rsidRPr="00114EF3">
        <w:rPr>
          <w:iCs/>
        </w:rPr>
        <w:t>"</w:t>
      </w:r>
      <w:r w:rsidRPr="001922B1">
        <w:t xml:space="preserve"> означают ….</w:t>
      </w:r>
    </w:p>
    <w:p w:rsidR="001922B1" w:rsidRPr="001922B1" w:rsidRDefault="00D14265" w:rsidP="001922B1">
      <w:pPr>
        <w:pStyle w:val="SingleTxtGR"/>
        <w:ind w:left="1701"/>
      </w:pPr>
      <w:r>
        <w:tab/>
      </w:r>
      <w:r w:rsidR="001922B1" w:rsidRPr="001922B1">
        <w:t>….</w:t>
      </w:r>
    </w:p>
    <w:p w:rsidR="001922B1" w:rsidRPr="001922B1" w:rsidRDefault="001922B1" w:rsidP="00D14265">
      <w:pPr>
        <w:pStyle w:val="SingleTxtGR"/>
        <w:ind w:left="2268"/>
        <w:rPr>
          <w:bCs/>
        </w:rPr>
      </w:pPr>
      <w:r w:rsidRPr="001922B1">
        <w:t>Изменение цвета источника света или цвета любого фильтра не означает изменения типа</w:t>
      </w:r>
      <w:r w:rsidRPr="001922B1">
        <w:rPr>
          <w:bCs/>
        </w:rPr>
        <w:t>.</w:t>
      </w:r>
    </w:p>
    <w:bookmarkEnd w:id="4"/>
    <w:p w:rsidR="001922B1" w:rsidRPr="001922B1" w:rsidRDefault="001922B1" w:rsidP="00D14265">
      <w:pPr>
        <w:pStyle w:val="SingleTxtGR"/>
        <w:ind w:left="2268"/>
        <w:rPr>
          <w:b/>
        </w:rPr>
      </w:pPr>
      <w:r w:rsidRPr="001922B1">
        <w:rPr>
          <w:b/>
          <w:bCs/>
        </w:rPr>
        <w:t>Использование альтернативного(ых) источника(ов) света на СИД не означает изменения типа. Вместе с тем применяется пункт 4.7.7</w:t>
      </w:r>
      <w:r w:rsidRPr="001922B1">
        <w:t>».</w:t>
      </w:r>
      <w:r w:rsidRPr="001922B1">
        <w:rPr>
          <w:b/>
        </w:rPr>
        <w:t xml:space="preserve"> </w:t>
      </w:r>
    </w:p>
    <w:p w:rsidR="001922B1" w:rsidRPr="001922B1" w:rsidRDefault="001922B1" w:rsidP="001922B1">
      <w:pPr>
        <w:pStyle w:val="SingleTxtGR"/>
        <w:rPr>
          <w:i/>
        </w:rPr>
      </w:pPr>
      <w:r w:rsidRPr="001922B1">
        <w:rPr>
          <w:i/>
        </w:rPr>
        <w:t xml:space="preserve">Пункт 3.1.2.2 </w:t>
      </w:r>
      <w:r w:rsidRPr="001922B1">
        <w:rPr>
          <w:iCs/>
        </w:rPr>
        <w:t>изменить следующим образом:</w:t>
      </w:r>
    </w:p>
    <w:p w:rsidR="001922B1" w:rsidRPr="001922B1" w:rsidRDefault="001922B1" w:rsidP="001922B1">
      <w:pPr>
        <w:pStyle w:val="SingleTxtGR"/>
        <w:ind w:left="2228" w:hanging="1134"/>
        <w:rPr>
          <w:bCs/>
        </w:rPr>
      </w:pPr>
      <w:r w:rsidRPr="001922B1">
        <w:t>«</w:t>
      </w:r>
      <w:r w:rsidRPr="001922B1">
        <w:rPr>
          <w:bCs/>
        </w:rPr>
        <w:t>3.1.2.2</w:t>
      </w:r>
      <w:r w:rsidRPr="001922B1">
        <w:rPr>
          <w:bCs/>
        </w:rPr>
        <w:tab/>
      </w:r>
      <w:r w:rsidRPr="001922B1">
        <w:t>краткое техническое описание, за исключением огней с несменными источниками света, с указанием, в частности:</w:t>
      </w:r>
    </w:p>
    <w:p w:rsidR="001922B1" w:rsidRPr="001922B1" w:rsidRDefault="001922B1" w:rsidP="001922B1">
      <w:pPr>
        <w:pStyle w:val="SingleTxtGR"/>
        <w:ind w:left="2835" w:hanging="567"/>
        <w:rPr>
          <w:bCs/>
        </w:rPr>
      </w:pPr>
      <w:r w:rsidRPr="001922B1">
        <w:rPr>
          <w:bCs/>
          <w:lang w:val="en-GB"/>
        </w:rPr>
        <w:t>a</w:t>
      </w:r>
      <w:r w:rsidRPr="001922B1">
        <w:rPr>
          <w:bCs/>
        </w:rPr>
        <w:t>)</w:t>
      </w:r>
      <w:r w:rsidRPr="001922B1">
        <w:rPr>
          <w:bCs/>
        </w:rPr>
        <w:tab/>
      </w:r>
      <w:r w:rsidRPr="001922B1">
        <w:t>категории или категорий предписанного(ых) источника(ов) света с нитью накала;</w:t>
      </w:r>
      <w:r w:rsidRPr="001922B1">
        <w:rPr>
          <w:bCs/>
        </w:rPr>
        <w:t xml:space="preserve"> </w:t>
      </w:r>
      <w:r w:rsidRPr="001922B1">
        <w:t>эта категория источника света с нитью накала должна соответствовать одной из категорий, предусмотренных в Правилах № 37</w:t>
      </w:r>
      <w:r w:rsidRPr="001922B1">
        <w:rPr>
          <w:bCs/>
        </w:rPr>
        <w:t>;</w:t>
      </w:r>
    </w:p>
    <w:p w:rsidR="001922B1" w:rsidRPr="001922B1" w:rsidRDefault="001922B1" w:rsidP="001922B1">
      <w:pPr>
        <w:pStyle w:val="SingleTxtGR"/>
        <w:ind w:left="2835" w:hanging="567"/>
        <w:rPr>
          <w:bCs/>
        </w:rPr>
      </w:pPr>
      <w:r w:rsidRPr="001922B1">
        <w:rPr>
          <w:bCs/>
          <w:lang w:val="en-GB"/>
        </w:rPr>
        <w:t>b</w:t>
      </w:r>
      <w:r w:rsidRPr="001922B1">
        <w:rPr>
          <w:bCs/>
        </w:rPr>
        <w:t>)</w:t>
      </w:r>
      <w:r w:rsidRPr="001922B1">
        <w:rPr>
          <w:bCs/>
        </w:rPr>
        <w:tab/>
      </w:r>
      <w:r w:rsidRPr="001922B1">
        <w:t>категории или категорий предписанного(ых) источника(ов) света на СИД</w:t>
      </w:r>
      <w:r w:rsidRPr="001922B1">
        <w:rPr>
          <w:bCs/>
        </w:rPr>
        <w:t xml:space="preserve">; </w:t>
      </w:r>
      <w:r w:rsidRPr="001922B1">
        <w:t>эта категория источника света на СИД должна соответствовать одной из категорий, предусмотренных в Правилах № 128 ООН</w:t>
      </w:r>
      <w:r w:rsidRPr="001922B1">
        <w:rPr>
          <w:bCs/>
        </w:rPr>
        <w:t>;</w:t>
      </w:r>
    </w:p>
    <w:p w:rsidR="001922B1" w:rsidRPr="001922B1" w:rsidRDefault="001922B1" w:rsidP="001922B1">
      <w:pPr>
        <w:pStyle w:val="SingleTxtGR"/>
        <w:ind w:left="2268"/>
        <w:rPr>
          <w:b/>
        </w:rPr>
      </w:pPr>
      <w:r w:rsidRPr="001922B1">
        <w:rPr>
          <w:bCs/>
          <w:lang w:val="en-GB"/>
        </w:rPr>
        <w:t>c</w:t>
      </w:r>
      <w:r w:rsidRPr="001922B1">
        <w:rPr>
          <w:bCs/>
        </w:rPr>
        <w:t>)</w:t>
      </w:r>
      <w:r w:rsidRPr="001922B1">
        <w:rPr>
          <w:bCs/>
        </w:rPr>
        <w:tab/>
      </w:r>
      <w:r w:rsidRPr="001922B1">
        <w:t>конкретного идентификационного кода модуля источника света;</w:t>
      </w:r>
    </w:p>
    <w:p w:rsidR="001922B1" w:rsidRPr="001922B1" w:rsidRDefault="001922B1" w:rsidP="001922B1">
      <w:pPr>
        <w:pStyle w:val="SingleTxtGR"/>
        <w:ind w:left="2835" w:hanging="567"/>
        <w:rPr>
          <w:b/>
          <w:bCs/>
        </w:rPr>
      </w:pPr>
      <w:r w:rsidRPr="001922B1">
        <w:rPr>
          <w:b/>
          <w:lang w:val="en-GB"/>
        </w:rPr>
        <w:t>d</w:t>
      </w:r>
      <w:r w:rsidRPr="001922B1">
        <w:rPr>
          <w:b/>
        </w:rPr>
        <w:t>)</w:t>
      </w:r>
      <w:r w:rsidRPr="001922B1">
        <w:rPr>
          <w:b/>
        </w:rPr>
        <w:tab/>
      </w:r>
      <w:r w:rsidRPr="001922B1">
        <w:rPr>
          <w:b/>
          <w:bCs/>
        </w:rPr>
        <w:t xml:space="preserve">если, по усмотрению заявителя, огонь подлежит официальному утверждению с альтернативным(и) источником(ами) света на </w:t>
      </w:r>
      <w:r w:rsidR="00114EF3">
        <w:rPr>
          <w:b/>
          <w:bCs/>
        </w:rPr>
        <w:t>СИД в соответствии с Правилами </w:t>
      </w:r>
      <w:r w:rsidRPr="001922B1">
        <w:rPr>
          <w:b/>
          <w:bCs/>
        </w:rPr>
        <w:t>№</w:t>
      </w:r>
      <w:r w:rsidR="00114EF3">
        <w:rPr>
          <w:b/>
          <w:bCs/>
        </w:rPr>
        <w:t> </w:t>
      </w:r>
      <w:r w:rsidRPr="001922B1">
        <w:rPr>
          <w:b/>
          <w:bCs/>
        </w:rPr>
        <w:t>128, то это обстоятельство также должно указываться в описании;</w:t>
      </w:r>
    </w:p>
    <w:p w:rsidR="001922B1" w:rsidRPr="001922B1" w:rsidRDefault="001922B1" w:rsidP="001922B1">
      <w:pPr>
        <w:pStyle w:val="SingleTxtGR"/>
        <w:ind w:left="2835" w:hanging="567"/>
      </w:pPr>
      <w:r w:rsidRPr="001922B1">
        <w:rPr>
          <w:b/>
          <w:bCs/>
          <w:lang w:val="en-GB"/>
        </w:rPr>
        <w:t>e</w:t>
      </w:r>
      <w:r w:rsidRPr="001922B1">
        <w:rPr>
          <w:b/>
          <w:bCs/>
        </w:rPr>
        <w:t>)</w:t>
      </w:r>
      <w:r w:rsidRPr="001922B1">
        <w:rPr>
          <w:b/>
          <w:bCs/>
        </w:rPr>
        <w:tab/>
      </w:r>
      <w:r w:rsidRPr="001922B1">
        <w:t xml:space="preserve">в случае стоп-сигнала категории </w:t>
      </w:r>
      <w:r w:rsidRPr="001922B1">
        <w:rPr>
          <w:lang w:val="en-GB"/>
        </w:rPr>
        <w:t>S</w:t>
      </w:r>
      <w:r w:rsidRPr="001922B1">
        <w:t xml:space="preserve">3 или </w:t>
      </w:r>
      <w:r w:rsidRPr="001922B1">
        <w:rPr>
          <w:lang w:val="en-GB"/>
        </w:rPr>
        <w:t>S</w:t>
      </w:r>
      <w:r w:rsidRPr="001922B1">
        <w:t>4, предназначенного для установки внутри транспортного средства, в техническом описании должно содержаться указание оптических характеристик (пропускание света, цвет, угол наклона и</w:t>
      </w:r>
      <w:r w:rsidR="00114EF3">
        <w:t> </w:t>
      </w:r>
      <w:r w:rsidRPr="001922B1">
        <w:t>т.</w:t>
      </w:r>
      <w:r w:rsidR="00114EF3">
        <w:t> </w:t>
      </w:r>
      <w:r w:rsidRPr="001922B1">
        <w:t>д.) заднего(их) окна (окон)».</w:t>
      </w:r>
    </w:p>
    <w:p w:rsidR="001922B1" w:rsidRPr="001922B1" w:rsidRDefault="001922B1" w:rsidP="001922B1">
      <w:pPr>
        <w:pStyle w:val="SingleTxtGR"/>
      </w:pPr>
      <w:r w:rsidRPr="001922B1">
        <w:rPr>
          <w:i/>
        </w:rPr>
        <w:t xml:space="preserve">Пункт 3.3.4.1.1 </w:t>
      </w:r>
      <w:r w:rsidRPr="001922B1">
        <w:t>изменить следующим образом:</w:t>
      </w:r>
    </w:p>
    <w:p w:rsidR="001922B1" w:rsidRPr="001922B1" w:rsidRDefault="001922B1" w:rsidP="001922B1">
      <w:pPr>
        <w:pStyle w:val="SingleTxtGR"/>
        <w:ind w:left="2228" w:hanging="1134"/>
      </w:pPr>
      <w:r w:rsidRPr="001922B1">
        <w:t>«3.3.4.1.1</w:t>
      </w:r>
      <w:r w:rsidRPr="001922B1">
        <w:tab/>
        <w:t xml:space="preserve">В любом случае знак официального утверждения или уникальный идентификатор, а также </w:t>
      </w:r>
      <w:r w:rsidRPr="001922B1">
        <w:rPr>
          <w:b/>
          <w:bCs/>
        </w:rPr>
        <w:t>предписанная(ые) категория или категории</w:t>
      </w:r>
      <w:r w:rsidRPr="001922B1">
        <w:t xml:space="preserve"> </w:t>
      </w:r>
      <w:r w:rsidRPr="001922B1">
        <w:rPr>
          <w:b/>
          <w:bCs/>
        </w:rPr>
        <w:t xml:space="preserve">альтернативного(ых) источника(ов) света на СИД, при наличии, </w:t>
      </w:r>
      <w:r w:rsidRPr="001922B1">
        <w:t xml:space="preserve">должны быть видимы, когда огонь установлен на транспортном средстве или когда такая подвижная часть, как капот или крышка багажника либо дверь находится в открытом положении». </w:t>
      </w:r>
    </w:p>
    <w:p w:rsidR="001922B1" w:rsidRPr="001922B1" w:rsidRDefault="001922B1" w:rsidP="001922B1">
      <w:pPr>
        <w:pStyle w:val="SingleTxtGR"/>
      </w:pPr>
      <w:r w:rsidRPr="001922B1">
        <w:rPr>
          <w:i/>
        </w:rPr>
        <w:t xml:space="preserve">Пункт 3.3.4.3., </w:t>
      </w:r>
      <w:r w:rsidRPr="001922B1">
        <w:t>изменить следующим образом:</w:t>
      </w:r>
    </w:p>
    <w:p w:rsidR="001922B1" w:rsidRPr="001922B1" w:rsidRDefault="001922B1" w:rsidP="001922B1">
      <w:pPr>
        <w:pStyle w:val="SingleTxtGR"/>
        <w:ind w:left="2228" w:hanging="1134"/>
      </w:pPr>
      <w:r w:rsidRPr="001922B1">
        <w:t>«3.3.4.3</w:t>
      </w:r>
      <w:r w:rsidRPr="001922B1">
        <w:tab/>
        <w:t>за исключением огней с несменными источниками света, должна быть нанесена четкая и нестираемая маркировка, указывающая:</w:t>
      </w:r>
    </w:p>
    <w:p w:rsidR="001922B1" w:rsidRPr="001922B1" w:rsidRDefault="001922B1" w:rsidP="001922B1">
      <w:pPr>
        <w:pStyle w:val="SingleTxtGR"/>
        <w:ind w:left="2795" w:hanging="1701"/>
      </w:pPr>
      <w:r w:rsidRPr="002502B1">
        <w:tab/>
      </w:r>
      <w:r w:rsidRPr="002502B1">
        <w:tab/>
      </w:r>
      <w:r w:rsidRPr="001922B1">
        <w:rPr>
          <w:lang w:val="en-GB"/>
        </w:rPr>
        <w:t>a</w:t>
      </w:r>
      <w:r w:rsidRPr="001922B1">
        <w:t>)</w:t>
      </w:r>
      <w:r w:rsidRPr="001922B1">
        <w:tab/>
        <w:t>предписанную(ые) категорию(ии) источника(ов) света;</w:t>
      </w:r>
      <w:r w:rsidRPr="001922B1">
        <w:rPr>
          <w:b/>
        </w:rPr>
        <w:t xml:space="preserve"> </w:t>
      </w:r>
      <w:r w:rsidRPr="001922B1">
        <w:rPr>
          <w:b/>
          <w:bCs/>
        </w:rPr>
        <w:t xml:space="preserve">если данный огонь официально утвержден для </w:t>
      </w:r>
      <w:bookmarkStart w:id="5" w:name="OLE_LINK6"/>
      <w:r w:rsidRPr="001922B1">
        <w:rPr>
          <w:b/>
          <w:bCs/>
        </w:rPr>
        <w:t>альтернативного(ых) источника(ов) света на СИД</w:t>
      </w:r>
      <w:bookmarkEnd w:id="5"/>
      <w:r w:rsidRPr="001922B1">
        <w:rPr>
          <w:b/>
          <w:bCs/>
        </w:rPr>
        <w:t xml:space="preserve">, то категорию или категории альтернативного(ых) источника(ов) света на СИД; </w:t>
      </w:r>
      <w:r w:rsidRPr="001922B1">
        <w:t>и/или</w:t>
      </w:r>
    </w:p>
    <w:p w:rsidR="001922B1" w:rsidRPr="001922B1" w:rsidRDefault="001922B1" w:rsidP="001922B1">
      <w:pPr>
        <w:pStyle w:val="SingleTxtGR"/>
        <w:rPr>
          <w:b/>
        </w:rPr>
      </w:pPr>
      <w:r>
        <w:tab/>
      </w:r>
      <w:r w:rsidRPr="001922B1">
        <w:tab/>
      </w:r>
      <w:r w:rsidRPr="001922B1">
        <w:rPr>
          <w:lang w:val="en-GB"/>
        </w:rPr>
        <w:t>b</w:t>
      </w:r>
      <w:r w:rsidRPr="001922B1">
        <w:t>)</w:t>
      </w:r>
      <w:r w:rsidRPr="001922B1">
        <w:tab/>
        <w:t>конкретный идентификационный код модуля источника света».</w:t>
      </w:r>
    </w:p>
    <w:p w:rsidR="001922B1" w:rsidRPr="001922B1" w:rsidRDefault="001922B1" w:rsidP="001922B1">
      <w:pPr>
        <w:pStyle w:val="SingleTxtGR"/>
        <w:pageBreakBefore/>
      </w:pPr>
      <w:r w:rsidRPr="001922B1">
        <w:rPr>
          <w:i/>
        </w:rPr>
        <w:lastRenderedPageBreak/>
        <w:t>Включить новый пункт 3.5.4</w:t>
      </w:r>
      <w:r w:rsidRPr="001922B1">
        <w:t xml:space="preserve"> </w:t>
      </w:r>
      <w:bookmarkStart w:id="6" w:name="OLE_LINK4"/>
      <w:bookmarkStart w:id="7" w:name="OLE_LINK5"/>
      <w:r w:rsidRPr="001922B1">
        <w:t>следующего содержания</w:t>
      </w:r>
      <w:bookmarkEnd w:id="6"/>
      <w:bookmarkEnd w:id="7"/>
      <w:r w:rsidRPr="001922B1">
        <w:t>:</w:t>
      </w:r>
    </w:p>
    <w:p w:rsidR="001922B1" w:rsidRPr="00114EF3" w:rsidRDefault="001922B1" w:rsidP="001922B1">
      <w:pPr>
        <w:pStyle w:val="SingleTxtGR"/>
        <w:ind w:left="2268" w:hanging="1134"/>
      </w:pPr>
      <w:r w:rsidRPr="001922B1">
        <w:t>«</w:t>
      </w:r>
      <w:r w:rsidRPr="001922B1">
        <w:rPr>
          <w:b/>
        </w:rPr>
        <w:t>3.5.4</w:t>
      </w:r>
      <w:r>
        <w:rPr>
          <w:b/>
        </w:rPr>
        <w:tab/>
      </w:r>
      <w:r w:rsidRPr="001922B1">
        <w:rPr>
          <w:b/>
        </w:rPr>
        <w:tab/>
      </w:r>
      <w:r w:rsidRPr="001922B1">
        <w:rPr>
          <w:b/>
          <w:bCs/>
        </w:rPr>
        <w:t>На испытание с альтернативными источниками света на СИД не распространяется требование о проверке соответствия производства</w:t>
      </w:r>
      <w:r w:rsidRPr="00114EF3">
        <w:rPr>
          <w:bCs/>
        </w:rPr>
        <w:t>».</w:t>
      </w:r>
    </w:p>
    <w:p w:rsidR="001922B1" w:rsidRPr="001922B1" w:rsidRDefault="001922B1" w:rsidP="001922B1">
      <w:pPr>
        <w:pStyle w:val="SingleTxtGR"/>
      </w:pPr>
      <w:r w:rsidRPr="001922B1">
        <w:rPr>
          <w:i/>
        </w:rPr>
        <w:t xml:space="preserve">Пункт 4.3.1.4 </w:t>
      </w:r>
      <w:r w:rsidRPr="001922B1">
        <w:t>изменить следующим образом:</w:t>
      </w:r>
    </w:p>
    <w:p w:rsidR="001922B1" w:rsidRPr="001922B1" w:rsidRDefault="001922B1" w:rsidP="001922B1">
      <w:pPr>
        <w:pStyle w:val="SingleTxtGR"/>
        <w:ind w:left="2268" w:hanging="1134"/>
        <w:rPr>
          <w:b/>
        </w:rPr>
      </w:pPr>
      <w:r w:rsidRPr="001922B1">
        <w:t xml:space="preserve">«4.3.1.4 </w:t>
      </w:r>
      <w:r w:rsidRPr="001922B1">
        <w:tab/>
        <w:t xml:space="preserve">Патрон источника(ов) света должен соответствовать характеристикам, указанным в публикации 60061 МЭК. Применяются спецификации патрона, относящиеся к </w:t>
      </w:r>
      <w:r w:rsidRPr="00D14265">
        <w:rPr>
          <w:strike/>
        </w:rPr>
        <w:t>используемой</w:t>
      </w:r>
      <w:r w:rsidRPr="001922B1">
        <w:t xml:space="preserve"> </w:t>
      </w:r>
      <w:r w:rsidRPr="001922B1">
        <w:rPr>
          <w:b/>
          <w:bCs/>
        </w:rPr>
        <w:t>предписанной</w:t>
      </w:r>
      <w:r w:rsidRPr="001922B1">
        <w:t xml:space="preserve"> категории источника(ов) света. </w:t>
      </w:r>
    </w:p>
    <w:p w:rsidR="001922B1" w:rsidRPr="001922B1" w:rsidRDefault="001922B1" w:rsidP="001922B1">
      <w:pPr>
        <w:pStyle w:val="SingleTxtGR"/>
        <w:ind w:left="2268" w:hanging="1134"/>
        <w:rPr>
          <w:b/>
        </w:rPr>
      </w:pPr>
      <w:r>
        <w:rPr>
          <w:b/>
        </w:rPr>
        <w:tab/>
      </w:r>
      <w:r>
        <w:rPr>
          <w:b/>
        </w:rPr>
        <w:tab/>
      </w:r>
      <w:r w:rsidRPr="001922B1">
        <w:rPr>
          <w:b/>
        </w:rPr>
        <w:t xml:space="preserve">В противном случае, если предписана также категория </w:t>
      </w:r>
      <w:r w:rsidRPr="001922B1">
        <w:rPr>
          <w:b/>
          <w:bCs/>
        </w:rPr>
        <w:t>альтернативного(ых) источника(ов) света на СИД</w:t>
      </w:r>
      <w:r w:rsidRPr="001922B1">
        <w:rPr>
          <w:b/>
        </w:rPr>
        <w:t xml:space="preserve">, применяются спецификации патрона, относящиеся к категории </w:t>
      </w:r>
      <w:r w:rsidRPr="001922B1">
        <w:rPr>
          <w:b/>
          <w:bCs/>
        </w:rPr>
        <w:t xml:space="preserve">альтернативного(ых) </w:t>
      </w:r>
      <w:r w:rsidRPr="001922B1">
        <w:rPr>
          <w:b/>
        </w:rPr>
        <w:t>источника(ов) света</w:t>
      </w:r>
      <w:r w:rsidRPr="001922B1">
        <w:t xml:space="preserve">». </w:t>
      </w:r>
    </w:p>
    <w:p w:rsidR="001922B1" w:rsidRPr="001922B1" w:rsidRDefault="001922B1" w:rsidP="001922B1">
      <w:pPr>
        <w:pStyle w:val="SingleTxtGR"/>
      </w:pPr>
      <w:r w:rsidRPr="001922B1">
        <w:rPr>
          <w:i/>
        </w:rPr>
        <w:t xml:space="preserve">Включить новый пункт 4.7.7 </w:t>
      </w:r>
      <w:r w:rsidRPr="001922B1">
        <w:t>следующего содержания:</w:t>
      </w:r>
    </w:p>
    <w:p w:rsidR="001922B1" w:rsidRPr="001922B1" w:rsidRDefault="001922B1" w:rsidP="001922B1">
      <w:pPr>
        <w:pStyle w:val="SingleTxtGR"/>
        <w:ind w:left="2268" w:hanging="1134"/>
        <w:rPr>
          <w:b/>
        </w:rPr>
      </w:pPr>
      <w:r w:rsidRPr="001922B1">
        <w:t>«</w:t>
      </w:r>
      <w:r w:rsidRPr="001922B1">
        <w:rPr>
          <w:b/>
        </w:rPr>
        <w:t>4.7.7</w:t>
      </w:r>
      <w:r w:rsidRPr="001922B1">
        <w:rPr>
          <w:b/>
        </w:rPr>
        <w:tab/>
      </w:r>
      <w:r>
        <w:rPr>
          <w:b/>
        </w:rPr>
        <w:tab/>
      </w:r>
      <w:r w:rsidRPr="001922B1">
        <w:rPr>
          <w:b/>
          <w:bCs/>
        </w:rPr>
        <w:t>Если, по усмотрению заявителя, огонь подлежит также официальному утверждению с альтернативным(и) источником(ами) света на СИД, то все измерения – фотометрические и колориметрические – повторяются с использованием предписанного(ых) альтернативного(ых) источника(ов) света на СИД</w:t>
      </w:r>
      <w:r w:rsidRPr="00114EF3">
        <w:rPr>
          <w:bCs/>
        </w:rPr>
        <w:t>».</w:t>
      </w:r>
    </w:p>
    <w:p w:rsidR="001922B1" w:rsidRPr="001922B1" w:rsidRDefault="001922B1" w:rsidP="001922B1">
      <w:pPr>
        <w:pStyle w:val="SingleTxtGR"/>
      </w:pPr>
      <w:r w:rsidRPr="001922B1">
        <w:rPr>
          <w:i/>
        </w:rPr>
        <w:t xml:space="preserve">Приложение 1, пункт 9.2 </w:t>
      </w:r>
      <w:r w:rsidRPr="001922B1">
        <w:t>изменить следующим образом:</w:t>
      </w:r>
    </w:p>
    <w:p w:rsidR="001922B1" w:rsidRPr="001922B1" w:rsidRDefault="001922B1" w:rsidP="001922B1">
      <w:pPr>
        <w:pStyle w:val="SingleTxtGR"/>
      </w:pPr>
      <w:r w:rsidRPr="001922B1">
        <w:t>«9.2</w:t>
      </w:r>
      <w:r w:rsidRPr="001922B1">
        <w:tab/>
      </w:r>
      <w:r>
        <w:tab/>
      </w:r>
      <w:r w:rsidRPr="001922B1">
        <w:t>По функции световой сигнализации и категории:</w:t>
      </w:r>
    </w:p>
    <w:p w:rsidR="001922B1" w:rsidRPr="001922B1" w:rsidRDefault="001922B1" w:rsidP="001922B1">
      <w:pPr>
        <w:pStyle w:val="SingleTxtGR"/>
      </w:pPr>
      <w:r w:rsidRPr="001922B1">
        <w:tab/>
      </w:r>
      <w:r>
        <w:tab/>
      </w:r>
      <w:r w:rsidRPr="001922B1">
        <w:t>Для установки либо снаружи, либо внутри, либо в обоих положениях</w:t>
      </w:r>
      <w:r w:rsidRPr="00094BEF">
        <w:rPr>
          <w:sz w:val="18"/>
          <w:szCs w:val="18"/>
          <w:vertAlign w:val="superscript"/>
        </w:rPr>
        <w:t>2</w:t>
      </w:r>
    </w:p>
    <w:p w:rsidR="001922B1" w:rsidRPr="001922B1" w:rsidRDefault="001922B1" w:rsidP="001922B1">
      <w:pPr>
        <w:pStyle w:val="SingleTxtGR"/>
      </w:pPr>
      <w:r w:rsidRPr="001922B1">
        <w:tab/>
      </w:r>
      <w:r>
        <w:tab/>
      </w:r>
      <w:r w:rsidRPr="001922B1">
        <w:t>Цвет испускаемого света: красный/белый/автожелтый/бесцветный</w:t>
      </w:r>
      <w:r w:rsidRPr="00094BEF">
        <w:rPr>
          <w:sz w:val="18"/>
          <w:szCs w:val="18"/>
          <w:vertAlign w:val="superscript"/>
        </w:rPr>
        <w:t>2</w:t>
      </w:r>
    </w:p>
    <w:p w:rsidR="001922B1" w:rsidRPr="001922B1" w:rsidRDefault="001922B1" w:rsidP="001922B1">
      <w:pPr>
        <w:pStyle w:val="SingleTxtGR"/>
      </w:pPr>
      <w:r>
        <w:tab/>
      </w:r>
      <w:r>
        <w:tab/>
      </w:r>
      <w:r w:rsidRPr="001922B1">
        <w:t xml:space="preserve">Число, категория </w:t>
      </w:r>
      <w:r w:rsidRPr="001922B1">
        <w:rPr>
          <w:b/>
          <w:bCs/>
        </w:rPr>
        <w:t>или категории</w:t>
      </w:r>
      <w:r w:rsidRPr="001922B1">
        <w:t xml:space="preserve"> и тип источника(ов) света:</w:t>
      </w:r>
      <w:r w:rsidRPr="00094BEF">
        <w:rPr>
          <w:b/>
          <w:sz w:val="18"/>
          <w:szCs w:val="18"/>
          <w:u w:val="single"/>
          <w:vertAlign w:val="superscript"/>
        </w:rPr>
        <w:t>3</w:t>
      </w:r>
      <w:r w:rsidRPr="00094BEF">
        <w:rPr>
          <w:b/>
          <w:sz w:val="18"/>
          <w:szCs w:val="18"/>
          <w:vertAlign w:val="superscript"/>
        </w:rPr>
        <w:t>/</w:t>
      </w:r>
    </w:p>
    <w:p w:rsidR="001922B1" w:rsidRPr="001922B1" w:rsidRDefault="001922B1" w:rsidP="001922B1">
      <w:pPr>
        <w:pStyle w:val="SingleTxtGR"/>
      </w:pPr>
      <w:r>
        <w:tab/>
      </w:r>
      <w:r w:rsidRPr="001922B1">
        <w:tab/>
        <w:t>Напряжение и мощность:</w:t>
      </w:r>
    </w:p>
    <w:p w:rsidR="001922B1" w:rsidRDefault="001922B1" w:rsidP="001922B1">
      <w:pPr>
        <w:pStyle w:val="SingleTxtGR"/>
      </w:pPr>
      <w:r w:rsidRPr="001922B1">
        <w:t>….»</w:t>
      </w:r>
    </w:p>
    <w:p w:rsidR="001922B1" w:rsidRPr="00094BEF" w:rsidRDefault="001922B1" w:rsidP="00094BEF">
      <w:pPr>
        <w:pStyle w:val="SingleTxtGR"/>
        <w:spacing w:line="220" w:lineRule="exact"/>
        <w:ind w:left="2268" w:hanging="1134"/>
        <w:jc w:val="left"/>
      </w:pPr>
      <w:r w:rsidRPr="00094BEF">
        <w:t>«</w:t>
      </w:r>
      <w:r w:rsidRPr="00114EF3">
        <w:rPr>
          <w:b/>
          <w:sz w:val="18"/>
          <w:szCs w:val="18"/>
          <w:u w:val="single"/>
          <w:vertAlign w:val="superscript"/>
        </w:rPr>
        <w:t>3</w:t>
      </w:r>
      <w:r w:rsidRPr="00114EF3">
        <w:rPr>
          <w:b/>
          <w:sz w:val="18"/>
          <w:szCs w:val="18"/>
          <w:vertAlign w:val="superscript"/>
        </w:rPr>
        <w:t>/</w:t>
      </w:r>
      <w:r w:rsidRPr="001922B1">
        <w:rPr>
          <w:b/>
          <w:vertAlign w:val="superscript"/>
        </w:rPr>
        <w:tab/>
      </w:r>
      <w:r w:rsidR="00094BEF">
        <w:rPr>
          <w:b/>
          <w:vertAlign w:val="superscript"/>
        </w:rPr>
        <w:tab/>
      </w:r>
      <w:r w:rsidRPr="00094BEF">
        <w:rPr>
          <w:b/>
          <w:bCs/>
          <w:sz w:val="18"/>
          <w:szCs w:val="18"/>
        </w:rPr>
        <w:t>Четко указать альтернативный(ые) источник(и) света на СИД, при наличии</w:t>
      </w:r>
      <w:r w:rsidRPr="00094BEF">
        <w:rPr>
          <w:bCs/>
        </w:rPr>
        <w:t>».</w:t>
      </w:r>
    </w:p>
    <w:p w:rsidR="001922B1" w:rsidRPr="00094BEF" w:rsidRDefault="001922B1" w:rsidP="00114EF3">
      <w:pPr>
        <w:pStyle w:val="HChGR"/>
        <w:spacing w:before="320"/>
      </w:pPr>
      <w:r w:rsidRPr="001922B1">
        <w:tab/>
      </w:r>
      <w:r w:rsidRPr="001922B1">
        <w:rPr>
          <w:lang w:val="en-GB"/>
        </w:rPr>
        <w:t>II</w:t>
      </w:r>
      <w:r w:rsidRPr="00094BEF">
        <w:t>.</w:t>
      </w:r>
      <w:r w:rsidRPr="00094BEF">
        <w:tab/>
      </w:r>
      <w:r w:rsidRPr="001922B1">
        <w:t>Обоснование</w:t>
      </w:r>
    </w:p>
    <w:p w:rsidR="001922B1" w:rsidRPr="001922B1" w:rsidRDefault="001922B1" w:rsidP="001922B1">
      <w:pPr>
        <w:pStyle w:val="SingleTxtGR"/>
        <w:rPr>
          <w:bCs/>
        </w:rPr>
      </w:pPr>
      <w:r w:rsidRPr="001922B1">
        <w:t>1.</w:t>
      </w:r>
      <w:r w:rsidRPr="001922B1">
        <w:tab/>
        <w:t xml:space="preserve">Настоящее предложение первоначально было разработано и представлено БРГ к семьдесят седьмой и семьдесят восьмой сессиям </w:t>
      </w:r>
      <w:r w:rsidRPr="001922B1">
        <w:rPr>
          <w:bCs/>
          <w:lang w:val="en-GB"/>
        </w:rPr>
        <w:t>GRE</w:t>
      </w:r>
      <w:r w:rsidRPr="001922B1">
        <w:rPr>
          <w:bCs/>
        </w:rPr>
        <w:t xml:space="preserve"> и может быть рассмотрено только после того, как будет представлено предложение по новым правилам ООН, касающимся устройств световой сигнализации (УСС). Это предложение рассматривается </w:t>
      </w:r>
      <w:r w:rsidRPr="001922B1">
        <w:t xml:space="preserve">целевой группой по альтернативным и модифицированным устройствам (ЦГ по АМ). Следовательно, ЦГ по АМ предложила внести в него поправки. Были также приняты во внимание замечания, изложенные на предыдущих совещаниях </w:t>
      </w:r>
      <w:r w:rsidRPr="001922B1">
        <w:rPr>
          <w:lang w:val="en-GB"/>
        </w:rPr>
        <w:t>GRE</w:t>
      </w:r>
      <w:r w:rsidRPr="001922B1">
        <w:rPr>
          <w:bCs/>
        </w:rPr>
        <w:t xml:space="preserve">. </w:t>
      </w:r>
    </w:p>
    <w:p w:rsidR="001922B1" w:rsidRPr="001922B1" w:rsidRDefault="001922B1" w:rsidP="001922B1">
      <w:pPr>
        <w:pStyle w:val="SingleTxtGR"/>
        <w:rPr>
          <w:bCs/>
        </w:rPr>
      </w:pPr>
      <w:r w:rsidRPr="001922B1">
        <w:rPr>
          <w:bCs/>
        </w:rPr>
        <w:t>2.</w:t>
      </w:r>
      <w:r w:rsidRPr="001922B1">
        <w:rPr>
          <w:bCs/>
        </w:rPr>
        <w:tab/>
        <w:t>Настоящим предложением предусмотрены следующие изменения:</w:t>
      </w:r>
    </w:p>
    <w:p w:rsidR="001922B1" w:rsidRPr="001922B1" w:rsidRDefault="001922B1" w:rsidP="00094BEF">
      <w:pPr>
        <w:pStyle w:val="Bullet1GR"/>
      </w:pPr>
      <w:r w:rsidRPr="001922B1">
        <w:t xml:space="preserve">с учетом документа </w:t>
      </w:r>
      <w:r w:rsidRPr="001922B1">
        <w:rPr>
          <w:lang w:val="en-US"/>
        </w:rPr>
        <w:t>GRE</w:t>
      </w:r>
      <w:r w:rsidRPr="001922B1">
        <w:t>/2018/02 внесены редакционные поправки;</w:t>
      </w:r>
    </w:p>
    <w:p w:rsidR="001922B1" w:rsidRPr="001922B1" w:rsidRDefault="001922B1" w:rsidP="00094BEF">
      <w:pPr>
        <w:pStyle w:val="Bullet1GR"/>
      </w:pPr>
      <w:r w:rsidRPr="001922B1">
        <w:t xml:space="preserve">введено требование о том, чтобы была видимой маркировка огня, который официально утвержден для установки альтернативного(ых) источника(ов) света на СИД; </w:t>
      </w:r>
    </w:p>
    <w:p w:rsidR="001922B1" w:rsidRDefault="001922B1" w:rsidP="00094BEF">
      <w:pPr>
        <w:pStyle w:val="Bullet1GR"/>
      </w:pPr>
      <w:r w:rsidRPr="001922B1">
        <w:t>введено требование об использовании патрона альтернативного источника света на СИД с допуском эквивалентного источника света с нитью накала, если предписан альтернативный источник света на СИД.</w:t>
      </w:r>
    </w:p>
    <w:p w:rsidR="00E12C5F" w:rsidRPr="001922B1" w:rsidRDefault="001922B1" w:rsidP="001922B1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1922B1" w:rsidSect="001922B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F1" w:rsidRPr="00A312BC" w:rsidRDefault="000C5BF1" w:rsidP="00A312BC"/>
  </w:endnote>
  <w:endnote w:type="continuationSeparator" w:id="0">
    <w:p w:rsidR="000C5BF1" w:rsidRPr="00A312BC" w:rsidRDefault="000C5BF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B1" w:rsidRPr="001922B1" w:rsidRDefault="001922B1">
    <w:pPr>
      <w:pStyle w:val="Footer"/>
    </w:pPr>
    <w:r w:rsidRPr="001922B1">
      <w:rPr>
        <w:b/>
        <w:sz w:val="18"/>
      </w:rPr>
      <w:fldChar w:fldCharType="begin"/>
    </w:r>
    <w:r w:rsidRPr="001922B1">
      <w:rPr>
        <w:b/>
        <w:sz w:val="18"/>
      </w:rPr>
      <w:instrText xml:space="preserve"> PAGE  \* MERGEFORMAT </w:instrText>
    </w:r>
    <w:r w:rsidRPr="001922B1">
      <w:rPr>
        <w:b/>
        <w:sz w:val="18"/>
      </w:rPr>
      <w:fldChar w:fldCharType="separate"/>
    </w:r>
    <w:r w:rsidR="002502B1">
      <w:rPr>
        <w:b/>
        <w:noProof/>
        <w:sz w:val="18"/>
      </w:rPr>
      <w:t>4</w:t>
    </w:r>
    <w:r w:rsidRPr="001922B1">
      <w:rPr>
        <w:b/>
        <w:sz w:val="18"/>
      </w:rPr>
      <w:fldChar w:fldCharType="end"/>
    </w:r>
    <w:r>
      <w:rPr>
        <w:b/>
        <w:sz w:val="18"/>
      </w:rPr>
      <w:tab/>
    </w:r>
    <w:r>
      <w:t>GE.18-13152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B1" w:rsidRPr="001922B1" w:rsidRDefault="001922B1" w:rsidP="001922B1">
    <w:pPr>
      <w:pStyle w:val="Footer"/>
      <w:tabs>
        <w:tab w:val="clear" w:pos="9639"/>
        <w:tab w:val="right" w:pos="9638"/>
      </w:tabs>
      <w:rPr>
        <w:b/>
        <w:sz w:val="18"/>
      </w:rPr>
    </w:pPr>
    <w:r>
      <w:t>GE.18-13152</w:t>
    </w:r>
    <w:r>
      <w:tab/>
    </w:r>
    <w:r w:rsidRPr="001922B1">
      <w:rPr>
        <w:b/>
        <w:sz w:val="18"/>
      </w:rPr>
      <w:fldChar w:fldCharType="begin"/>
    </w:r>
    <w:r w:rsidRPr="001922B1">
      <w:rPr>
        <w:b/>
        <w:sz w:val="18"/>
      </w:rPr>
      <w:instrText xml:space="preserve"> PAGE  \* MERGEFORMAT </w:instrText>
    </w:r>
    <w:r w:rsidRPr="001922B1">
      <w:rPr>
        <w:b/>
        <w:sz w:val="18"/>
      </w:rPr>
      <w:fldChar w:fldCharType="separate"/>
    </w:r>
    <w:r w:rsidR="002502B1">
      <w:rPr>
        <w:b/>
        <w:noProof/>
        <w:sz w:val="18"/>
      </w:rPr>
      <w:t>3</w:t>
    </w:r>
    <w:r w:rsidRPr="001922B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1922B1" w:rsidRDefault="001922B1" w:rsidP="001922B1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18-13152  (R)</w:t>
    </w:r>
    <w:r>
      <w:rPr>
        <w:lang w:val="en-US"/>
      </w:rPr>
      <w:t xml:space="preserve">  130818  130818</w:t>
    </w:r>
    <w:r>
      <w:br/>
    </w:r>
    <w:r w:rsidRPr="001922B1">
      <w:rPr>
        <w:rFonts w:ascii="C39T30Lfz" w:hAnsi="C39T30Lfz"/>
        <w:kern w:val="14"/>
        <w:sz w:val="56"/>
      </w:rPr>
      <w:t></w:t>
    </w:r>
    <w:r w:rsidRPr="001922B1">
      <w:rPr>
        <w:rFonts w:ascii="C39T30Lfz" w:hAnsi="C39T30Lfz"/>
        <w:kern w:val="14"/>
        <w:sz w:val="56"/>
      </w:rPr>
      <w:t></w:t>
    </w:r>
    <w:r w:rsidRPr="001922B1">
      <w:rPr>
        <w:rFonts w:ascii="C39T30Lfz" w:hAnsi="C39T30Lfz"/>
        <w:kern w:val="14"/>
        <w:sz w:val="56"/>
      </w:rPr>
      <w:t></w:t>
    </w:r>
    <w:r w:rsidRPr="001922B1">
      <w:rPr>
        <w:rFonts w:ascii="C39T30Lfz" w:hAnsi="C39T30Lfz"/>
        <w:kern w:val="14"/>
        <w:sz w:val="56"/>
      </w:rPr>
      <w:t></w:t>
    </w:r>
    <w:r w:rsidRPr="001922B1">
      <w:rPr>
        <w:rFonts w:ascii="C39T30Lfz" w:hAnsi="C39T30Lfz"/>
        <w:kern w:val="14"/>
        <w:sz w:val="56"/>
      </w:rPr>
      <w:t></w:t>
    </w:r>
    <w:r w:rsidRPr="001922B1">
      <w:rPr>
        <w:rFonts w:ascii="C39T30Lfz" w:hAnsi="C39T30Lfz"/>
        <w:kern w:val="14"/>
        <w:sz w:val="56"/>
      </w:rPr>
      <w:t></w:t>
    </w:r>
    <w:r w:rsidRPr="001922B1">
      <w:rPr>
        <w:rFonts w:ascii="C39T30Lfz" w:hAnsi="C39T30Lfz"/>
        <w:kern w:val="14"/>
        <w:sz w:val="56"/>
      </w:rPr>
      <w:t></w:t>
    </w:r>
    <w:r w:rsidRPr="001922B1">
      <w:rPr>
        <w:rFonts w:ascii="C39T30Lfz" w:hAnsi="C39T30Lfz"/>
        <w:kern w:val="14"/>
        <w:sz w:val="56"/>
      </w:rPr>
      <w:t></w:t>
    </w:r>
    <w:r w:rsidRPr="001922B1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GRE/2018/42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E/2018/42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F1" w:rsidRPr="001075E9" w:rsidRDefault="000C5BF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0C5BF1" w:rsidRDefault="000C5BF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1922B1" w:rsidRPr="00214207" w:rsidRDefault="001922B1" w:rsidP="001922B1">
      <w:pPr>
        <w:pStyle w:val="FootnoteText"/>
        <w:spacing w:after="240"/>
      </w:pPr>
      <w:r>
        <w:tab/>
      </w:r>
      <w:r w:rsidRPr="00094BEF">
        <w:rPr>
          <w:sz w:val="20"/>
        </w:rPr>
        <w:t>*</w:t>
      </w:r>
      <w:r>
        <w:tab/>
        <w:t xml:space="preserve">В соответствии с программой работы Комитета по внутреннему транспорту </w:t>
      </w:r>
      <w:r w:rsidRPr="003D0A98">
        <w:br/>
      </w:r>
      <w:r>
        <w:t>на 2018–2019 годы (ECE/TRANS/274, пункт 123, и ECE/TRANS/2018/21/Add.1,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 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B1" w:rsidRPr="001922B1" w:rsidRDefault="002502B1">
    <w:pPr>
      <w:pStyle w:val="Header"/>
    </w:pPr>
    <w:fldSimple w:instr=" TITLE  \* MERGEFORMAT ">
      <w:r>
        <w:t>ECE/TRANS/WP.29/GRE/2018/42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B1" w:rsidRPr="001922B1" w:rsidRDefault="002502B1" w:rsidP="001922B1">
    <w:pPr>
      <w:pStyle w:val="Header"/>
      <w:jc w:val="right"/>
    </w:pPr>
    <w:fldSimple w:instr=" TITLE  \* MERGEFORMAT ">
      <w:r>
        <w:t>ECE/TRANS/WP.29/GRE/2018/42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21515"/>
    <w:multiLevelType w:val="hybridMultilevel"/>
    <w:tmpl w:val="F7E24E8C"/>
    <w:lvl w:ilvl="0" w:tplc="3F3A132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96A70"/>
    <w:multiLevelType w:val="hybridMultilevel"/>
    <w:tmpl w:val="2E50FFE4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9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3"/>
  </w:num>
  <w:num w:numId="18">
    <w:abstractNumId w:val="15"/>
  </w:num>
  <w:num w:numId="19">
    <w:abstractNumId w:val="17"/>
  </w:num>
  <w:num w:numId="20">
    <w:abstractNumId w:val="13"/>
  </w:num>
  <w:num w:numId="21">
    <w:abstractNumId w:val="15"/>
  </w:num>
  <w:num w:numId="22">
    <w:abstractNumId w:val="12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F1"/>
    <w:rsid w:val="00033EE1"/>
    <w:rsid w:val="00042B72"/>
    <w:rsid w:val="000558BD"/>
    <w:rsid w:val="00094BEF"/>
    <w:rsid w:val="000B57E7"/>
    <w:rsid w:val="000B6373"/>
    <w:rsid w:val="000C5BF1"/>
    <w:rsid w:val="000E4E5B"/>
    <w:rsid w:val="000F09DF"/>
    <w:rsid w:val="000F61B2"/>
    <w:rsid w:val="001075E9"/>
    <w:rsid w:val="00114EF3"/>
    <w:rsid w:val="0014152F"/>
    <w:rsid w:val="00180183"/>
    <w:rsid w:val="0018024D"/>
    <w:rsid w:val="0018649F"/>
    <w:rsid w:val="001922B1"/>
    <w:rsid w:val="00196389"/>
    <w:rsid w:val="001B3EF6"/>
    <w:rsid w:val="001C5698"/>
    <w:rsid w:val="001C7A89"/>
    <w:rsid w:val="002502B1"/>
    <w:rsid w:val="00255343"/>
    <w:rsid w:val="0027151D"/>
    <w:rsid w:val="002A2EFC"/>
    <w:rsid w:val="002B0106"/>
    <w:rsid w:val="002B74B1"/>
    <w:rsid w:val="002C0E18"/>
    <w:rsid w:val="002D5AAC"/>
    <w:rsid w:val="002E5067"/>
    <w:rsid w:val="002F2030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D0EC4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84A01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6B8"/>
    <w:rsid w:val="00C92939"/>
    <w:rsid w:val="00CA1679"/>
    <w:rsid w:val="00CB151C"/>
    <w:rsid w:val="00CE5A1A"/>
    <w:rsid w:val="00CF55F6"/>
    <w:rsid w:val="00D14265"/>
    <w:rsid w:val="00D33D63"/>
    <w:rsid w:val="00D5253A"/>
    <w:rsid w:val="00D873A8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1898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2EC057-C608-4C71-B37B-620766A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9D7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617A4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617A43"/>
    <w:pPr>
      <w:numPr>
        <w:numId w:val="21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984A01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R"/>
    <w:basedOn w:val="Normal"/>
    <w:link w:val="FootnoteTextChar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R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7A43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1922B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AF3D-7651-4917-BA3E-DBD38D74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ECE/TRANS/WP.29/GRE/2018/42</vt:lpstr>
      <vt:lpstr>ECE/TRANS/WP.29/GRE/2018/42</vt:lpstr>
      <vt:lpstr>A/</vt:lpstr>
    </vt:vector>
  </TitlesOfParts>
  <Company>DCM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ECE/TRANS/WP.29/GRE/2018/42</dc:title>
  <dc:subject/>
  <dc:creator>Elena IZOTOVA</dc:creator>
  <cp:keywords/>
  <cp:lastModifiedBy>Benedicte Boudol</cp:lastModifiedBy>
  <cp:revision>2</cp:revision>
  <cp:lastPrinted>2018-08-13T12:41:00Z</cp:lastPrinted>
  <dcterms:created xsi:type="dcterms:W3CDTF">2018-09-11T13:16:00Z</dcterms:created>
  <dcterms:modified xsi:type="dcterms:W3CDTF">2018-09-11T13:16:00Z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