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311EBC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311EBC" w:rsidP="00311EBC">
            <w:pPr>
              <w:jc w:val="right"/>
            </w:pPr>
            <w:r w:rsidRPr="00311EBC">
              <w:rPr>
                <w:sz w:val="40"/>
              </w:rPr>
              <w:t>ECE</w:t>
            </w:r>
            <w:r>
              <w:t>/TRANS/WP.29/GRE/2018/39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311EBC" w:rsidP="00C97039">
            <w:pPr>
              <w:spacing w:before="240"/>
            </w:pPr>
            <w:r>
              <w:t>Distr. générale</w:t>
            </w:r>
          </w:p>
          <w:p w:rsidR="00311EBC" w:rsidRDefault="00311EBC" w:rsidP="00311EBC">
            <w:pPr>
              <w:spacing w:line="240" w:lineRule="exact"/>
            </w:pPr>
            <w:r>
              <w:t>9 août 2018</w:t>
            </w:r>
          </w:p>
          <w:p w:rsidR="00311EBC" w:rsidRDefault="00311EBC" w:rsidP="00311EBC">
            <w:pPr>
              <w:spacing w:line="240" w:lineRule="exact"/>
            </w:pPr>
            <w:r>
              <w:t>Français</w:t>
            </w:r>
          </w:p>
          <w:p w:rsidR="00311EBC" w:rsidRPr="00DB58B5" w:rsidRDefault="00311EBC" w:rsidP="00311EBC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3F6058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4A4D71" w:rsidRPr="002B23D2" w:rsidRDefault="004A4D71" w:rsidP="00BC3491">
      <w:pPr>
        <w:spacing w:before="120" w:after="120"/>
        <w:rPr>
          <w:b/>
          <w:sz w:val="24"/>
          <w:szCs w:val="24"/>
          <w:lang w:val="fr-FR"/>
        </w:rPr>
      </w:pPr>
      <w:r w:rsidRPr="002B23D2">
        <w:rPr>
          <w:b/>
          <w:sz w:val="24"/>
          <w:szCs w:val="24"/>
          <w:lang w:val="fr-FR"/>
        </w:rPr>
        <w:t>Forum mondial de l</w:t>
      </w:r>
      <w:r w:rsidR="003F6058" w:rsidRPr="002B23D2">
        <w:rPr>
          <w:b/>
          <w:sz w:val="24"/>
          <w:szCs w:val="24"/>
          <w:lang w:val="fr-FR"/>
        </w:rPr>
        <w:t>’</w:t>
      </w:r>
      <w:r w:rsidRPr="002B23D2">
        <w:rPr>
          <w:b/>
          <w:sz w:val="24"/>
          <w:szCs w:val="24"/>
          <w:lang w:val="fr-FR"/>
        </w:rPr>
        <w:t xml:space="preserve">harmonisation </w:t>
      </w:r>
      <w:r w:rsidRPr="002B23D2">
        <w:rPr>
          <w:b/>
          <w:sz w:val="24"/>
          <w:szCs w:val="24"/>
          <w:lang w:val="fr-FR"/>
        </w:rPr>
        <w:br/>
        <w:t>des Règlements concernant les véhicules</w:t>
      </w:r>
    </w:p>
    <w:p w:rsidR="004A4D71" w:rsidRPr="004A4D71" w:rsidRDefault="004A4D71" w:rsidP="00BC3491">
      <w:pPr>
        <w:spacing w:after="120"/>
        <w:rPr>
          <w:b/>
          <w:bCs/>
          <w:lang w:val="fr-FR"/>
        </w:rPr>
      </w:pPr>
      <w:r w:rsidRPr="004A4D71">
        <w:rPr>
          <w:b/>
          <w:bCs/>
          <w:lang w:val="fr-FR"/>
        </w:rPr>
        <w:t>Groupe de travail de l</w:t>
      </w:r>
      <w:r w:rsidR="003F6058">
        <w:rPr>
          <w:b/>
          <w:bCs/>
          <w:lang w:val="fr-FR"/>
        </w:rPr>
        <w:t>’</w:t>
      </w:r>
      <w:r w:rsidRPr="004A4D71">
        <w:rPr>
          <w:b/>
          <w:bCs/>
          <w:lang w:val="fr-FR"/>
        </w:rPr>
        <w:t>éclairage et de la signalisation lumineuse</w:t>
      </w:r>
    </w:p>
    <w:p w:rsidR="004A4D71" w:rsidRPr="004A4D71" w:rsidRDefault="004A4D71" w:rsidP="004A4D71">
      <w:pPr>
        <w:rPr>
          <w:b/>
          <w:lang w:val="fr-FR"/>
        </w:rPr>
      </w:pPr>
      <w:r w:rsidRPr="004A4D71">
        <w:rPr>
          <w:b/>
          <w:lang w:val="fr-FR"/>
        </w:rPr>
        <w:t>Quatre-vingtième session</w:t>
      </w:r>
    </w:p>
    <w:p w:rsidR="004A4D71" w:rsidRPr="004A4D71" w:rsidRDefault="004A4D71" w:rsidP="004A4D71">
      <w:pPr>
        <w:rPr>
          <w:lang w:val="fr-FR"/>
        </w:rPr>
      </w:pPr>
      <w:r w:rsidRPr="004A4D71">
        <w:rPr>
          <w:lang w:val="fr-FR"/>
        </w:rPr>
        <w:t>Genève, 23-26 octobre 2018</w:t>
      </w:r>
    </w:p>
    <w:p w:rsidR="004A4D71" w:rsidRPr="004A4D71" w:rsidRDefault="004A4D71" w:rsidP="004A4D71">
      <w:pPr>
        <w:rPr>
          <w:bCs/>
          <w:lang w:val="fr-FR"/>
        </w:rPr>
      </w:pPr>
      <w:r w:rsidRPr="004A4D71">
        <w:rPr>
          <w:bCs/>
          <w:lang w:val="fr-FR"/>
        </w:rPr>
        <w:t>Point 5 de l</w:t>
      </w:r>
      <w:r w:rsidR="003F6058">
        <w:rPr>
          <w:bCs/>
          <w:lang w:val="fr-FR"/>
        </w:rPr>
        <w:t>’</w:t>
      </w:r>
      <w:r w:rsidRPr="004A4D71">
        <w:rPr>
          <w:bCs/>
          <w:lang w:val="fr-FR"/>
        </w:rPr>
        <w:t>ordre du jour provisoire</w:t>
      </w:r>
    </w:p>
    <w:p w:rsidR="004A4D71" w:rsidRPr="004A4D71" w:rsidRDefault="004A4D71" w:rsidP="004A4D71">
      <w:pPr>
        <w:rPr>
          <w:b/>
          <w:bCs/>
          <w:lang w:val="fr-FR"/>
        </w:rPr>
      </w:pPr>
      <w:r w:rsidRPr="004A4D71">
        <w:rPr>
          <w:b/>
          <w:bCs/>
          <w:lang w:val="fr-FR"/>
        </w:rPr>
        <w:t>Règlements ONU n</w:t>
      </w:r>
      <w:r w:rsidRPr="004A4D71">
        <w:rPr>
          <w:b/>
          <w:bCs/>
          <w:vertAlign w:val="superscript"/>
          <w:lang w:val="fr-FR"/>
        </w:rPr>
        <w:t>os</w:t>
      </w:r>
      <w:r w:rsidR="00BC3491">
        <w:rPr>
          <w:b/>
          <w:bCs/>
          <w:lang w:val="fr-FR"/>
        </w:rPr>
        <w:t> </w:t>
      </w:r>
      <w:r w:rsidRPr="004A4D71">
        <w:rPr>
          <w:b/>
          <w:bCs/>
          <w:lang w:val="fr-FR"/>
        </w:rPr>
        <w:t xml:space="preserve">37 (Lampes à incandescence), 99 (Sources lumineuses </w:t>
      </w:r>
      <w:r w:rsidR="00BC3491">
        <w:rPr>
          <w:b/>
          <w:bCs/>
          <w:lang w:val="fr-FR"/>
        </w:rPr>
        <w:br/>
      </w:r>
      <w:r w:rsidRPr="004A4D71">
        <w:rPr>
          <w:b/>
          <w:bCs/>
          <w:lang w:val="fr-FR"/>
        </w:rPr>
        <w:t xml:space="preserve">à décharge), 128 (Sources lumineuses à diodes électroluminescentes) </w:t>
      </w:r>
      <w:r w:rsidR="00BC3491">
        <w:rPr>
          <w:b/>
          <w:bCs/>
          <w:lang w:val="fr-FR"/>
        </w:rPr>
        <w:br/>
      </w:r>
      <w:r w:rsidRPr="004A4D71">
        <w:rPr>
          <w:b/>
          <w:bCs/>
          <w:lang w:val="fr-FR"/>
        </w:rPr>
        <w:t>et Résolution d</w:t>
      </w:r>
      <w:r w:rsidR="003F6058">
        <w:rPr>
          <w:b/>
          <w:bCs/>
          <w:lang w:val="fr-FR"/>
        </w:rPr>
        <w:t>’</w:t>
      </w:r>
      <w:r w:rsidRPr="004A4D71">
        <w:rPr>
          <w:b/>
          <w:bCs/>
          <w:lang w:val="fr-FR"/>
        </w:rPr>
        <w:t xml:space="preserve">ensemble sur une spécification commune </w:t>
      </w:r>
      <w:r w:rsidR="00BC3491">
        <w:rPr>
          <w:b/>
          <w:bCs/>
          <w:lang w:val="fr-FR"/>
        </w:rPr>
        <w:br/>
      </w:r>
      <w:r w:rsidRPr="004A4D71">
        <w:rPr>
          <w:b/>
          <w:bCs/>
          <w:lang w:val="fr-FR"/>
        </w:rPr>
        <w:t>des catégories de sources lumineuses</w:t>
      </w:r>
    </w:p>
    <w:p w:rsidR="004A4D71" w:rsidRPr="004A4D71" w:rsidRDefault="004A4D71" w:rsidP="003549F6">
      <w:pPr>
        <w:pStyle w:val="HChG"/>
        <w:rPr>
          <w:lang w:val="fr-FR"/>
        </w:rPr>
      </w:pPr>
      <w:r w:rsidRPr="004A4D71">
        <w:rPr>
          <w:lang w:val="fr-FR"/>
        </w:rPr>
        <w:tab/>
      </w:r>
      <w:r w:rsidRPr="004A4D71">
        <w:rPr>
          <w:lang w:val="fr-FR"/>
        </w:rPr>
        <w:tab/>
        <w:t xml:space="preserve">Proposition de complément [9] à la version initiale </w:t>
      </w:r>
      <w:r w:rsidRPr="004A4D71">
        <w:rPr>
          <w:lang w:val="fr-FR"/>
        </w:rPr>
        <w:br/>
        <w:t>du Règlement ONU n</w:t>
      </w:r>
      <w:r w:rsidRPr="004A4D71">
        <w:rPr>
          <w:vertAlign w:val="superscript"/>
          <w:lang w:val="fr-FR"/>
        </w:rPr>
        <w:t>o</w:t>
      </w:r>
      <w:r w:rsidRPr="004A4D71">
        <w:rPr>
          <w:lang w:val="fr-FR"/>
        </w:rPr>
        <w:t> 128 (</w:t>
      </w:r>
      <w:r w:rsidRPr="004A4D71">
        <w:rPr>
          <w:bCs/>
          <w:lang w:val="fr-FR"/>
        </w:rPr>
        <w:t xml:space="preserve">Sources </w:t>
      </w:r>
      <w:r w:rsidRPr="004A4D71">
        <w:rPr>
          <w:lang w:val="fr-FR"/>
        </w:rPr>
        <w:t>lumineuses</w:t>
      </w:r>
      <w:r w:rsidRPr="004A4D71">
        <w:rPr>
          <w:bCs/>
          <w:lang w:val="fr-FR"/>
        </w:rPr>
        <w:t xml:space="preserve"> </w:t>
      </w:r>
      <w:r w:rsidR="00BC3491">
        <w:rPr>
          <w:bCs/>
          <w:lang w:val="fr-FR"/>
        </w:rPr>
        <w:br/>
      </w:r>
      <w:r w:rsidRPr="004A4D71">
        <w:rPr>
          <w:bCs/>
          <w:lang w:val="fr-FR"/>
        </w:rPr>
        <w:t>à diodes électroluminescentes</w:t>
      </w:r>
      <w:r w:rsidRPr="004A4D71">
        <w:rPr>
          <w:lang w:val="fr-FR"/>
        </w:rPr>
        <w:t>)</w:t>
      </w:r>
    </w:p>
    <w:p w:rsidR="004A4D71" w:rsidRPr="004A4D71" w:rsidRDefault="004A4D71" w:rsidP="003549F6">
      <w:pPr>
        <w:pStyle w:val="H1G"/>
        <w:rPr>
          <w:lang w:val="fr-FR"/>
        </w:rPr>
      </w:pPr>
      <w:r w:rsidRPr="004A4D71">
        <w:rPr>
          <w:lang w:val="fr-FR"/>
        </w:rPr>
        <w:tab/>
      </w:r>
      <w:r>
        <w:rPr>
          <w:lang w:val="fr-FR"/>
        </w:rPr>
        <w:tab/>
      </w:r>
      <w:r w:rsidRPr="004A4D71">
        <w:rPr>
          <w:lang w:val="fr-FR"/>
        </w:rPr>
        <w:t>Communication de l</w:t>
      </w:r>
      <w:r w:rsidR="003F6058">
        <w:rPr>
          <w:lang w:val="fr-FR"/>
        </w:rPr>
        <w:t>’</w:t>
      </w:r>
      <w:r w:rsidRPr="004A4D71">
        <w:rPr>
          <w:lang w:val="fr-FR"/>
        </w:rPr>
        <w:t xml:space="preserve">équipe spéciale des sources lumineuses </w:t>
      </w:r>
      <w:r>
        <w:rPr>
          <w:lang w:val="fr-FR"/>
        </w:rPr>
        <w:br/>
      </w:r>
      <w:r w:rsidRPr="004A4D71">
        <w:rPr>
          <w:lang w:val="fr-FR"/>
        </w:rPr>
        <w:t>de substitution et de remplacement</w:t>
      </w:r>
      <w:r w:rsidRPr="004A4D71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F9573C" w:rsidRDefault="004A4D71" w:rsidP="004A4D71">
      <w:pPr>
        <w:pStyle w:val="SingleTxtG"/>
        <w:ind w:firstLine="567"/>
        <w:rPr>
          <w:lang w:val="fr-FR"/>
        </w:rPr>
      </w:pPr>
      <w:r w:rsidRPr="004A4D71">
        <w:rPr>
          <w:lang w:val="fr-FR"/>
        </w:rPr>
        <w:t>Le texte ci-après, établi par l</w:t>
      </w:r>
      <w:r w:rsidR="003F6058">
        <w:rPr>
          <w:lang w:val="fr-FR"/>
        </w:rPr>
        <w:t>’</w:t>
      </w:r>
      <w:r w:rsidRPr="004A4D71">
        <w:rPr>
          <w:lang w:val="fr-FR"/>
        </w:rPr>
        <w:t>équipe spéciale des sources lumineuses de substitution et de remplacement, apporte des modifications à la proposition établie par l</w:t>
      </w:r>
      <w:r w:rsidR="003F6058">
        <w:rPr>
          <w:lang w:val="fr-FR"/>
        </w:rPr>
        <w:t>’</w:t>
      </w:r>
      <w:r w:rsidRPr="004A4D71">
        <w:rPr>
          <w:lang w:val="fr-FR"/>
        </w:rPr>
        <w:t xml:space="preserve">expert du Groupe de travail </w:t>
      </w:r>
      <w:r>
        <w:rPr>
          <w:lang w:val="fr-FR"/>
        </w:rPr>
        <w:t>« </w:t>
      </w:r>
      <w:r w:rsidRPr="004A4D71">
        <w:rPr>
          <w:lang w:val="fr-FR"/>
        </w:rPr>
        <w:t>Bruxelles 1952</w:t>
      </w:r>
      <w:r>
        <w:rPr>
          <w:lang w:val="fr-FR"/>
        </w:rPr>
        <w:t> »</w:t>
      </w:r>
      <w:r w:rsidRPr="004A4D71">
        <w:rPr>
          <w:lang w:val="fr-FR"/>
        </w:rPr>
        <w:t xml:space="preserve"> (GTB) visant à introduire des prescriptions et spécifications d</w:t>
      </w:r>
      <w:r w:rsidR="003F6058">
        <w:rPr>
          <w:lang w:val="fr-FR"/>
        </w:rPr>
        <w:t>’</w:t>
      </w:r>
      <w:r w:rsidRPr="004A4D71">
        <w:rPr>
          <w:lang w:val="fr-FR"/>
        </w:rPr>
        <w:t>essai applicables aux sources lumineuses à diodes électroluminescentes (DEL) de substitution. Cette proposition est une version actualisée du document ECE/TRANS/WP.29/GRE/2017/21, initialement examiné par le Groupe de travail de l</w:t>
      </w:r>
      <w:r w:rsidR="003F6058">
        <w:rPr>
          <w:lang w:val="fr-FR"/>
        </w:rPr>
        <w:t>’</w:t>
      </w:r>
      <w:r w:rsidRPr="004A4D71">
        <w:rPr>
          <w:lang w:val="fr-FR"/>
        </w:rPr>
        <w:t>éclairage et de la signalisatio</w:t>
      </w:r>
      <w:r w:rsidR="004E6123">
        <w:rPr>
          <w:lang w:val="fr-FR"/>
        </w:rPr>
        <w:t>n lumineuse (GRE) à sa soixante-</w:t>
      </w:r>
      <w:r w:rsidRPr="004A4D71">
        <w:rPr>
          <w:lang w:val="fr-FR"/>
        </w:rPr>
        <w:t>dix-huitième session, et a été élaborée en tenant compte des observations reçues de la part de plusieurs Parties contractantes. Il a aussi été tenu compte des observations formulées pendant la soixante</w:t>
      </w:r>
      <w:r>
        <w:rPr>
          <w:lang w:val="fr-FR"/>
        </w:rPr>
        <w:t>-</w:t>
      </w:r>
      <w:r w:rsidRPr="004A4D71">
        <w:rPr>
          <w:lang w:val="fr-FR"/>
        </w:rPr>
        <w:t>dix-neuvième session du GRE et des propositions d</w:t>
      </w:r>
      <w:r w:rsidR="003F6058">
        <w:rPr>
          <w:lang w:val="fr-FR"/>
        </w:rPr>
        <w:t>’</w:t>
      </w:r>
      <w:r w:rsidRPr="004A4D71">
        <w:rPr>
          <w:lang w:val="fr-FR"/>
        </w:rPr>
        <w:t>amendement figurant dans les documents ECE/TRANS/WP.29/2018/30 et ECE/TRANS/WP.29/GRE/2018/21. Les modifications qu</w:t>
      </w:r>
      <w:r w:rsidR="003F6058">
        <w:rPr>
          <w:lang w:val="fr-FR"/>
        </w:rPr>
        <w:t>’</w:t>
      </w:r>
      <w:r w:rsidRPr="004A4D71">
        <w:rPr>
          <w:lang w:val="fr-FR"/>
        </w:rPr>
        <w:t>il est proposé d</w:t>
      </w:r>
      <w:r w:rsidR="003F6058">
        <w:rPr>
          <w:lang w:val="fr-FR"/>
        </w:rPr>
        <w:t>’</w:t>
      </w:r>
      <w:r w:rsidRPr="004A4D71">
        <w:rPr>
          <w:lang w:val="fr-FR"/>
        </w:rPr>
        <w:t>apporter au texte existant du Règlement ONU figurent en caractères gras pour les ajouts et biffés pour les suppressions.</w:t>
      </w:r>
    </w:p>
    <w:p w:rsidR="003F6058" w:rsidRPr="00821223" w:rsidRDefault="00803623" w:rsidP="003F6058">
      <w:pPr>
        <w:pStyle w:val="HChG"/>
      </w:pPr>
      <w:r>
        <w:rPr>
          <w:lang w:val="fr-FR"/>
        </w:rPr>
        <w:br w:type="page"/>
      </w:r>
      <w:r w:rsidR="003F6058" w:rsidRPr="00821223">
        <w:lastRenderedPageBreak/>
        <w:tab/>
        <w:t>I.</w:t>
      </w:r>
      <w:r w:rsidR="003F6058" w:rsidRPr="00821223">
        <w:tab/>
        <w:t>Proposition</w:t>
      </w:r>
    </w:p>
    <w:p w:rsidR="003F6058" w:rsidRPr="00821223" w:rsidRDefault="003F6058" w:rsidP="003F6058">
      <w:pPr>
        <w:pStyle w:val="SingleTxtG"/>
        <w:rPr>
          <w:bCs/>
        </w:rPr>
      </w:pPr>
      <w:r w:rsidRPr="00821223">
        <w:rPr>
          <w:bCs/>
          <w:i/>
        </w:rPr>
        <w:t>Ajouter un nouveau paragraphe 2.2.2.4</w:t>
      </w:r>
      <w:r w:rsidRPr="00821223">
        <w:rPr>
          <w:bCs/>
        </w:rPr>
        <w:t>,</w:t>
      </w:r>
      <w:r w:rsidRPr="00821223">
        <w:rPr>
          <w:bCs/>
          <w:i/>
        </w:rPr>
        <w:t xml:space="preserve"> </w:t>
      </w:r>
      <w:r w:rsidRPr="00821223">
        <w:rPr>
          <w:bCs/>
        </w:rPr>
        <w:t>libellé comme suit :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t>« </w:t>
      </w:r>
      <w:r w:rsidRPr="00821223">
        <w:rPr>
          <w:b/>
          <w:bCs/>
        </w:rPr>
        <w:t>2.2.2.4</w:t>
      </w:r>
      <w:r w:rsidRPr="00821223">
        <w:rPr>
          <w:b/>
          <w:bCs/>
        </w:rPr>
        <w:tab/>
      </w:r>
      <w:r w:rsidRPr="00821223">
        <w:rPr>
          <w:b/>
        </w:rPr>
        <w:t>De documents, dans le cas de sources lumineuses à DEL de substitution, dans lesquels sont indiqués :</w:t>
      </w:r>
    </w:p>
    <w:p w:rsidR="003F6058" w:rsidRPr="00821223" w:rsidRDefault="003F6058" w:rsidP="004C61E4">
      <w:pPr>
        <w:pStyle w:val="SingleTxtG"/>
        <w:ind w:left="2835" w:hanging="567"/>
        <w:rPr>
          <w:b/>
        </w:rPr>
      </w:pPr>
      <w:r w:rsidRPr="00821223">
        <w:rPr>
          <w:b/>
        </w:rPr>
        <w:t>a)</w:t>
      </w:r>
      <w:r w:rsidRPr="00821223">
        <w:rPr>
          <w:b/>
        </w:rPr>
        <w:tab/>
        <w:t>Les renseignements devant figurer sur l</w:t>
      </w:r>
      <w:r>
        <w:rPr>
          <w:b/>
        </w:rPr>
        <w:t>’</w:t>
      </w:r>
      <w:r w:rsidRPr="00821223">
        <w:rPr>
          <w:b/>
        </w:rPr>
        <w:t>emballage ; et</w:t>
      </w:r>
    </w:p>
    <w:p w:rsidR="003F6058" w:rsidRPr="00821223" w:rsidRDefault="003F6058" w:rsidP="004C61E4">
      <w:pPr>
        <w:pStyle w:val="SingleTxtG"/>
        <w:ind w:left="2835" w:hanging="567"/>
        <w:rPr>
          <w:i/>
        </w:rPr>
      </w:pPr>
      <w:r w:rsidRPr="00821223">
        <w:rPr>
          <w:b/>
        </w:rPr>
        <w:t>b)</w:t>
      </w:r>
      <w:r w:rsidRPr="00821223">
        <w:rPr>
          <w:b/>
        </w:rPr>
        <w:tab/>
        <w:t>Les instructions devant figurer sur l</w:t>
      </w:r>
      <w:r>
        <w:rPr>
          <w:b/>
        </w:rPr>
        <w:t>’</w:t>
      </w:r>
      <w:r w:rsidRPr="00821223">
        <w:rPr>
          <w:b/>
        </w:rPr>
        <w:t>emballage des sources lumineuses à DEL de substitution. </w:t>
      </w:r>
      <w:r w:rsidRPr="00821223">
        <w:t>».</w:t>
      </w:r>
      <w:r w:rsidRPr="00821223">
        <w:rPr>
          <w:bCs/>
        </w:rPr>
        <w:t xml:space="preserve"> </w:t>
      </w:r>
    </w:p>
    <w:p w:rsidR="003F6058" w:rsidRPr="00821223" w:rsidRDefault="003F6058" w:rsidP="003F6058">
      <w:pPr>
        <w:pStyle w:val="SingleTxtG"/>
        <w:rPr>
          <w:i/>
        </w:rPr>
      </w:pPr>
      <w:r w:rsidRPr="00821223">
        <w:rPr>
          <w:bCs/>
          <w:i/>
        </w:rPr>
        <w:t xml:space="preserve">Ajouter un nouveau paragraphe </w:t>
      </w:r>
      <w:r w:rsidRPr="00821223">
        <w:rPr>
          <w:i/>
        </w:rPr>
        <w:t>2.3.1.5</w:t>
      </w:r>
      <w:r w:rsidRPr="00821223">
        <w:t xml:space="preserve">, </w:t>
      </w:r>
      <w:r w:rsidRPr="00821223">
        <w:rPr>
          <w:bCs/>
        </w:rPr>
        <w:t>libellé comme suit :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t>«</w:t>
      </w:r>
      <w:r w:rsidRPr="00821223">
        <w:rPr>
          <w:b/>
        </w:rPr>
        <w:t> 2.3.1.5</w:t>
      </w:r>
      <w:r w:rsidRPr="00821223">
        <w:rPr>
          <w:b/>
        </w:rPr>
        <w:tab/>
        <w:t>Dans le cas de sources lumineuse à DEL de substitution, le symbole suivant</w:t>
      </w:r>
      <w:r w:rsidR="000C4E18" w:rsidRPr="002A3B21">
        <w:rPr>
          <w:rStyle w:val="FootnoteReference"/>
        </w:rPr>
        <w:footnoteReference w:id="3"/>
      </w:r>
      <w:r w:rsidRPr="00821223">
        <w:rPr>
          <w:b/>
        </w:rPr>
        <w:t> :</w:t>
      </w:r>
    </w:p>
    <w:p w:rsidR="003F6058" w:rsidRPr="000219E7" w:rsidRDefault="003F6058" w:rsidP="000219E7">
      <w:pPr>
        <w:pStyle w:val="SingleTxtG"/>
        <w:spacing w:after="240"/>
        <w:ind w:left="2268"/>
      </w:pPr>
      <w:r w:rsidRPr="00821223">
        <w:rPr>
          <w:b/>
          <w:noProof/>
          <w:lang w:eastAsia="fr-FR"/>
        </w:rPr>
        <w:drawing>
          <wp:inline distT="0" distB="0" distL="0" distR="0" wp14:anchorId="03F4BA4B" wp14:editId="5E9B8D36">
            <wp:extent cx="872836" cy="609600"/>
            <wp:effectExtent l="0" t="0" r="3810" b="0"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67" cy="61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23">
        <w:t>. ».</w:t>
      </w:r>
    </w:p>
    <w:p w:rsidR="003F6058" w:rsidRPr="00821223" w:rsidRDefault="003F6058" w:rsidP="003F6058">
      <w:pPr>
        <w:spacing w:after="120"/>
        <w:ind w:left="2268" w:right="1134" w:hanging="1134"/>
        <w:jc w:val="both"/>
      </w:pPr>
      <w:r w:rsidRPr="00821223">
        <w:rPr>
          <w:bCs/>
          <w:i/>
        </w:rPr>
        <w:t>Ajouter un nouveau paragraphe</w:t>
      </w:r>
      <w:r w:rsidRPr="00821223">
        <w:rPr>
          <w:i/>
        </w:rPr>
        <w:t xml:space="preserve"> 3.12</w:t>
      </w:r>
      <w:r w:rsidRPr="00821223">
        <w:t>,</w:t>
      </w:r>
      <w:r w:rsidRPr="00821223">
        <w:rPr>
          <w:bCs/>
        </w:rPr>
        <w:t xml:space="preserve"> libellé comme suit :</w:t>
      </w:r>
    </w:p>
    <w:p w:rsidR="003F6058" w:rsidRPr="00821223" w:rsidRDefault="00F2109B" w:rsidP="00BD7B92">
      <w:pPr>
        <w:pStyle w:val="SingleTxtG"/>
        <w:ind w:left="2268" w:hanging="1134"/>
        <w:rPr>
          <w:b/>
          <w:bCs/>
        </w:rPr>
      </w:pPr>
      <w:r>
        <w:rPr>
          <w:bCs/>
        </w:rPr>
        <w:t>« </w:t>
      </w:r>
      <w:r w:rsidR="002A3B21">
        <w:rPr>
          <w:b/>
          <w:bCs/>
        </w:rPr>
        <w:t>3.12</w:t>
      </w:r>
      <w:r w:rsidR="003F6058" w:rsidRPr="00821223">
        <w:rPr>
          <w:b/>
          <w:bCs/>
        </w:rPr>
        <w:tab/>
      </w:r>
      <w:r w:rsidR="003F6058" w:rsidRPr="00821223">
        <w:rPr>
          <w:b/>
          <w:bCs/>
          <w:spacing w:val="-2"/>
        </w:rPr>
        <w:t>Sources lumineuses à DEL de substitution − prescriptions supplémentaires</w:t>
      </w:r>
    </w:p>
    <w:p w:rsidR="003F6058" w:rsidRPr="00821223" w:rsidRDefault="002A3B21" w:rsidP="003F6058">
      <w:pPr>
        <w:pStyle w:val="SingleTxtG"/>
        <w:ind w:left="2268" w:hanging="1134"/>
        <w:rPr>
          <w:b/>
          <w:bCs/>
        </w:rPr>
      </w:pPr>
      <w:r>
        <w:rPr>
          <w:b/>
          <w:bCs/>
        </w:rPr>
        <w:t>3.12.1</w:t>
      </w:r>
      <w:r w:rsidR="003F6058" w:rsidRPr="00821223">
        <w:rPr>
          <w:b/>
          <w:bCs/>
        </w:rPr>
        <w:tab/>
        <w:t>Les mesures du courant électrique de la source lumineuse à DEL de substitution sont effectuées à température ambiante (23 </w:t>
      </w:r>
      <w:r w:rsidR="003F6058" w:rsidRPr="00821223">
        <w:rPr>
          <w:b/>
          <w:bCs/>
        </w:rPr>
        <w:sym w:font="Symbol" w:char="F0B1"/>
      </w:r>
      <w:r w:rsidR="003F6058" w:rsidRPr="00821223">
        <w:rPr>
          <w:b/>
          <w:bCs/>
        </w:rPr>
        <w:t> 2 °C) dans de l</w:t>
      </w:r>
      <w:r w:rsidR="003F6058">
        <w:rPr>
          <w:b/>
          <w:bCs/>
        </w:rPr>
        <w:t>’</w:t>
      </w:r>
      <w:r w:rsidR="003F6058" w:rsidRPr="00821223">
        <w:rPr>
          <w:b/>
          <w:bCs/>
        </w:rPr>
        <w:t>air immobile après 1 min et après 30 min de fonctionnement à la tension d</w:t>
      </w:r>
      <w:r w:rsidR="003F6058">
        <w:rPr>
          <w:b/>
          <w:bCs/>
        </w:rPr>
        <w:t>’</w:t>
      </w:r>
      <w:r w:rsidR="003F6058" w:rsidRPr="00821223">
        <w:rPr>
          <w:b/>
          <w:bCs/>
        </w:rPr>
        <w:t>essai.</w:t>
      </w:r>
    </w:p>
    <w:p w:rsidR="003F6058" w:rsidRPr="00821223" w:rsidRDefault="003F6058" w:rsidP="003F6058">
      <w:pPr>
        <w:spacing w:after="120"/>
        <w:ind w:left="2268" w:right="1134"/>
        <w:jc w:val="both"/>
        <w:rPr>
          <w:b/>
          <w:bCs/>
        </w:rPr>
      </w:pPr>
      <w:r w:rsidRPr="00821223">
        <w:rPr>
          <w:b/>
          <w:bCs/>
        </w:rPr>
        <w:t>Les valeurs mesurées du courant électrique doivent se situer dans les limites indiquées sur la feuille de caractéristiques appropriée de l</w:t>
      </w:r>
      <w:r>
        <w:rPr>
          <w:b/>
          <w:bCs/>
        </w:rPr>
        <w:t>’</w:t>
      </w:r>
      <w:r w:rsidRPr="00821223">
        <w:rPr>
          <w:b/>
          <w:bCs/>
        </w:rPr>
        <w:t xml:space="preserve">annexe 1. </w:t>
      </w:r>
    </w:p>
    <w:p w:rsidR="003F6058" w:rsidRPr="00821223" w:rsidRDefault="002A3B21" w:rsidP="00BD7B92">
      <w:pPr>
        <w:pStyle w:val="SingleTxtG"/>
        <w:ind w:left="2268" w:hanging="1134"/>
        <w:rPr>
          <w:b/>
        </w:rPr>
      </w:pPr>
      <w:r>
        <w:rPr>
          <w:b/>
          <w:bCs/>
        </w:rPr>
        <w:t>3.12.2</w:t>
      </w:r>
      <w:r w:rsidR="003F6058" w:rsidRPr="00821223">
        <w:rPr>
          <w:b/>
          <w:bCs/>
        </w:rPr>
        <w:tab/>
      </w:r>
      <w:r w:rsidR="003F6058" w:rsidRPr="00821223">
        <w:rPr>
          <w:b/>
        </w:rPr>
        <w:t>La source lumineuse à DEL de substitution doit satisfaire aux prescriptions techniques d</w:t>
      </w:r>
      <w:r w:rsidR="003F6058">
        <w:rPr>
          <w:b/>
        </w:rPr>
        <w:t>’</w:t>
      </w:r>
      <w:r w:rsidR="003F6058" w:rsidRPr="00821223">
        <w:rPr>
          <w:b/>
        </w:rPr>
        <w:t xml:space="preserve">un sous-ensemble électrique/électronique (SEEE) comme indiqué par le Règlement </w:t>
      </w:r>
      <w:r w:rsidR="003F6058" w:rsidRPr="00821223">
        <w:rPr>
          <w:rFonts w:eastAsia="MS Mincho"/>
          <w:b/>
        </w:rPr>
        <w:t>n</w:t>
      </w:r>
      <w:r w:rsidR="003F6058" w:rsidRPr="00821223">
        <w:rPr>
          <w:rFonts w:eastAsia="MS Mincho"/>
          <w:b/>
          <w:vertAlign w:val="superscript"/>
        </w:rPr>
        <w:t>o</w:t>
      </w:r>
      <w:r w:rsidR="003F6058" w:rsidRPr="00821223">
        <w:rPr>
          <w:b/>
        </w:rPr>
        <w:t> 10 et ses séries d</w:t>
      </w:r>
      <w:r w:rsidR="003F6058">
        <w:rPr>
          <w:b/>
        </w:rPr>
        <w:t>’</w:t>
      </w:r>
      <w:r w:rsidR="003F6058" w:rsidRPr="00821223">
        <w:rPr>
          <w:b/>
        </w:rPr>
        <w:t>amendements en vigueur à la date de la demande d</w:t>
      </w:r>
      <w:r w:rsidR="003F6058">
        <w:rPr>
          <w:b/>
        </w:rPr>
        <w:t>’</w:t>
      </w:r>
      <w:r w:rsidR="003F6058" w:rsidRPr="00821223">
        <w:rPr>
          <w:b/>
        </w:rPr>
        <w:t>homologation de type.</w:t>
      </w:r>
    </w:p>
    <w:p w:rsidR="003F6058" w:rsidRPr="00821223" w:rsidRDefault="002A3B21" w:rsidP="00BD7B92">
      <w:pPr>
        <w:pStyle w:val="SingleTxtG"/>
        <w:ind w:left="2268" w:hanging="1134"/>
        <w:rPr>
          <w:b/>
        </w:rPr>
      </w:pPr>
      <w:r>
        <w:rPr>
          <w:b/>
        </w:rPr>
        <w:t>3.12.3</w:t>
      </w:r>
      <w:r w:rsidR="003F6058" w:rsidRPr="00821223">
        <w:rPr>
          <w:b/>
        </w:rPr>
        <w:tab/>
        <w:t>La source lumineuse à DEL de substitution ne doit pas émettre de lumière lorsqu</w:t>
      </w:r>
      <w:r w:rsidR="003F6058">
        <w:rPr>
          <w:b/>
        </w:rPr>
        <w:t>’</w:t>
      </w:r>
      <w:r w:rsidR="003F6058" w:rsidRPr="00821223">
        <w:rPr>
          <w:b/>
        </w:rPr>
        <w:t>elle est activée pendant 2 ms ou moins.</w:t>
      </w:r>
    </w:p>
    <w:p w:rsidR="003F6058" w:rsidRPr="00821223" w:rsidRDefault="002A3B21" w:rsidP="00BD7B92">
      <w:pPr>
        <w:pStyle w:val="SingleTxtG"/>
        <w:ind w:left="2268" w:hanging="1134"/>
        <w:rPr>
          <w:b/>
        </w:rPr>
      </w:pPr>
      <w:r>
        <w:rPr>
          <w:b/>
        </w:rPr>
        <w:t>3.12.4</w:t>
      </w:r>
      <w:r w:rsidR="003F6058" w:rsidRPr="00821223">
        <w:rPr>
          <w:b/>
        </w:rPr>
        <w:tab/>
        <w:t>La température de couleur proximale</w:t>
      </w:r>
      <w:r w:rsidR="000C4E18">
        <w:rPr>
          <w:rStyle w:val="FootnoteReference"/>
          <w:b/>
        </w:rPr>
        <w:footnoteReference w:id="4"/>
      </w:r>
      <w:r w:rsidR="003F6058" w:rsidRPr="00821223">
        <w:rPr>
          <w:b/>
        </w:rPr>
        <w:t xml:space="preserve"> d</w:t>
      </w:r>
      <w:r w:rsidR="003F6058">
        <w:rPr>
          <w:b/>
        </w:rPr>
        <w:t>’</w:t>
      </w:r>
      <w:r w:rsidR="003F6058" w:rsidRPr="00821223">
        <w:rPr>
          <w:b/>
        </w:rPr>
        <w:t>une source lumineuse à DEL de substitution émettant une lumière blanche ne doit pas être supérieure à 3 000 K, sauf si un détrompeur adéquat est défini dans la feuille de données pertinente de l</w:t>
      </w:r>
      <w:r w:rsidR="003F6058">
        <w:rPr>
          <w:b/>
        </w:rPr>
        <w:t>’</w:t>
      </w:r>
      <w:r w:rsidR="00F2109B">
        <w:rPr>
          <w:b/>
        </w:rPr>
        <w:t>annexe </w:t>
      </w:r>
      <w:r w:rsidR="003F6058" w:rsidRPr="00821223">
        <w:rPr>
          <w:b/>
        </w:rPr>
        <w:t>1 pour les sources lumineuses dont la température de couleur proximale indiquée est plus élevée</w:t>
      </w:r>
      <w:r w:rsidR="003F6058" w:rsidRPr="00821223">
        <w:rPr>
          <w:b/>
          <w:bCs/>
        </w:rPr>
        <w:t>.</w:t>
      </w:r>
    </w:p>
    <w:p w:rsidR="003F6058" w:rsidRPr="00821223" w:rsidRDefault="002A3B21" w:rsidP="00BD7B92">
      <w:pPr>
        <w:pStyle w:val="SingleTxtG"/>
        <w:ind w:left="2268" w:hanging="1134"/>
        <w:rPr>
          <w:bCs/>
        </w:rPr>
      </w:pPr>
      <w:r>
        <w:rPr>
          <w:b/>
        </w:rPr>
        <w:t>3.12.5</w:t>
      </w:r>
      <w:r w:rsidR="003F6058" w:rsidRPr="00821223">
        <w:rPr>
          <w:b/>
        </w:rPr>
        <w:tab/>
        <w:t>La source lumineuse à DEL de substitution doit comporter un culot pour qu</w:t>
      </w:r>
      <w:r w:rsidR="003F6058">
        <w:rPr>
          <w:b/>
        </w:rPr>
        <w:t>’</w:t>
      </w:r>
      <w:r w:rsidR="003F6058" w:rsidRPr="00821223">
        <w:rPr>
          <w:b/>
        </w:rPr>
        <w:t>il n</w:t>
      </w:r>
      <w:r w:rsidR="003F6058">
        <w:rPr>
          <w:b/>
        </w:rPr>
        <w:t>’</w:t>
      </w:r>
      <w:r w:rsidR="003F6058" w:rsidRPr="00821223">
        <w:rPr>
          <w:b/>
        </w:rPr>
        <w:t>en soit pas fait un mauvais usage lorsqu</w:t>
      </w:r>
      <w:r w:rsidR="003F6058">
        <w:rPr>
          <w:b/>
        </w:rPr>
        <w:t>’</w:t>
      </w:r>
      <w:r w:rsidR="003F6058" w:rsidRPr="00821223">
        <w:rPr>
          <w:b/>
        </w:rPr>
        <w:t>elle est en service, conformément aux prescriptions énoncées dans la feuille de données pertinente de l</w:t>
      </w:r>
      <w:r w:rsidR="003F6058">
        <w:rPr>
          <w:b/>
        </w:rPr>
        <w:t>’</w:t>
      </w:r>
      <w:r w:rsidR="003F6058" w:rsidRPr="00821223">
        <w:rPr>
          <w:b/>
        </w:rPr>
        <w:t>annexe 1. Le service technique doit vérifier la présence du culot.</w:t>
      </w:r>
      <w:r w:rsidR="00F2109B">
        <w:rPr>
          <w:b/>
          <w:bCs/>
        </w:rPr>
        <w:t> </w:t>
      </w:r>
      <w:r w:rsidR="00F2109B" w:rsidRPr="00F2109B">
        <w:rPr>
          <w:bCs/>
        </w:rPr>
        <w:t>»</w:t>
      </w:r>
      <w:r w:rsidR="003F6058" w:rsidRPr="00821223">
        <w:rPr>
          <w:bCs/>
        </w:rPr>
        <w:t>.</w:t>
      </w:r>
    </w:p>
    <w:p w:rsidR="003F6058" w:rsidRPr="00821223" w:rsidRDefault="003F6058" w:rsidP="003F6058">
      <w:pPr>
        <w:spacing w:after="120"/>
        <w:ind w:left="2268" w:right="1134" w:hanging="1134"/>
        <w:jc w:val="both"/>
      </w:pPr>
      <w:r w:rsidRPr="00821223">
        <w:rPr>
          <w:bCs/>
          <w:i/>
          <w:spacing w:val="-2"/>
        </w:rPr>
        <w:t>Ajouter un nouveau paragraphe </w:t>
      </w:r>
      <w:r w:rsidRPr="00821223">
        <w:rPr>
          <w:i/>
          <w:spacing w:val="-2"/>
        </w:rPr>
        <w:t xml:space="preserve">4, </w:t>
      </w:r>
      <w:r w:rsidRPr="00821223">
        <w:rPr>
          <w:bCs/>
        </w:rPr>
        <w:t>libellé comme suit :</w:t>
      </w:r>
    </w:p>
    <w:p w:rsidR="003F6058" w:rsidRPr="00353A01" w:rsidRDefault="003F6058" w:rsidP="00DB627D">
      <w:pPr>
        <w:pStyle w:val="SingleTxtG"/>
        <w:ind w:left="2268" w:hanging="1134"/>
        <w:rPr>
          <w:b/>
          <w:sz w:val="28"/>
          <w:szCs w:val="28"/>
        </w:rPr>
      </w:pPr>
      <w:r w:rsidRPr="00353A01">
        <w:rPr>
          <w:b/>
          <w:bCs/>
          <w:sz w:val="28"/>
          <w:szCs w:val="28"/>
        </w:rPr>
        <w:t>«</w:t>
      </w:r>
      <w:r w:rsidRPr="00353A01">
        <w:rPr>
          <w:b/>
          <w:sz w:val="28"/>
          <w:szCs w:val="28"/>
        </w:rPr>
        <w:t> </w:t>
      </w:r>
      <w:r w:rsidR="002A3B21" w:rsidRPr="00353A01">
        <w:rPr>
          <w:b/>
          <w:sz w:val="28"/>
          <w:szCs w:val="28"/>
        </w:rPr>
        <w:t>4</w:t>
      </w:r>
      <w:r w:rsidR="002825AC">
        <w:rPr>
          <w:b/>
          <w:sz w:val="28"/>
          <w:szCs w:val="28"/>
        </w:rPr>
        <w:t>.</w:t>
      </w:r>
      <w:r w:rsidRPr="00353A01">
        <w:rPr>
          <w:b/>
          <w:sz w:val="28"/>
          <w:szCs w:val="28"/>
        </w:rPr>
        <w:tab/>
        <w:t>Prescriptions relatives à l’emballage des sources lumineuses à DEL de substitution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t>4.1</w:t>
      </w:r>
      <w:r w:rsidRPr="00821223">
        <w:rPr>
          <w:b/>
        </w:rPr>
        <w:tab/>
        <w:t>Les renseignements ci-après doivent figurer sur chaque emballage</w:t>
      </w:r>
      <w:r w:rsidR="00581905">
        <w:rPr>
          <w:b/>
        </w:rPr>
        <w:t> </w:t>
      </w:r>
      <w:r w:rsidRPr="00821223">
        <w:rPr>
          <w:b/>
        </w:rPr>
        <w:t>: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lastRenderedPageBreak/>
        <w:t>4.1.1</w:t>
      </w:r>
      <w:r w:rsidRPr="00821223">
        <w:rPr>
          <w:b/>
        </w:rPr>
        <w:tab/>
        <w:t>M</w:t>
      </w:r>
      <w:r w:rsidRPr="00821223">
        <w:rPr>
          <w:b/>
          <w:bCs/>
        </w:rPr>
        <w:t>arque de fabrique ou de commerce du fabricant ;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t>4.1.2</w:t>
      </w:r>
      <w:r w:rsidRPr="00821223">
        <w:rPr>
          <w:b/>
        </w:rPr>
        <w:tab/>
        <w:t>T</w:t>
      </w:r>
      <w:r w:rsidRPr="00821223">
        <w:rPr>
          <w:b/>
          <w:bCs/>
        </w:rPr>
        <w:t>ension nominale ;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t>4.1.3</w:t>
      </w:r>
      <w:r w:rsidRPr="00821223">
        <w:rPr>
          <w:b/>
        </w:rPr>
        <w:tab/>
      </w:r>
      <w:r w:rsidRPr="00821223">
        <w:rPr>
          <w:b/>
          <w:spacing w:val="-2"/>
        </w:rPr>
        <w:t>D</w:t>
      </w:r>
      <w:r w:rsidRPr="00821223">
        <w:rPr>
          <w:b/>
          <w:bCs/>
          <w:spacing w:val="-2"/>
        </w:rPr>
        <w:t>ésignation de la catégorie de la source lumineuse à DEL de substitution ;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t>4.1.4</w:t>
      </w:r>
      <w:r w:rsidRPr="00821223">
        <w:rPr>
          <w:b/>
        </w:rPr>
        <w:tab/>
        <w:t>Code d</w:t>
      </w:r>
      <w:r>
        <w:rPr>
          <w:b/>
        </w:rPr>
        <w:t>’</w:t>
      </w:r>
      <w:r w:rsidRPr="00821223">
        <w:rPr>
          <w:b/>
        </w:rPr>
        <w:t>homologation ;</w:t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t>4.1.5</w:t>
      </w:r>
      <w:r w:rsidRPr="00821223">
        <w:rPr>
          <w:b/>
        </w:rPr>
        <w:tab/>
        <w:t>Symbole suivant</w:t>
      </w:r>
      <w:r w:rsidR="000C4E18" w:rsidRPr="003E5401">
        <w:rPr>
          <w:rStyle w:val="FootnoteReference"/>
        </w:rPr>
        <w:footnoteReference w:id="5"/>
      </w:r>
      <w:r w:rsidR="000219E7">
        <w:rPr>
          <w:b/>
        </w:rPr>
        <w:t> </w:t>
      </w:r>
      <w:r w:rsidRPr="00821223">
        <w:rPr>
          <w:b/>
        </w:rPr>
        <w:t>:</w:t>
      </w:r>
    </w:p>
    <w:p w:rsidR="003F6058" w:rsidRPr="00821223" w:rsidRDefault="003F6058" w:rsidP="003F6058">
      <w:pPr>
        <w:pStyle w:val="SingleTxtG"/>
        <w:spacing w:after="240"/>
        <w:ind w:left="2268"/>
      </w:pPr>
      <w:r w:rsidRPr="00821223">
        <w:rPr>
          <w:b/>
          <w:noProof/>
          <w:lang w:eastAsia="fr-FR"/>
        </w:rPr>
        <w:drawing>
          <wp:inline distT="0" distB="0" distL="0" distR="0" wp14:anchorId="108532C7" wp14:editId="60F9ADD2">
            <wp:extent cx="872836" cy="609600"/>
            <wp:effectExtent l="0" t="0" r="3810" b="0"/>
            <wp:docPr id="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67" cy="61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58" w:rsidRPr="00821223" w:rsidRDefault="003F6058" w:rsidP="003F6058">
      <w:pPr>
        <w:pStyle w:val="SingleTxtG"/>
        <w:ind w:left="2268" w:hanging="1134"/>
        <w:rPr>
          <w:b/>
        </w:rPr>
      </w:pPr>
      <w:r w:rsidRPr="00821223">
        <w:rPr>
          <w:b/>
        </w:rPr>
        <w:t>4.2</w:t>
      </w:r>
      <w:r w:rsidRPr="00821223">
        <w:rPr>
          <w:b/>
        </w:rPr>
        <w:tab/>
        <w:t>Chaque emballage doit contenir les instructions libellées dans l</w:t>
      </w:r>
      <w:r>
        <w:rPr>
          <w:b/>
        </w:rPr>
        <w:t>’</w:t>
      </w:r>
      <w:r w:rsidRPr="00821223">
        <w:rPr>
          <w:b/>
        </w:rPr>
        <w:t>une des langues officielles de l</w:t>
      </w:r>
      <w:r>
        <w:rPr>
          <w:b/>
        </w:rPr>
        <w:t>’</w:t>
      </w:r>
      <w:r w:rsidRPr="00821223">
        <w:rPr>
          <w:b/>
        </w:rPr>
        <w:t>Accord de 1958 (anglais, français ou russe), ainsi que dans la langue du pays de vente. Ces instructions doivent :</w:t>
      </w:r>
    </w:p>
    <w:p w:rsidR="003F6058" w:rsidRPr="00821223" w:rsidRDefault="003F6058" w:rsidP="00581905">
      <w:pPr>
        <w:pStyle w:val="SingleTxtG"/>
        <w:ind w:left="2268" w:hanging="1134"/>
        <w:rPr>
          <w:b/>
        </w:rPr>
      </w:pPr>
      <w:r w:rsidRPr="00821223">
        <w:rPr>
          <w:b/>
        </w:rPr>
        <w:t>4.2.1</w:t>
      </w:r>
      <w:r w:rsidRPr="00821223">
        <w:rPr>
          <w:b/>
        </w:rPr>
        <w:tab/>
        <w:t>Préciser que la source lumineuse à DEL de remplacement ne doit être installée que dans des feux et véhicules pour lesquels elle a été homologuée ;</w:t>
      </w:r>
    </w:p>
    <w:p w:rsidR="003F6058" w:rsidRPr="00821223" w:rsidRDefault="003F6058" w:rsidP="00DB627D">
      <w:pPr>
        <w:pStyle w:val="SingleTxtG"/>
        <w:ind w:left="2268" w:hanging="1134"/>
        <w:rPr>
          <w:b/>
        </w:rPr>
      </w:pPr>
      <w:r w:rsidRPr="00821223">
        <w:rPr>
          <w:b/>
        </w:rPr>
        <w:t>4</w:t>
      </w:r>
      <w:r w:rsidR="002A3B21">
        <w:rPr>
          <w:b/>
        </w:rPr>
        <w:t>.2.2</w:t>
      </w:r>
      <w:r w:rsidRPr="00821223">
        <w:rPr>
          <w:b/>
        </w:rPr>
        <w:tab/>
        <w:t xml:space="preserve">Mentionner une ou des adresses électroniques de sites Web sur lesquels le fabricant de la source lumineuse à DEL publie la ou les listes actualisées des fonctions de signalisation lumineuse installées sur les modèles de véhicules pour lesquels la source lumineuse à DEL de substitution a été homologuée en précisant au minimum la marque, le type, le modèle et la période de fabrication des véhicules ; </w:t>
      </w:r>
    </w:p>
    <w:p w:rsidR="003F6058" w:rsidRPr="00821223" w:rsidRDefault="002A3B21" w:rsidP="00DB627D">
      <w:pPr>
        <w:pStyle w:val="SingleTxtG"/>
        <w:ind w:left="2268" w:hanging="1134"/>
        <w:rPr>
          <w:b/>
        </w:rPr>
      </w:pPr>
      <w:r>
        <w:rPr>
          <w:b/>
        </w:rPr>
        <w:t>4.2.3</w:t>
      </w:r>
      <w:r w:rsidR="003F6058" w:rsidRPr="00821223">
        <w:rPr>
          <w:b/>
        </w:rPr>
        <w:tab/>
        <w:t>Renvoyer aux marques figurant sur le feu et aux instructions fournies avec le véhicule ;</w:t>
      </w:r>
    </w:p>
    <w:p w:rsidR="003F6058" w:rsidRPr="00821223" w:rsidRDefault="002A3B21" w:rsidP="003F6058">
      <w:pPr>
        <w:pStyle w:val="SingleTxtG"/>
        <w:ind w:left="2268" w:hanging="1134"/>
        <w:rPr>
          <w:b/>
        </w:rPr>
      </w:pPr>
      <w:r>
        <w:rPr>
          <w:b/>
        </w:rPr>
        <w:t>4.2.4</w:t>
      </w:r>
      <w:r w:rsidR="003F6058" w:rsidRPr="00821223">
        <w:rPr>
          <w:b/>
        </w:rPr>
        <w:tab/>
        <w:t>Renvoyer à des centres de maintenance ou de réparation professionnels, en cas d</w:t>
      </w:r>
      <w:r w:rsidR="003F6058">
        <w:rPr>
          <w:b/>
        </w:rPr>
        <w:t>’</w:t>
      </w:r>
      <w:r w:rsidR="003F6058" w:rsidRPr="00821223">
        <w:rPr>
          <w:b/>
        </w:rPr>
        <w:t>incertitude quant à l</w:t>
      </w:r>
      <w:r w:rsidR="003F6058">
        <w:rPr>
          <w:b/>
        </w:rPr>
        <w:t>’</w:t>
      </w:r>
      <w:r w:rsidR="003F6058" w:rsidRPr="00821223">
        <w:rPr>
          <w:b/>
        </w:rPr>
        <w:t>adéquation de la source lumineuse à DEL de substitution ;</w:t>
      </w:r>
    </w:p>
    <w:p w:rsidR="003F6058" w:rsidRPr="00821223" w:rsidRDefault="002A3B21" w:rsidP="00DB627D">
      <w:pPr>
        <w:pStyle w:val="SingleTxtG"/>
        <w:ind w:left="2268" w:hanging="1134"/>
        <w:rPr>
          <w:b/>
        </w:rPr>
      </w:pPr>
      <w:r>
        <w:rPr>
          <w:b/>
        </w:rPr>
        <w:t>4.2.5</w:t>
      </w:r>
      <w:r w:rsidR="003F6058" w:rsidRPr="00821223">
        <w:rPr>
          <w:b/>
        </w:rPr>
        <w:tab/>
        <w:t>Formuler un avertissement clairement lisible selon lequel l</w:t>
      </w:r>
      <w:r w:rsidR="003F6058">
        <w:rPr>
          <w:b/>
        </w:rPr>
        <w:t>’</w:t>
      </w:r>
      <w:r w:rsidR="003F6058" w:rsidRPr="00821223">
        <w:rPr>
          <w:b/>
        </w:rPr>
        <w:t>utilisation de la source lumineuse à DEL de substitution d</w:t>
      </w:r>
      <w:r w:rsidR="003F6058">
        <w:rPr>
          <w:b/>
        </w:rPr>
        <w:t>’</w:t>
      </w:r>
      <w:r w:rsidR="003F6058" w:rsidRPr="00821223">
        <w:rPr>
          <w:b/>
        </w:rPr>
        <w:t>une manière non conforme aux instructions contenues dans l</w:t>
      </w:r>
      <w:r w:rsidR="003F6058">
        <w:rPr>
          <w:b/>
        </w:rPr>
        <w:t>’</w:t>
      </w:r>
      <w:r w:rsidR="003F6058" w:rsidRPr="00821223">
        <w:rPr>
          <w:b/>
        </w:rPr>
        <w:t>emballage et à celles fournies avec le véhicule peut provoquer une défaillance du système électrique du véhicule et/ou constituer un risque pour son fonctionnement et/ou un danger pour la circulation.</w:t>
      </w:r>
    </w:p>
    <w:p w:rsidR="003F6058" w:rsidRPr="00821223" w:rsidRDefault="002A3B21" w:rsidP="00DB627D">
      <w:pPr>
        <w:pStyle w:val="SingleTxtG"/>
        <w:ind w:left="2268" w:hanging="1134"/>
        <w:rPr>
          <w:b/>
        </w:rPr>
      </w:pPr>
      <w:r>
        <w:rPr>
          <w:b/>
        </w:rPr>
        <w:t>4.3</w:t>
      </w:r>
      <w:r w:rsidR="003F6058" w:rsidRPr="00821223">
        <w:rPr>
          <w:b/>
        </w:rPr>
        <w:tab/>
        <w:t>Le fabricant doit fournir les instructions mentionnées au paragraphe 4.2, pour mise à disposition du public aux points de vente sans qu</w:t>
      </w:r>
      <w:r w:rsidR="003F6058">
        <w:rPr>
          <w:b/>
        </w:rPr>
        <w:t>’</w:t>
      </w:r>
      <w:r w:rsidR="003F6058" w:rsidRPr="00821223">
        <w:rPr>
          <w:b/>
        </w:rPr>
        <w:t>il soit nécessaire d</w:t>
      </w:r>
      <w:r w:rsidR="003F6058">
        <w:rPr>
          <w:b/>
        </w:rPr>
        <w:t>’</w:t>
      </w:r>
      <w:r w:rsidR="003F6058" w:rsidRPr="00821223">
        <w:rPr>
          <w:b/>
        </w:rPr>
        <w:t>ouvrir l</w:t>
      </w:r>
      <w:r w:rsidR="003F6058">
        <w:rPr>
          <w:b/>
        </w:rPr>
        <w:t>’</w:t>
      </w:r>
      <w:r w:rsidR="003F6058" w:rsidRPr="00821223">
        <w:rPr>
          <w:b/>
        </w:rPr>
        <w:t>emballage. </w:t>
      </w:r>
      <w:r w:rsidR="003F6058" w:rsidRPr="00821223">
        <w:rPr>
          <w:bCs/>
        </w:rPr>
        <w:t>».</w:t>
      </w:r>
    </w:p>
    <w:p w:rsidR="003F6058" w:rsidRPr="00821223" w:rsidRDefault="003F6058" w:rsidP="003F6058">
      <w:pPr>
        <w:pStyle w:val="SingleTxtG"/>
        <w:rPr>
          <w:i/>
        </w:rPr>
      </w:pPr>
      <w:r w:rsidRPr="00821223">
        <w:rPr>
          <w:i/>
          <w:spacing w:val="-2"/>
        </w:rPr>
        <w:t>Les paragraphes 4</w:t>
      </w:r>
      <w:r w:rsidRPr="00821223">
        <w:rPr>
          <w:i/>
        </w:rPr>
        <w:t xml:space="preserve"> à 7 </w:t>
      </w:r>
      <w:r w:rsidRPr="003E5401">
        <w:rPr>
          <w:i/>
        </w:rPr>
        <w:t>deviennent les paragraphes 5 à 8, et leurs sous-paragraphes et les renvois qu’ils contiennent sont modifiés en conséquence</w:t>
      </w:r>
      <w:r w:rsidRPr="00821223">
        <w:t>.</w:t>
      </w:r>
    </w:p>
    <w:p w:rsidR="003F6058" w:rsidRPr="00821223" w:rsidRDefault="003F6058" w:rsidP="003F6058">
      <w:pPr>
        <w:spacing w:after="120"/>
        <w:ind w:left="2268" w:right="1134" w:hanging="1134"/>
        <w:jc w:val="both"/>
        <w:rPr>
          <w:i/>
        </w:rPr>
      </w:pPr>
      <w:r w:rsidRPr="00821223">
        <w:rPr>
          <w:i/>
        </w:rPr>
        <w:t xml:space="preserve">Le paragraphe 4.1 devient le paragraphe 5.1 </w:t>
      </w:r>
      <w:r w:rsidRPr="00821223">
        <w:t>et se lit comme suit :</w:t>
      </w:r>
    </w:p>
    <w:p w:rsidR="003F6058" w:rsidRPr="00821223" w:rsidRDefault="003F6058" w:rsidP="003F6058">
      <w:pPr>
        <w:pStyle w:val="SingleTxtG"/>
        <w:ind w:left="2268" w:hanging="1134"/>
        <w:rPr>
          <w:bCs/>
        </w:rPr>
      </w:pPr>
      <w:r w:rsidRPr="00821223">
        <w:t>« </w:t>
      </w:r>
      <w:r w:rsidRPr="00821223">
        <w:rPr>
          <w:dstrike/>
          <w:snapToGrid w:val="0"/>
        </w:rPr>
        <w:t>4</w:t>
      </w:r>
      <w:r w:rsidRPr="00821223">
        <w:rPr>
          <w:strike/>
          <w:snapToGrid w:val="0"/>
        </w:rPr>
        <w:t>.</w:t>
      </w:r>
      <w:r w:rsidRPr="00821223">
        <w:rPr>
          <w:b/>
          <w:bCs/>
          <w:snapToGrid w:val="0"/>
        </w:rPr>
        <w:t>5</w:t>
      </w:r>
      <w:r w:rsidRPr="00821223">
        <w:rPr>
          <w:bCs/>
          <w:snapToGrid w:val="0"/>
        </w:rPr>
        <w:t>.1</w:t>
      </w:r>
      <w:r w:rsidRPr="00821223">
        <w:rPr>
          <w:bCs/>
          <w:snapToGrid w:val="0"/>
        </w:rPr>
        <w:tab/>
      </w:r>
      <w:r w:rsidRPr="00821223">
        <w:t>Les sources lumineuses à DEL homologuées conformément au présent Règlement doivent être fabriquées de telle sorte qu</w:t>
      </w:r>
      <w:r>
        <w:t>’</w:t>
      </w:r>
      <w:r w:rsidRPr="00821223">
        <w:t xml:space="preserve">elles soient conformes au type homologué et satisfaire aux prescriptions concernant les inscriptions et aux prescriptions techniques énoncées au paragraphe 3 </w:t>
      </w:r>
      <w:r w:rsidRPr="00821223">
        <w:rPr>
          <w:strike/>
        </w:rPr>
        <w:t xml:space="preserve">ci-dessus </w:t>
      </w:r>
      <w:r w:rsidRPr="00821223">
        <w:t>et dans les annexes 1, 4 et 5 du présent Règlement</w:t>
      </w:r>
      <w:r w:rsidRPr="00821223">
        <w:rPr>
          <w:bCs/>
          <w:snapToGrid w:val="0"/>
        </w:rPr>
        <w:t>.</w:t>
      </w:r>
    </w:p>
    <w:p w:rsidR="003F6058" w:rsidRPr="00821223" w:rsidRDefault="003F6058" w:rsidP="003F6058">
      <w:pPr>
        <w:suppressAutoHyphens w:val="0"/>
        <w:spacing w:after="120"/>
        <w:ind w:left="2268" w:right="1134"/>
        <w:jc w:val="both"/>
        <w:rPr>
          <w:bCs/>
          <w:snapToGrid w:val="0"/>
        </w:rPr>
      </w:pPr>
      <w:r w:rsidRPr="00821223">
        <w:rPr>
          <w:b/>
          <w:bCs/>
        </w:rPr>
        <w:t>En outre, les renseignements qui figurent sur l</w:t>
      </w:r>
      <w:r>
        <w:rPr>
          <w:b/>
          <w:bCs/>
        </w:rPr>
        <w:t>’</w:t>
      </w:r>
      <w:r w:rsidRPr="00821223">
        <w:rPr>
          <w:b/>
          <w:bCs/>
        </w:rPr>
        <w:t>emballage et les instructions qui se trouvent dans les emballages des sources lumineuses à DEL de substitution doivent être conformes aux prescriptions énoncées au paragraphe 4. </w:t>
      </w:r>
      <w:r w:rsidRPr="00821223">
        <w:rPr>
          <w:bCs/>
        </w:rPr>
        <w:t>».</w:t>
      </w:r>
    </w:p>
    <w:p w:rsidR="003F6058" w:rsidRPr="00821223" w:rsidRDefault="003F6058" w:rsidP="000219E7">
      <w:pPr>
        <w:pStyle w:val="SingleTxtG"/>
        <w:keepNext/>
        <w:rPr>
          <w:bCs/>
        </w:rPr>
      </w:pPr>
      <w:r w:rsidRPr="00821223">
        <w:rPr>
          <w:bCs/>
          <w:i/>
        </w:rPr>
        <w:lastRenderedPageBreak/>
        <w:t>Ajouter un nouveau sous-paragraphe 5.3.7</w:t>
      </w:r>
      <w:r w:rsidRPr="00821223">
        <w:rPr>
          <w:bCs/>
        </w:rPr>
        <w:t>,</w:t>
      </w:r>
      <w:r w:rsidRPr="00821223">
        <w:rPr>
          <w:bCs/>
          <w:i/>
        </w:rPr>
        <w:t xml:space="preserve"> </w:t>
      </w:r>
      <w:r w:rsidRPr="00821223">
        <w:rPr>
          <w:bCs/>
        </w:rPr>
        <w:t>libellé comme suit :</w:t>
      </w:r>
    </w:p>
    <w:p w:rsidR="003F6058" w:rsidRPr="00821223" w:rsidRDefault="003F6058" w:rsidP="003F6058">
      <w:pPr>
        <w:pStyle w:val="SingleTxtG"/>
        <w:ind w:left="2268" w:hanging="1134"/>
        <w:rPr>
          <w:bCs/>
        </w:rPr>
      </w:pPr>
      <w:r w:rsidRPr="00821223">
        <w:rPr>
          <w:bCs/>
        </w:rPr>
        <w:t>« </w:t>
      </w:r>
      <w:r w:rsidRPr="00821223">
        <w:rPr>
          <w:b/>
          <w:bCs/>
        </w:rPr>
        <w:t>5.3.7</w:t>
      </w:r>
      <w:r w:rsidRPr="00821223">
        <w:rPr>
          <w:b/>
          <w:bCs/>
        </w:rPr>
        <w:tab/>
        <w:t>De tenir à jour les listes publiées sur son ou ses sites Web</w:t>
      </w:r>
      <w:r w:rsidRPr="00821223">
        <w:rPr>
          <w:b/>
        </w:rPr>
        <w:t>, y compris les modifications apportées et les dates de ces modifications, conformément aux prescriptions du paragraphe 4.2.2. </w:t>
      </w:r>
      <w:r w:rsidRPr="00821223">
        <w:rPr>
          <w:bCs/>
        </w:rPr>
        <w:t>».</w:t>
      </w:r>
    </w:p>
    <w:p w:rsidR="003F6058" w:rsidRPr="00821223" w:rsidRDefault="003F6058" w:rsidP="003F6058">
      <w:pPr>
        <w:keepNext/>
        <w:spacing w:after="120"/>
        <w:ind w:left="2268" w:right="1134" w:hanging="1134"/>
        <w:jc w:val="both"/>
        <w:rPr>
          <w:i/>
        </w:rPr>
      </w:pPr>
      <w:r w:rsidRPr="00821223">
        <w:rPr>
          <w:i/>
        </w:rPr>
        <w:t>Annexe 4, partie introductive</w:t>
      </w:r>
      <w:r w:rsidRPr="00821223">
        <w:t>,</w:t>
      </w:r>
      <w:r w:rsidRPr="00821223">
        <w:rPr>
          <w:i/>
        </w:rPr>
        <w:t xml:space="preserve"> </w:t>
      </w:r>
      <w:r w:rsidRPr="00821223">
        <w:t>modifier comme suit :</w:t>
      </w:r>
    </w:p>
    <w:p w:rsidR="003F6058" w:rsidRPr="00821223" w:rsidRDefault="003F6058" w:rsidP="003F6058">
      <w:pPr>
        <w:pStyle w:val="SingleTxtG"/>
        <w:ind w:firstLine="567"/>
        <w:rPr>
          <w:bCs/>
        </w:rPr>
      </w:pPr>
      <w:r w:rsidRPr="00821223">
        <w:rPr>
          <w:bCs/>
        </w:rPr>
        <w:t>« </w:t>
      </w:r>
      <w:r w:rsidRPr="00821223">
        <w:t>Dans le cas des sources lumineuses à DEL de toutes les catégories pourvues d</w:t>
      </w:r>
      <w:r>
        <w:t>’</w:t>
      </w:r>
      <w:r w:rsidRPr="00821223">
        <w:t xml:space="preserve">un dissipateur thermique, les mesures sont effectuées </w:t>
      </w:r>
      <w:r w:rsidRPr="00821223">
        <w:rPr>
          <w:b/>
        </w:rPr>
        <w:t>dans de l</w:t>
      </w:r>
      <w:r>
        <w:rPr>
          <w:b/>
        </w:rPr>
        <w:t>’</w:t>
      </w:r>
      <w:r w:rsidRPr="00821223">
        <w:rPr>
          <w:b/>
        </w:rPr>
        <w:t>air immobile</w:t>
      </w:r>
      <w:r w:rsidRPr="00821223">
        <w:t xml:space="preserve"> à température ambiante (23 </w:t>
      </w:r>
      <w:r w:rsidRPr="00821223">
        <w:sym w:font="Symbol" w:char="F0B1"/>
      </w:r>
      <w:r w:rsidRPr="00821223">
        <w:t> 2 °C)</w:t>
      </w:r>
      <w:r w:rsidRPr="00821223">
        <w:rPr>
          <w:strike/>
        </w:rPr>
        <w:t xml:space="preserve"> dans de l</w:t>
      </w:r>
      <w:r>
        <w:rPr>
          <w:strike/>
        </w:rPr>
        <w:t>’</w:t>
      </w:r>
      <w:r w:rsidRPr="00821223">
        <w:rPr>
          <w:strike/>
        </w:rPr>
        <w:t>air immobile</w:t>
      </w:r>
      <w:r w:rsidRPr="00821223">
        <w:rPr>
          <w:b/>
        </w:rPr>
        <w:t>, ainsi qu</w:t>
      </w:r>
      <w:r>
        <w:rPr>
          <w:b/>
        </w:rPr>
        <w:t>’</w:t>
      </w:r>
      <w:r w:rsidRPr="00821223">
        <w:rPr>
          <w:b/>
        </w:rPr>
        <w:t>à une éventuelle valeur supplémentaire de température ambiante, si une telle donnée est indiquée dans la feuille de données pertinente de l</w:t>
      </w:r>
      <w:r>
        <w:rPr>
          <w:b/>
        </w:rPr>
        <w:t>’</w:t>
      </w:r>
      <w:r w:rsidRPr="00821223">
        <w:rPr>
          <w:b/>
        </w:rPr>
        <w:t>annexe 1</w:t>
      </w:r>
      <w:r w:rsidRPr="00821223">
        <w:t>. Pour ces mesures, il convient de ménager un espace libre minimum, tel que défini dans les feuilles de données</w:t>
      </w:r>
      <w:r w:rsidRPr="00821223">
        <w:rPr>
          <w:bCs/>
        </w:rPr>
        <w:t>.</w:t>
      </w:r>
    </w:p>
    <w:p w:rsidR="003F6058" w:rsidRPr="00821223" w:rsidRDefault="003F6058" w:rsidP="00581905">
      <w:pPr>
        <w:spacing w:after="120"/>
        <w:ind w:left="1134" w:right="1134" w:firstLine="567"/>
        <w:jc w:val="both"/>
      </w:pPr>
      <w:r w:rsidRPr="00821223">
        <w:t>Dans le cas des sources lumineuses à DEL de toutes les catégories pour lesquelles une température T</w:t>
      </w:r>
      <w:r w:rsidRPr="00821223">
        <w:rPr>
          <w:vertAlign w:val="subscript"/>
        </w:rPr>
        <w:t>b</w:t>
      </w:r>
      <w:r w:rsidRPr="00821223">
        <w:t xml:space="preserve"> a été définie, les mesures sont effectuées par stabilisation du point T</w:t>
      </w:r>
      <w:r w:rsidRPr="00821223">
        <w:rPr>
          <w:vertAlign w:val="subscript"/>
        </w:rPr>
        <w:t>b</w:t>
      </w:r>
      <w:r w:rsidRPr="00821223">
        <w:t xml:space="preserve"> à la température précise définie dans la feuille de données correspondant à la catégorie… ».</w:t>
      </w:r>
    </w:p>
    <w:p w:rsidR="003F6058" w:rsidRPr="00821223" w:rsidRDefault="003F6058" w:rsidP="003F6058">
      <w:pPr>
        <w:pStyle w:val="SingleTxtG"/>
        <w:rPr>
          <w:i/>
        </w:rPr>
      </w:pPr>
      <w:r w:rsidRPr="00821223">
        <w:rPr>
          <w:i/>
        </w:rPr>
        <w:t>Annexe 5, paragraphe 1</w:t>
      </w:r>
      <w:r w:rsidRPr="00821223">
        <w:t>,</w:t>
      </w:r>
      <w:r w:rsidRPr="00821223">
        <w:rPr>
          <w:i/>
        </w:rPr>
        <w:t xml:space="preserve"> </w:t>
      </w:r>
      <w:r w:rsidRPr="00821223">
        <w:t>modifier comme suit :</w:t>
      </w:r>
    </w:p>
    <w:p w:rsidR="003F6058" w:rsidRPr="00821223" w:rsidRDefault="003F6058" w:rsidP="003F6058">
      <w:pPr>
        <w:pStyle w:val="SingleTxtG"/>
        <w:ind w:left="2268" w:hanging="1134"/>
        <w:rPr>
          <w:bCs/>
          <w:snapToGrid w:val="0"/>
        </w:rPr>
      </w:pPr>
      <w:r w:rsidRPr="00821223">
        <w:rPr>
          <w:bCs/>
        </w:rPr>
        <w:t>« </w:t>
      </w:r>
      <w:r w:rsidRPr="00821223">
        <w:rPr>
          <w:bCs/>
          <w:snapToGrid w:val="0"/>
        </w:rPr>
        <w:t>1.</w:t>
      </w:r>
      <w:r w:rsidRPr="00821223">
        <w:rPr>
          <w:bCs/>
          <w:snapToGrid w:val="0"/>
        </w:rPr>
        <w:tab/>
      </w:r>
      <w:r w:rsidRPr="00821223">
        <w:t>Généralités</w:t>
      </w:r>
    </w:p>
    <w:p w:rsidR="003F6058" w:rsidRPr="00821223" w:rsidRDefault="003F6058" w:rsidP="000C4E18">
      <w:pPr>
        <w:pStyle w:val="SingleTxtG"/>
        <w:ind w:left="2268"/>
        <w:rPr>
          <w:bCs/>
          <w:snapToGrid w:val="0"/>
        </w:rPr>
      </w:pPr>
      <w:r w:rsidRPr="00821223">
        <w:t>Les prescriptions relatives à la conformité sont considérées comme satisfaites du point de vue photométrique, géométrique, visuel et électrique si les tolérances spécifiées pour les sources lumineuses à DEL sur la feuille de caractéristiques pertinente de l</w:t>
      </w:r>
      <w:r>
        <w:t>’</w:t>
      </w:r>
      <w:r w:rsidRPr="00821223">
        <w:t>annexe 1</w:t>
      </w:r>
      <w:r w:rsidRPr="00821223">
        <w:rPr>
          <w:b/>
        </w:rPr>
        <w:t>,</w:t>
      </w:r>
      <w:r w:rsidRPr="00821223">
        <w:t xml:space="preserve"> </w:t>
      </w:r>
      <w:r w:rsidRPr="00821223">
        <w:rPr>
          <w:strike/>
        </w:rPr>
        <w:t xml:space="preserve">et </w:t>
      </w:r>
      <w:r w:rsidRPr="00821223">
        <w:t xml:space="preserve">sur la feuille de caractéristiques pour les culots </w:t>
      </w:r>
      <w:r w:rsidRPr="00821223">
        <w:rPr>
          <w:b/>
        </w:rPr>
        <w:t xml:space="preserve">et, dans le cas des sources lumineuses à DEL de substitution, si les prescriptions supplémentaires du paragraphe </w:t>
      </w:r>
      <w:r w:rsidRPr="00821223">
        <w:rPr>
          <w:b/>
          <w:bCs/>
          <w:snapToGrid w:val="0"/>
        </w:rPr>
        <w:t>3.12</w:t>
      </w:r>
      <w:r w:rsidRPr="00821223">
        <w:rPr>
          <w:b/>
        </w:rPr>
        <w:t>, applicables à ce type de sources lumineuses</w:t>
      </w:r>
      <w:r w:rsidRPr="00821223">
        <w:t>, sont respectées</w:t>
      </w:r>
      <w:r w:rsidRPr="00821223">
        <w:rPr>
          <w:bCs/>
          <w:snapToGrid w:val="0"/>
        </w:rPr>
        <w:t>. ».</w:t>
      </w:r>
    </w:p>
    <w:p w:rsidR="003F6058" w:rsidRPr="00821223" w:rsidRDefault="003F6058" w:rsidP="003F6058">
      <w:pPr>
        <w:keepNext/>
        <w:spacing w:after="120"/>
        <w:ind w:left="2268" w:right="1134" w:hanging="1134"/>
        <w:jc w:val="both"/>
        <w:rPr>
          <w:i/>
        </w:rPr>
      </w:pPr>
      <w:r w:rsidRPr="00821223">
        <w:rPr>
          <w:i/>
        </w:rPr>
        <w:t>Annexe 6, tableau 1</w:t>
      </w:r>
      <w:r w:rsidRPr="00821223">
        <w:t>,</w:t>
      </w:r>
      <w:r w:rsidRPr="00821223">
        <w:rPr>
          <w:i/>
        </w:rPr>
        <w:t xml:space="preserve"> </w:t>
      </w:r>
      <w:r w:rsidRPr="00821223">
        <w:t>ajouter une nouvelle ligne, ainsi conçue :</w:t>
      </w:r>
    </w:p>
    <w:p w:rsidR="003F6058" w:rsidRPr="00FA49AB" w:rsidRDefault="003F6058" w:rsidP="003F6058">
      <w:pPr>
        <w:pStyle w:val="Heading1"/>
        <w:spacing w:after="120"/>
        <w:ind w:left="0"/>
        <w:rPr>
          <w:b/>
        </w:rPr>
      </w:pPr>
      <w:r w:rsidRPr="00FA49AB">
        <w:rPr>
          <w:bCs/>
        </w:rPr>
        <w:t>« </w:t>
      </w:r>
      <w:r w:rsidRPr="00FA49AB">
        <w:rPr>
          <w:snapToGrid w:val="0"/>
        </w:rPr>
        <w:t xml:space="preserve">Tableau 1 </w:t>
      </w:r>
      <w:r w:rsidRPr="00FA49AB">
        <w:rPr>
          <w:snapToGrid w:val="0"/>
        </w:rPr>
        <w:br/>
      </w:r>
      <w:r w:rsidRPr="00FA49AB">
        <w:rPr>
          <w:b/>
        </w:rPr>
        <w:t>Caractéristiques</w:t>
      </w: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2835"/>
        <w:gridCol w:w="1417"/>
        <w:gridCol w:w="1695"/>
      </w:tblGrid>
      <w:tr w:rsidR="003F6058" w:rsidRPr="00FA49AB" w:rsidTr="00997968">
        <w:trPr>
          <w:cantSplit/>
          <w:tblHeader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00" w:lineRule="exact"/>
              <w:ind w:left="57" w:right="57"/>
              <w:rPr>
                <w:i/>
                <w:snapToGrid w:val="0"/>
                <w:sz w:val="16"/>
              </w:rPr>
            </w:pPr>
            <w:r w:rsidRPr="00FA49AB">
              <w:rPr>
                <w:i/>
                <w:snapToGrid w:val="0"/>
                <w:sz w:val="16"/>
              </w:rPr>
              <w:t>Groupe de caractéristiques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00" w:lineRule="exact"/>
              <w:ind w:left="57" w:right="57"/>
              <w:rPr>
                <w:i/>
                <w:snapToGrid w:val="0"/>
                <w:sz w:val="16"/>
              </w:rPr>
            </w:pPr>
            <w:r w:rsidRPr="00FA49AB">
              <w:rPr>
                <w:i/>
                <w:snapToGrid w:val="0"/>
                <w:sz w:val="16"/>
              </w:rPr>
              <w:t>Groupement</w:t>
            </w:r>
            <w:r w:rsidRPr="00FA49AB">
              <w:rPr>
                <w:i/>
                <w:snapToGrid w:val="0"/>
                <w:sz w:val="18"/>
                <w:szCs w:val="18"/>
              </w:rPr>
              <w:t>*</w:t>
            </w:r>
            <w:r w:rsidRPr="00FA49AB">
              <w:rPr>
                <w:i/>
                <w:snapToGrid w:val="0"/>
                <w:sz w:val="16"/>
              </w:rPr>
              <w:t xml:space="preserve"> des procès-verbaux </w:t>
            </w:r>
            <w:r w:rsidRPr="00FA49AB">
              <w:rPr>
                <w:i/>
                <w:snapToGrid w:val="0"/>
                <w:sz w:val="16"/>
              </w:rPr>
              <w:br/>
              <w:t>d</w:t>
            </w:r>
            <w:r>
              <w:rPr>
                <w:i/>
                <w:snapToGrid w:val="0"/>
                <w:sz w:val="16"/>
              </w:rPr>
              <w:t>’</w:t>
            </w:r>
            <w:r w:rsidRPr="00FA49AB">
              <w:rPr>
                <w:i/>
                <w:snapToGrid w:val="0"/>
                <w:sz w:val="16"/>
              </w:rPr>
              <w:t>essai selon les types de sources lumineuses à 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00" w:lineRule="exact"/>
              <w:ind w:left="57" w:right="57"/>
              <w:jc w:val="right"/>
              <w:rPr>
                <w:i/>
                <w:snapToGrid w:val="0"/>
                <w:sz w:val="16"/>
              </w:rPr>
            </w:pPr>
            <w:r w:rsidRPr="00FA49AB">
              <w:rPr>
                <w:i/>
                <w:snapToGrid w:val="0"/>
                <w:sz w:val="16"/>
              </w:rPr>
              <w:t xml:space="preserve">Échantillon </w:t>
            </w:r>
            <w:r w:rsidRPr="00FA49AB">
              <w:rPr>
                <w:i/>
                <w:snapToGrid w:val="0"/>
                <w:sz w:val="16"/>
              </w:rPr>
              <w:br/>
              <w:t xml:space="preserve">annuel minimal </w:t>
            </w:r>
            <w:r w:rsidRPr="00FA49AB">
              <w:rPr>
                <w:i/>
                <w:snapToGrid w:val="0"/>
                <w:sz w:val="16"/>
              </w:rPr>
              <w:br/>
              <w:t>par groupe*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00" w:lineRule="exact"/>
              <w:ind w:left="57" w:right="57"/>
              <w:jc w:val="right"/>
              <w:rPr>
                <w:i/>
                <w:snapToGrid w:val="0"/>
                <w:sz w:val="16"/>
              </w:rPr>
            </w:pPr>
            <w:r w:rsidRPr="00FA49AB">
              <w:rPr>
                <w:i/>
                <w:snapToGrid w:val="0"/>
                <w:sz w:val="16"/>
              </w:rPr>
              <w:t>Niveau acceptable</w:t>
            </w:r>
            <w:r w:rsidRPr="00FA49AB">
              <w:rPr>
                <w:i/>
                <w:snapToGrid w:val="0"/>
                <w:sz w:val="16"/>
              </w:rPr>
              <w:br/>
              <w:t xml:space="preserve">de non-conformité </w:t>
            </w:r>
            <w:r w:rsidRPr="00FA49AB">
              <w:rPr>
                <w:i/>
                <w:snapToGrid w:val="0"/>
                <w:sz w:val="16"/>
              </w:rPr>
              <w:br/>
              <w:t xml:space="preserve">par groupe </w:t>
            </w:r>
            <w:r w:rsidRPr="00FA49AB">
              <w:rPr>
                <w:i/>
                <w:snapToGrid w:val="0"/>
                <w:sz w:val="16"/>
              </w:rPr>
              <w:br/>
              <w:t xml:space="preserve">de caractéristiques </w:t>
            </w:r>
            <w:r w:rsidRPr="00FA49AB">
              <w:rPr>
                <w:i/>
                <w:snapToGrid w:val="0"/>
                <w:sz w:val="16"/>
              </w:rPr>
              <w:br/>
              <w:t>(en pourcentage)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Marquage, lisibilité et durabilité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pacing w:val="-2"/>
                <w:sz w:val="18"/>
                <w:szCs w:val="18"/>
              </w:rPr>
              <w:t>Tous types possédant les mêmes</w:t>
            </w:r>
            <w:r w:rsidRPr="00FA49AB">
              <w:rPr>
                <w:snapToGrid w:val="0"/>
                <w:sz w:val="18"/>
                <w:szCs w:val="18"/>
              </w:rPr>
              <w:t xml:space="preserve"> dimensions extérieures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315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1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pacing w:val="-3"/>
                <w:sz w:val="18"/>
                <w:szCs w:val="18"/>
              </w:rPr>
              <w:t>Dimensions extérieures de la source lumineuse</w:t>
            </w:r>
            <w:r w:rsidRPr="00FA49AB">
              <w:rPr>
                <w:snapToGrid w:val="0"/>
                <w:sz w:val="18"/>
                <w:szCs w:val="18"/>
              </w:rPr>
              <w:t xml:space="preserve"> (compte non tenu du culot et de la base)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Tous types de la même catégorie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1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Dimensions des culots et des bases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Tous types de la même catégorie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6,5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 xml:space="preserve">Dimensions relatives à la surface de sortie </w:t>
            </w:r>
            <w:r w:rsidRPr="00FA49AB">
              <w:rPr>
                <w:snapToGrid w:val="0"/>
                <w:sz w:val="18"/>
                <w:szCs w:val="18"/>
              </w:rPr>
              <w:br/>
              <w:t>de la lumière et des éléments intérieurs**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Tou</w:t>
            </w:r>
            <w:r>
              <w:rPr>
                <w:snapToGrid w:val="0"/>
                <w:sz w:val="18"/>
                <w:szCs w:val="18"/>
              </w:rPr>
              <w:t>te</w:t>
            </w:r>
            <w:r w:rsidRPr="00FA49AB">
              <w:rPr>
                <w:snapToGrid w:val="0"/>
                <w:sz w:val="18"/>
                <w:szCs w:val="18"/>
              </w:rPr>
              <w:t xml:space="preserve">s sources lumineuses à DEL </w:t>
            </w:r>
            <w:r w:rsidRPr="00FA49AB">
              <w:rPr>
                <w:snapToGrid w:val="0"/>
                <w:sz w:val="18"/>
                <w:szCs w:val="18"/>
              </w:rPr>
              <w:br/>
              <w:t>du même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6,5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Lectures initiales, puissance, couleur et flux lumineux**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Tou</w:t>
            </w:r>
            <w:r>
              <w:rPr>
                <w:snapToGrid w:val="0"/>
                <w:sz w:val="18"/>
                <w:szCs w:val="18"/>
              </w:rPr>
              <w:t>te</w:t>
            </w:r>
            <w:r w:rsidRPr="00FA49AB">
              <w:rPr>
                <w:snapToGrid w:val="0"/>
                <w:sz w:val="18"/>
                <w:szCs w:val="18"/>
              </w:rPr>
              <w:t xml:space="preserve">s sources lumineuses à DEL </w:t>
            </w:r>
            <w:r w:rsidRPr="00FA49AB">
              <w:rPr>
                <w:snapToGrid w:val="0"/>
                <w:sz w:val="18"/>
                <w:szCs w:val="18"/>
              </w:rPr>
              <w:br/>
              <w:t>du même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1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z w:val="18"/>
                <w:szCs w:val="18"/>
              </w:rPr>
            </w:pPr>
            <w:r w:rsidRPr="00FA49AB">
              <w:rPr>
                <w:sz w:val="18"/>
                <w:szCs w:val="18"/>
              </w:rPr>
              <w:t>Répartition normalisée de l</w:t>
            </w:r>
            <w:r>
              <w:rPr>
                <w:sz w:val="18"/>
                <w:szCs w:val="18"/>
              </w:rPr>
              <w:t>’</w:t>
            </w:r>
            <w:r w:rsidRPr="00FA49AB">
              <w:rPr>
                <w:sz w:val="18"/>
                <w:szCs w:val="18"/>
              </w:rPr>
              <w:t>intensité lumineuse ou du flux lumineux cumulé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sz w:val="18"/>
                <w:szCs w:val="18"/>
              </w:rPr>
            </w:pPr>
            <w:r w:rsidRPr="00FA49AB">
              <w:rPr>
                <w:sz w:val="18"/>
                <w:szCs w:val="18"/>
              </w:rPr>
              <w:t>Tou</w:t>
            </w:r>
            <w:r>
              <w:rPr>
                <w:sz w:val="18"/>
                <w:szCs w:val="18"/>
              </w:rPr>
              <w:t>te</w:t>
            </w:r>
            <w:r w:rsidRPr="00FA49AB">
              <w:rPr>
                <w:sz w:val="18"/>
                <w:szCs w:val="18"/>
              </w:rPr>
              <w:t xml:space="preserve">s sources lumineuses à DEL </w:t>
            </w:r>
            <w:r w:rsidRPr="00FA49AB">
              <w:rPr>
                <w:sz w:val="18"/>
                <w:szCs w:val="18"/>
              </w:rPr>
              <w:br/>
              <w:t>du même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snapToGrid w:val="0"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6,5</w:t>
            </w:r>
          </w:p>
        </w:tc>
      </w:tr>
      <w:tr w:rsidR="003F6058" w:rsidRPr="00FA49AB" w:rsidTr="00997968">
        <w:trPr>
          <w:cantSplit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b/>
                <w:sz w:val="18"/>
                <w:szCs w:val="18"/>
              </w:rPr>
            </w:pPr>
            <w:r w:rsidRPr="00FA49AB">
              <w:rPr>
                <w:b/>
                <w:sz w:val="18"/>
                <w:szCs w:val="18"/>
              </w:rPr>
              <w:t>Courant électrique***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rPr>
                <w:b/>
                <w:sz w:val="18"/>
                <w:szCs w:val="18"/>
              </w:rPr>
            </w:pPr>
            <w:r w:rsidRPr="00FA49AB">
              <w:rPr>
                <w:b/>
                <w:snapToGrid w:val="0"/>
                <w:sz w:val="18"/>
                <w:szCs w:val="18"/>
              </w:rPr>
              <w:t>Tou</w:t>
            </w:r>
            <w:r>
              <w:rPr>
                <w:b/>
                <w:snapToGrid w:val="0"/>
                <w:sz w:val="18"/>
                <w:szCs w:val="18"/>
              </w:rPr>
              <w:t>te</w:t>
            </w:r>
            <w:r w:rsidRPr="00FA49AB">
              <w:rPr>
                <w:b/>
                <w:snapToGrid w:val="0"/>
                <w:sz w:val="18"/>
                <w:szCs w:val="18"/>
              </w:rPr>
              <w:t xml:space="preserve">s sources lumineuses à DEL </w:t>
            </w:r>
            <w:r w:rsidRPr="00FA49AB">
              <w:rPr>
                <w:b/>
                <w:snapToGrid w:val="0"/>
                <w:sz w:val="18"/>
                <w:szCs w:val="18"/>
              </w:rPr>
              <w:br/>
              <w:t>du même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b/>
                <w:sz w:val="18"/>
                <w:szCs w:val="18"/>
              </w:rPr>
            </w:pPr>
            <w:r w:rsidRPr="00FA49AB"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F6058" w:rsidRPr="00FA49AB" w:rsidRDefault="003F6058" w:rsidP="00997968">
            <w:pPr>
              <w:suppressAutoHyphens w:val="0"/>
              <w:spacing w:before="60" w:after="60" w:line="220" w:lineRule="exact"/>
              <w:ind w:left="57" w:right="57"/>
              <w:jc w:val="right"/>
              <w:rPr>
                <w:b/>
                <w:sz w:val="18"/>
                <w:szCs w:val="18"/>
              </w:rPr>
            </w:pPr>
            <w:r w:rsidRPr="00FA49AB">
              <w:rPr>
                <w:b/>
                <w:sz w:val="18"/>
                <w:szCs w:val="18"/>
              </w:rPr>
              <w:t>1</w:t>
            </w:r>
          </w:p>
        </w:tc>
      </w:tr>
    </w:tbl>
    <w:p w:rsidR="003F6058" w:rsidRPr="00FA49AB" w:rsidRDefault="003F6058" w:rsidP="00581905">
      <w:pPr>
        <w:pStyle w:val="SingleTxtG"/>
        <w:spacing w:before="120" w:after="0"/>
        <w:ind w:left="0" w:right="0" w:firstLine="227"/>
        <w:jc w:val="left"/>
        <w:rPr>
          <w:sz w:val="18"/>
          <w:szCs w:val="18"/>
        </w:rPr>
      </w:pPr>
      <w:r w:rsidRPr="00FA49AB">
        <w:rPr>
          <w:sz w:val="18"/>
          <w:szCs w:val="18"/>
        </w:rPr>
        <w:t xml:space="preserve">* </w:t>
      </w:r>
      <w:r w:rsidR="001E54E6">
        <w:rPr>
          <w:sz w:val="18"/>
          <w:szCs w:val="18"/>
        </w:rPr>
        <w:t xml:space="preserve"> </w:t>
      </w:r>
      <w:r w:rsidRPr="00FA49AB">
        <w:rPr>
          <w:sz w:val="18"/>
          <w:szCs w:val="18"/>
        </w:rPr>
        <w:t>L</w:t>
      </w:r>
      <w:r>
        <w:rPr>
          <w:sz w:val="18"/>
          <w:szCs w:val="18"/>
        </w:rPr>
        <w:t>’</w:t>
      </w:r>
      <w:r w:rsidRPr="00FA49AB">
        <w:rPr>
          <w:sz w:val="18"/>
          <w:szCs w:val="18"/>
        </w:rPr>
        <w:t>évaluation porte en général sur des sources lumineuses à DEL de série provenant de diverses usines. Un fabricant peut regrouper les procès-verbaux concernant le même type de sources lumineuses provenant de plusieurs usines, à condition que soient mis en œuvre dans ces usines le même système-qualité et la même gestion-qualité.</w:t>
      </w:r>
    </w:p>
    <w:p w:rsidR="003F6058" w:rsidRPr="00FA49AB" w:rsidRDefault="003F6058" w:rsidP="003F6058">
      <w:pPr>
        <w:pStyle w:val="SingleTxtG"/>
        <w:spacing w:after="0"/>
        <w:ind w:left="0" w:right="0" w:firstLine="113"/>
        <w:jc w:val="left"/>
        <w:rPr>
          <w:sz w:val="18"/>
          <w:szCs w:val="18"/>
        </w:rPr>
      </w:pPr>
      <w:r w:rsidRPr="00FA49AB">
        <w:rPr>
          <w:sz w:val="18"/>
          <w:szCs w:val="18"/>
        </w:rPr>
        <w:t xml:space="preserve">** </w:t>
      </w:r>
      <w:r w:rsidR="001E54E6">
        <w:rPr>
          <w:sz w:val="18"/>
          <w:szCs w:val="18"/>
        </w:rPr>
        <w:t xml:space="preserve"> </w:t>
      </w:r>
      <w:r w:rsidRPr="00FA49AB">
        <w:rPr>
          <w:sz w:val="18"/>
          <w:szCs w:val="18"/>
        </w:rPr>
        <w:t>Lorsqu</w:t>
      </w:r>
      <w:r>
        <w:rPr>
          <w:sz w:val="18"/>
          <w:szCs w:val="18"/>
        </w:rPr>
        <w:t>’</w:t>
      </w:r>
      <w:r w:rsidRPr="00FA49AB">
        <w:rPr>
          <w:sz w:val="18"/>
          <w:szCs w:val="18"/>
        </w:rPr>
        <w:t>une source lumineuse à DEL a plus d</w:t>
      </w:r>
      <w:r>
        <w:rPr>
          <w:sz w:val="18"/>
          <w:szCs w:val="18"/>
        </w:rPr>
        <w:t>’</w:t>
      </w:r>
      <w:r w:rsidRPr="00FA49AB">
        <w:rPr>
          <w:sz w:val="18"/>
          <w:szCs w:val="18"/>
        </w:rPr>
        <w:t>une fonction de production de lumière, le groupe de caractéristiques (dimensions, puissance, couleur et flux lumineux) s</w:t>
      </w:r>
      <w:r>
        <w:rPr>
          <w:sz w:val="18"/>
          <w:szCs w:val="18"/>
        </w:rPr>
        <w:t>’</w:t>
      </w:r>
      <w:r w:rsidRPr="00FA49AB">
        <w:rPr>
          <w:sz w:val="18"/>
          <w:szCs w:val="18"/>
        </w:rPr>
        <w:t>applique séparément à chaque élément.</w:t>
      </w:r>
    </w:p>
    <w:p w:rsidR="003F6058" w:rsidRPr="00056932" w:rsidRDefault="003F6058" w:rsidP="003F6058">
      <w:pPr>
        <w:pStyle w:val="SingleTxtG"/>
        <w:spacing w:after="0"/>
        <w:ind w:left="0" w:right="0"/>
        <w:jc w:val="left"/>
        <w:rPr>
          <w:bCs/>
          <w:sz w:val="18"/>
          <w:szCs w:val="18"/>
        </w:rPr>
      </w:pPr>
      <w:r w:rsidRPr="00FA49AB">
        <w:rPr>
          <w:b/>
          <w:sz w:val="18"/>
          <w:szCs w:val="18"/>
        </w:rPr>
        <w:t>***</w:t>
      </w:r>
      <w:r w:rsidRPr="00FA49AB">
        <w:rPr>
          <w:sz w:val="18"/>
          <w:szCs w:val="18"/>
        </w:rPr>
        <w:t xml:space="preserve"> </w:t>
      </w:r>
      <w:r w:rsidR="001E54E6">
        <w:rPr>
          <w:sz w:val="18"/>
          <w:szCs w:val="18"/>
        </w:rPr>
        <w:t xml:space="preserve"> </w:t>
      </w:r>
      <w:r w:rsidRPr="00FA49AB">
        <w:rPr>
          <w:b/>
          <w:sz w:val="18"/>
          <w:szCs w:val="18"/>
        </w:rPr>
        <w:t>Sources lumineuses à DEL de substitution uniquement</w:t>
      </w:r>
      <w:r w:rsidR="001E54E6">
        <w:rPr>
          <w:b/>
          <w:sz w:val="18"/>
          <w:szCs w:val="18"/>
        </w:rPr>
        <w:t>.</w:t>
      </w:r>
      <w:r w:rsidRPr="00FA49AB">
        <w:rPr>
          <w:b/>
          <w:sz w:val="18"/>
          <w:szCs w:val="18"/>
        </w:rPr>
        <w:t> </w:t>
      </w:r>
      <w:r w:rsidRPr="00FA49AB">
        <w:rPr>
          <w:bCs/>
          <w:sz w:val="18"/>
          <w:szCs w:val="18"/>
        </w:rPr>
        <w:t>».</w:t>
      </w:r>
    </w:p>
    <w:p w:rsidR="003F6058" w:rsidRPr="00FA49AB" w:rsidRDefault="003F6058" w:rsidP="003F6058">
      <w:pPr>
        <w:pStyle w:val="HChG"/>
      </w:pPr>
      <w:r w:rsidRPr="00FA49AB">
        <w:lastRenderedPageBreak/>
        <w:tab/>
        <w:t>II.</w:t>
      </w:r>
      <w:r w:rsidRPr="00FA49AB">
        <w:tab/>
        <w:t>Justification</w:t>
      </w:r>
    </w:p>
    <w:p w:rsidR="003F6058" w:rsidRPr="00821223" w:rsidRDefault="003F6058" w:rsidP="003F6058">
      <w:pPr>
        <w:tabs>
          <w:tab w:val="left" w:pos="1701"/>
          <w:tab w:val="left" w:pos="2268"/>
        </w:tabs>
        <w:suppressAutoHyphens w:val="0"/>
        <w:spacing w:after="120"/>
        <w:ind w:left="1134" w:right="1134"/>
        <w:jc w:val="both"/>
        <w:rPr>
          <w:bCs/>
          <w:lang w:eastAsia="it-IT"/>
        </w:rPr>
      </w:pPr>
      <w:r w:rsidRPr="00821223">
        <w:rPr>
          <w:bCs/>
          <w:lang w:eastAsia="it-IT"/>
        </w:rPr>
        <w:t>1.</w:t>
      </w:r>
      <w:r w:rsidRPr="00821223">
        <w:rPr>
          <w:bCs/>
          <w:lang w:eastAsia="it-IT"/>
        </w:rPr>
        <w:tab/>
        <w:t xml:space="preserve">La présente proposition a initialement été élaborée et soumise par le GTB aux </w:t>
      </w:r>
      <w:r w:rsidRPr="00821223">
        <w:t>soixante</w:t>
      </w:r>
      <w:r w:rsidR="00A836B1">
        <w:t>-</w:t>
      </w:r>
      <w:r w:rsidRPr="00821223">
        <w:t>dix-septième et soixante</w:t>
      </w:r>
      <w:r w:rsidR="00BF7413">
        <w:t>-</w:t>
      </w:r>
      <w:r w:rsidRPr="00821223">
        <w:t>dix-huitième</w:t>
      </w:r>
      <w:r w:rsidRPr="00821223">
        <w:rPr>
          <w:bCs/>
          <w:lang w:eastAsia="it-IT"/>
        </w:rPr>
        <w:t xml:space="preserve"> sessions du GRE. </w:t>
      </w:r>
      <w:r w:rsidRPr="00821223">
        <w:t xml:space="preserve">Ayant </w:t>
      </w:r>
      <w:r w:rsidRPr="00821223">
        <w:rPr>
          <w:bCs/>
          <w:lang w:eastAsia="it-IT"/>
        </w:rPr>
        <w:t>examiné cette proposition, l</w:t>
      </w:r>
      <w:r>
        <w:t>’</w:t>
      </w:r>
      <w:r w:rsidRPr="00821223">
        <w:t xml:space="preserve">équipe spéciale des sources lumineuses de substitution et de remplacement </w:t>
      </w:r>
      <w:r w:rsidRPr="00821223">
        <w:rPr>
          <w:bCs/>
          <w:lang w:eastAsia="it-IT"/>
        </w:rPr>
        <w:t>propose un certain nombre de</w:t>
      </w:r>
      <w:r w:rsidRPr="00821223">
        <w:t xml:space="preserve"> modifications</w:t>
      </w:r>
      <w:r w:rsidRPr="00821223">
        <w:rPr>
          <w:bCs/>
          <w:lang w:eastAsia="it-IT"/>
        </w:rPr>
        <w:t>. Les</w:t>
      </w:r>
      <w:r w:rsidRPr="00821223">
        <w:t xml:space="preserve"> </w:t>
      </w:r>
      <w:r w:rsidRPr="00821223">
        <w:rPr>
          <w:bCs/>
          <w:lang w:eastAsia="it-IT"/>
        </w:rPr>
        <w:t>observations formulées lors des précédentes séances du GRE ont été prises en compte. Des dispositions concernant un dispositif de détrompage au moyen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un culot ont été ajoutées pour éviter un mauvais usage.</w:t>
      </w:r>
    </w:p>
    <w:p w:rsidR="003F6058" w:rsidRPr="00821223" w:rsidRDefault="003F6058" w:rsidP="003F6058">
      <w:pPr>
        <w:pStyle w:val="SingleTxtG"/>
        <w:rPr>
          <w:bCs/>
        </w:rPr>
      </w:pPr>
      <w:r w:rsidRPr="00821223">
        <w:rPr>
          <w:bCs/>
          <w:lang w:eastAsia="it-IT"/>
        </w:rPr>
        <w:t>2.</w:t>
      </w:r>
      <w:r w:rsidRPr="00821223">
        <w:rPr>
          <w:bCs/>
          <w:lang w:eastAsia="it-IT"/>
        </w:rPr>
        <w:tab/>
      </w:r>
      <w:r w:rsidRPr="00821223">
        <w:rPr>
          <w:bCs/>
        </w:rPr>
        <w:t>La proposition</w:t>
      </w:r>
      <w:r w:rsidRPr="00821223">
        <w:rPr>
          <w:bCs/>
          <w:lang w:eastAsia="it-IT"/>
        </w:rPr>
        <w:t xml:space="preserve"> relative à la source lumineuse</w:t>
      </w:r>
      <w:r w:rsidRPr="00821223">
        <w:rPr>
          <w:bCs/>
        </w:rPr>
        <w:t xml:space="preserve"> consiste en </w:t>
      </w:r>
      <w:r w:rsidRPr="00821223">
        <w:rPr>
          <w:bCs/>
          <w:lang w:eastAsia="it-IT"/>
        </w:rPr>
        <w:t>:</w:t>
      </w:r>
    </w:p>
    <w:p w:rsidR="003F6058" w:rsidRPr="00821223" w:rsidRDefault="003F6058" w:rsidP="00BC3491">
      <w:pPr>
        <w:pStyle w:val="SingleTxtG"/>
        <w:ind w:firstLine="567"/>
      </w:pPr>
      <w:r w:rsidRPr="00821223">
        <w:t>a)</w:t>
      </w:r>
      <w:r w:rsidRPr="00821223">
        <w:tab/>
      </w:r>
      <w:r w:rsidRPr="00821223">
        <w:rPr>
          <w:spacing w:val="-2"/>
        </w:rPr>
        <w:t xml:space="preserve">Un projet de proposition visant à introduire des dispositions dans le Règlement ONU </w:t>
      </w:r>
      <w:r w:rsidRPr="00821223">
        <w:rPr>
          <w:rFonts w:eastAsia="MS Mincho"/>
          <w:spacing w:val="-2"/>
        </w:rPr>
        <w:t>n</w:t>
      </w:r>
      <w:r w:rsidRPr="00821223">
        <w:rPr>
          <w:rFonts w:eastAsia="MS Mincho"/>
          <w:spacing w:val="-2"/>
          <w:vertAlign w:val="superscript"/>
        </w:rPr>
        <w:t>o</w:t>
      </w:r>
      <w:r w:rsidRPr="00821223">
        <w:rPr>
          <w:spacing w:val="-2"/>
        </w:rPr>
        <w:t> 128 ;</w:t>
      </w:r>
    </w:p>
    <w:p w:rsidR="003F6058" w:rsidRPr="00821223" w:rsidRDefault="003F6058" w:rsidP="00BC3491">
      <w:pPr>
        <w:pStyle w:val="SingleTxtG"/>
        <w:ind w:firstLine="567"/>
        <w:rPr>
          <w:lang w:eastAsia="it-IT"/>
        </w:rPr>
      </w:pPr>
      <w:r w:rsidRPr="00821223">
        <w:t>b)</w:t>
      </w:r>
      <w:r w:rsidRPr="00821223">
        <w:tab/>
        <w:t>Un projet de proposition visant à mettre en place de nouvelles spécifications pour la catégorie PY21W/LED fondées sur la technologie DEL dans la Résolution d</w:t>
      </w:r>
      <w:r>
        <w:t>’</w:t>
      </w:r>
      <w:r w:rsidRPr="00821223">
        <w:t>ensemble 5 (R.E.5) ;</w:t>
      </w:r>
    </w:p>
    <w:p w:rsidR="003F6058" w:rsidRPr="00821223" w:rsidRDefault="003F6058" w:rsidP="00BC3491">
      <w:pPr>
        <w:pStyle w:val="SingleTxtG"/>
        <w:ind w:firstLine="567"/>
        <w:rPr>
          <w:lang w:eastAsia="it-IT"/>
        </w:rPr>
      </w:pPr>
      <w:r w:rsidRPr="00821223">
        <w:t>c)</w:t>
      </w:r>
      <w:r w:rsidRPr="00821223">
        <w:tab/>
        <w:t>Des critères d</w:t>
      </w:r>
      <w:r>
        <w:t>’</w:t>
      </w:r>
      <w:r w:rsidRPr="00821223">
        <w:t>équivalence devant servir de guide pour l</w:t>
      </w:r>
      <w:r>
        <w:t>’</w:t>
      </w:r>
      <w:r w:rsidRPr="00821223">
        <w:t>utilisation des feuilles de spécifications des catégories de source lumineuse à DEL de substitution (GRE</w:t>
      </w:r>
      <w:r w:rsidRPr="00821223">
        <w:noBreakHyphen/>
        <w:t>80-02). Ces lignes directrices sont destinées à être publiées, avec l</w:t>
      </w:r>
      <w:r>
        <w:t>’</w:t>
      </w:r>
      <w:r w:rsidRPr="00821223">
        <w:t>accord du GRE, sur le site Web du Groupe de travail, sous la rubrique « documents de référence », comme dans le cas des critères applicables aux nouvelles sources lumineuses à incandescence pour les projecteurs (GRE-77-04). En outre, ces critères sont en cours d</w:t>
      </w:r>
      <w:r>
        <w:t>’</w:t>
      </w:r>
      <w:r w:rsidRPr="00821223">
        <w:t xml:space="preserve">élaboration pour être insérés dans la publication 60810 de la </w:t>
      </w:r>
      <w:r w:rsidRPr="00821223">
        <w:rPr>
          <w:iCs/>
        </w:rPr>
        <w:t>Commission</w:t>
      </w:r>
      <w:r w:rsidRPr="00821223">
        <w:t xml:space="preserve"> électrotechnique internationale (CEI) ;</w:t>
      </w:r>
    </w:p>
    <w:p w:rsidR="003F6058" w:rsidRPr="008212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d)</w:t>
      </w:r>
      <w:r w:rsidRPr="00821223">
        <w:rPr>
          <w:bCs/>
          <w:lang w:eastAsia="it-IT"/>
        </w:rPr>
        <w:tab/>
      </w:r>
      <w:r w:rsidRPr="00821223">
        <w:t>Un projet de proposition</w:t>
      </w:r>
      <w:r w:rsidRPr="00821223">
        <w:rPr>
          <w:bCs/>
          <w:lang w:eastAsia="it-IT"/>
        </w:rPr>
        <w:t xml:space="preserve"> à l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 xml:space="preserve">intention de la CEI concernant le système culot/douille pour les catégories </w:t>
      </w:r>
      <w:r w:rsidRPr="00821223">
        <w:t>PY21W/LED</w:t>
      </w:r>
      <w:r w:rsidRPr="00821223">
        <w:rPr>
          <w:bCs/>
          <w:lang w:eastAsia="it-IT"/>
        </w:rPr>
        <w:t xml:space="preserve"> de sources lumineuses à DEL</w:t>
      </w:r>
      <w:r w:rsidRPr="00821223">
        <w:rPr>
          <w:lang w:eastAsia="it-IT"/>
        </w:rPr>
        <w:t>, exclusivement pour l</w:t>
      </w:r>
      <w:r>
        <w:rPr>
          <w:lang w:eastAsia="it-IT"/>
        </w:rPr>
        <w:t>’</w:t>
      </w:r>
      <w:r w:rsidRPr="00821223">
        <w:rPr>
          <w:lang w:eastAsia="it-IT"/>
        </w:rPr>
        <w:t>information du GRE (GRE-80-03), afin de montrer le dispositif de détrompage et les différences avec la source lumineuse à incandescence PY21W de catégorie équivalente</w:t>
      </w:r>
      <w:r w:rsidRPr="00821223">
        <w:rPr>
          <w:bCs/>
          <w:lang w:eastAsia="it-IT"/>
        </w:rPr>
        <w:t>.</w:t>
      </w:r>
    </w:p>
    <w:p w:rsidR="003F6058" w:rsidRPr="00821223" w:rsidRDefault="003F6058" w:rsidP="003F6058">
      <w:pPr>
        <w:suppressAutoHyphens w:val="0"/>
        <w:spacing w:after="120"/>
        <w:ind w:left="1134" w:right="1134"/>
        <w:jc w:val="both"/>
        <w:rPr>
          <w:bCs/>
          <w:lang w:eastAsia="it-IT"/>
        </w:rPr>
      </w:pPr>
      <w:r w:rsidRPr="00821223">
        <w:rPr>
          <w:bCs/>
          <w:lang w:eastAsia="it-IT"/>
        </w:rPr>
        <w:t>3.</w:t>
      </w:r>
      <w:r w:rsidRPr="00821223">
        <w:rPr>
          <w:bCs/>
          <w:lang w:eastAsia="it-IT"/>
        </w:rPr>
        <w:tab/>
        <w:t>Les modifications qu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il est proposé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apporter à la proposition initiale du GTB (ECE/TRANS/WP.29/GRE/2017/21) concernent</w:t>
      </w:r>
      <w:r w:rsidR="001E54E6">
        <w:rPr>
          <w:bCs/>
          <w:lang w:eastAsia="it-IT"/>
        </w:rPr>
        <w:t> </w:t>
      </w:r>
      <w:r w:rsidRPr="00821223">
        <w:rPr>
          <w:bCs/>
          <w:lang w:eastAsia="it-IT"/>
        </w:rPr>
        <w:t>:</w:t>
      </w:r>
    </w:p>
    <w:p w:rsidR="003F6058" w:rsidRPr="008212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a)</w:t>
      </w:r>
      <w:r w:rsidRPr="00821223">
        <w:rPr>
          <w:bCs/>
          <w:lang w:eastAsia="it-IT"/>
        </w:rPr>
        <w:tab/>
        <w:t>Des modifications découlant des observations faites aux précédentes sessions du GRE</w:t>
      </w:r>
      <w:r w:rsidR="001E54E6">
        <w:rPr>
          <w:bCs/>
          <w:lang w:eastAsia="it-IT"/>
        </w:rPr>
        <w:t> </w:t>
      </w:r>
      <w:r w:rsidRPr="00821223">
        <w:rPr>
          <w:bCs/>
          <w:lang w:eastAsia="it-IT"/>
        </w:rPr>
        <w:t>;</w:t>
      </w:r>
    </w:p>
    <w:p w:rsidR="003F6058" w:rsidRPr="008212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b)</w:t>
      </w:r>
      <w:r w:rsidRPr="00821223">
        <w:rPr>
          <w:bCs/>
          <w:lang w:eastAsia="it-IT"/>
        </w:rPr>
        <w:tab/>
        <w:t>Des modifications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ordre rédactionnel découlant du document ECE/TRANS/WP.29/2018/30, dans lequel il est proposé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ajouter des dispositions relatives aux sources lumineuses à DEL destinées à être utilisées dans des dispositifs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éclairage avant</w:t>
      </w:r>
      <w:r w:rsidR="001E54E6">
        <w:rPr>
          <w:bCs/>
          <w:lang w:eastAsia="it-IT"/>
        </w:rPr>
        <w:t> </w:t>
      </w:r>
      <w:r w:rsidRPr="00821223">
        <w:t xml:space="preserve">; </w:t>
      </w:r>
    </w:p>
    <w:p w:rsidR="003F6058" w:rsidRPr="008212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c)</w:t>
      </w:r>
      <w:r w:rsidRPr="00821223">
        <w:rPr>
          <w:bCs/>
          <w:lang w:eastAsia="it-IT"/>
        </w:rPr>
        <w:tab/>
        <w:t>Des modifications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ordre rédactionnel découlant du document ECE/TRANS/WP.29/GRE/2017/21, relatif au code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homologation et à la marque d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homologation</w:t>
      </w:r>
      <w:r w:rsidR="001E54E6">
        <w:rPr>
          <w:bCs/>
          <w:lang w:eastAsia="it-IT"/>
        </w:rPr>
        <w:t> </w:t>
      </w:r>
      <w:r w:rsidRPr="00821223">
        <w:rPr>
          <w:bCs/>
          <w:lang w:eastAsia="it-IT"/>
        </w:rPr>
        <w:t xml:space="preserve">; </w:t>
      </w:r>
    </w:p>
    <w:p w:rsidR="003F6058" w:rsidRPr="008212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d)</w:t>
      </w:r>
      <w:r w:rsidRPr="00821223">
        <w:rPr>
          <w:bCs/>
          <w:lang w:eastAsia="it-IT"/>
        </w:rPr>
        <w:tab/>
        <w:t>Les prescriptions relatives à l</w:t>
      </w:r>
      <w:r>
        <w:rPr>
          <w:bCs/>
          <w:lang w:eastAsia="it-IT"/>
        </w:rPr>
        <w:t>’</w:t>
      </w:r>
      <w:r w:rsidRPr="00821223">
        <w:rPr>
          <w:bCs/>
          <w:lang w:eastAsia="it-IT"/>
        </w:rPr>
        <w:t>emballage indiqué</w:t>
      </w:r>
      <w:r w:rsidR="001E54E6">
        <w:rPr>
          <w:bCs/>
          <w:lang w:eastAsia="it-IT"/>
        </w:rPr>
        <w:t> </w:t>
      </w:r>
      <w:r w:rsidRPr="00821223">
        <w:rPr>
          <w:bCs/>
          <w:lang w:eastAsia="it-IT"/>
        </w:rPr>
        <w:t>;</w:t>
      </w:r>
    </w:p>
    <w:p w:rsidR="003F6058" w:rsidRPr="008212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e)</w:t>
      </w:r>
      <w:r w:rsidRPr="00821223">
        <w:rPr>
          <w:bCs/>
          <w:lang w:eastAsia="it-IT"/>
        </w:rPr>
        <w:tab/>
        <w:t>La réorganisation des sous-paragraphes du 4.2</w:t>
      </w:r>
      <w:r w:rsidR="001E54E6">
        <w:rPr>
          <w:bCs/>
          <w:lang w:eastAsia="it-IT"/>
        </w:rPr>
        <w:t> </w:t>
      </w:r>
      <w:r w:rsidRPr="00821223">
        <w:rPr>
          <w:bCs/>
          <w:lang w:eastAsia="it-IT"/>
        </w:rPr>
        <w:t>;</w:t>
      </w:r>
    </w:p>
    <w:p w:rsidR="00803623" w:rsidRDefault="003F6058" w:rsidP="00BC3491">
      <w:pPr>
        <w:pStyle w:val="SingleTxtG"/>
        <w:ind w:firstLine="567"/>
        <w:rPr>
          <w:bCs/>
          <w:lang w:eastAsia="it-IT"/>
        </w:rPr>
      </w:pPr>
      <w:r w:rsidRPr="00821223">
        <w:rPr>
          <w:bCs/>
          <w:lang w:eastAsia="it-IT"/>
        </w:rPr>
        <w:t>f)</w:t>
      </w:r>
      <w:r w:rsidRPr="00821223">
        <w:rPr>
          <w:bCs/>
          <w:lang w:eastAsia="it-IT"/>
        </w:rPr>
        <w:tab/>
        <w:t>La description des « sites Web ».</w:t>
      </w:r>
    </w:p>
    <w:p w:rsidR="003F6058" w:rsidRPr="003F6058" w:rsidRDefault="003F6058" w:rsidP="003F605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F6058" w:rsidRPr="003F6058" w:rsidSect="00311EB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693" w:rsidRDefault="00270693" w:rsidP="00F95C08">
      <w:pPr>
        <w:spacing w:line="240" w:lineRule="auto"/>
      </w:pPr>
    </w:p>
  </w:endnote>
  <w:endnote w:type="continuationSeparator" w:id="0">
    <w:p w:rsidR="00270693" w:rsidRPr="00AC3823" w:rsidRDefault="00270693" w:rsidP="00AC3823">
      <w:pPr>
        <w:pStyle w:val="Footer"/>
      </w:pPr>
    </w:p>
  </w:endnote>
  <w:endnote w:type="continuationNotice" w:id="1">
    <w:p w:rsidR="00270693" w:rsidRDefault="002706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BC" w:rsidRPr="00311EBC" w:rsidRDefault="00311EBC" w:rsidP="00311EBC">
    <w:pPr>
      <w:pStyle w:val="Footer"/>
      <w:tabs>
        <w:tab w:val="right" w:pos="9638"/>
      </w:tabs>
    </w:pPr>
    <w:r w:rsidRPr="00311EBC">
      <w:rPr>
        <w:b/>
        <w:sz w:val="18"/>
      </w:rPr>
      <w:fldChar w:fldCharType="begin"/>
    </w:r>
    <w:r w:rsidRPr="00311EBC">
      <w:rPr>
        <w:b/>
        <w:sz w:val="18"/>
      </w:rPr>
      <w:instrText xml:space="preserve"> PAGE  \* MERGEFORMAT </w:instrText>
    </w:r>
    <w:r w:rsidRPr="00311EBC">
      <w:rPr>
        <w:b/>
        <w:sz w:val="18"/>
      </w:rPr>
      <w:fldChar w:fldCharType="separate"/>
    </w:r>
    <w:r w:rsidRPr="00311EBC">
      <w:rPr>
        <w:b/>
        <w:noProof/>
        <w:sz w:val="18"/>
      </w:rPr>
      <w:t>2</w:t>
    </w:r>
    <w:r w:rsidRPr="00311EBC">
      <w:rPr>
        <w:b/>
        <w:sz w:val="18"/>
      </w:rPr>
      <w:fldChar w:fldCharType="end"/>
    </w:r>
    <w:r>
      <w:rPr>
        <w:b/>
        <w:sz w:val="18"/>
      </w:rPr>
      <w:tab/>
    </w:r>
    <w:r>
      <w:t>GE.18-13129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BC" w:rsidRPr="00311EBC" w:rsidRDefault="00311EBC" w:rsidP="00311EBC">
    <w:pPr>
      <w:pStyle w:val="Footer"/>
      <w:tabs>
        <w:tab w:val="right" w:pos="9638"/>
      </w:tabs>
      <w:rPr>
        <w:b/>
        <w:sz w:val="18"/>
      </w:rPr>
    </w:pPr>
    <w:r>
      <w:t>GE.18-13129</w:t>
    </w:r>
    <w:r>
      <w:tab/>
    </w:r>
    <w:r w:rsidRPr="00311EBC">
      <w:rPr>
        <w:b/>
        <w:sz w:val="18"/>
      </w:rPr>
      <w:fldChar w:fldCharType="begin"/>
    </w:r>
    <w:r w:rsidRPr="00311EBC">
      <w:rPr>
        <w:b/>
        <w:sz w:val="18"/>
      </w:rPr>
      <w:instrText xml:space="preserve"> PAGE  \* MERGEFORMAT </w:instrText>
    </w:r>
    <w:r w:rsidRPr="00311EBC">
      <w:rPr>
        <w:b/>
        <w:sz w:val="18"/>
      </w:rPr>
      <w:fldChar w:fldCharType="separate"/>
    </w:r>
    <w:r w:rsidRPr="00311EBC">
      <w:rPr>
        <w:b/>
        <w:noProof/>
        <w:sz w:val="18"/>
      </w:rPr>
      <w:t>3</w:t>
    </w:r>
    <w:r w:rsidRPr="00311EB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311EBC" w:rsidRDefault="00311EBC" w:rsidP="00311EBC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60288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18-13129  (F)    050918    070918</w:t>
    </w:r>
    <w:r>
      <w:rPr>
        <w:sz w:val="20"/>
      </w:rPr>
      <w:br/>
    </w:r>
    <w:r w:rsidRPr="00311EBC">
      <w:rPr>
        <w:rFonts w:ascii="C39T30Lfz" w:hAnsi="C39T30Lfz"/>
        <w:sz w:val="56"/>
      </w:rPr>
      <w:t></w:t>
    </w:r>
    <w:r w:rsidRPr="00311EBC">
      <w:rPr>
        <w:rFonts w:ascii="C39T30Lfz" w:hAnsi="C39T30Lfz"/>
        <w:sz w:val="56"/>
      </w:rPr>
      <w:t></w:t>
    </w:r>
    <w:r w:rsidRPr="00311EBC">
      <w:rPr>
        <w:rFonts w:ascii="C39T30Lfz" w:hAnsi="C39T30Lfz"/>
        <w:sz w:val="56"/>
      </w:rPr>
      <w:t></w:t>
    </w:r>
    <w:r w:rsidRPr="00311EBC">
      <w:rPr>
        <w:rFonts w:ascii="C39T30Lfz" w:hAnsi="C39T30Lfz"/>
        <w:sz w:val="56"/>
      </w:rPr>
      <w:t></w:t>
    </w:r>
    <w:r w:rsidRPr="00311EBC">
      <w:rPr>
        <w:rFonts w:ascii="C39T30Lfz" w:hAnsi="C39T30Lfz"/>
        <w:sz w:val="56"/>
      </w:rPr>
      <w:t></w:t>
    </w:r>
    <w:r w:rsidRPr="00311EBC">
      <w:rPr>
        <w:rFonts w:ascii="C39T30Lfz" w:hAnsi="C39T30Lfz"/>
        <w:sz w:val="56"/>
      </w:rPr>
      <w:t></w:t>
    </w:r>
    <w:r w:rsidRPr="00311EBC">
      <w:rPr>
        <w:rFonts w:ascii="C39T30Lfz" w:hAnsi="C39T30Lfz"/>
        <w:sz w:val="56"/>
      </w:rPr>
      <w:t></w:t>
    </w:r>
    <w:r w:rsidRPr="00311EBC">
      <w:rPr>
        <w:rFonts w:ascii="C39T30Lfz" w:hAnsi="C39T30Lfz"/>
        <w:sz w:val="56"/>
      </w:rPr>
      <w:t></w:t>
    </w:r>
    <w:r w:rsidRPr="00311EBC">
      <w:rPr>
        <w:rFonts w:ascii="C39T30Lfz" w:hAnsi="C39T30Lfz"/>
        <w:sz w:val="56"/>
      </w:rPr>
      <w:t>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E/2018/39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9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693" w:rsidRPr="00AC3823" w:rsidRDefault="0027069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270693" w:rsidRPr="00AC3823" w:rsidRDefault="0027069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270693" w:rsidRPr="00AC3823" w:rsidRDefault="00270693">
      <w:pPr>
        <w:spacing w:line="240" w:lineRule="auto"/>
        <w:rPr>
          <w:sz w:val="2"/>
          <w:szCs w:val="2"/>
        </w:rPr>
      </w:pPr>
    </w:p>
  </w:footnote>
  <w:footnote w:id="2">
    <w:p w:rsidR="004A4D71" w:rsidRPr="004A4D71" w:rsidRDefault="004A4D71">
      <w:pPr>
        <w:pStyle w:val="FootnoteText"/>
      </w:pPr>
      <w:r>
        <w:rPr>
          <w:rStyle w:val="FootnoteReference"/>
        </w:rPr>
        <w:tab/>
      </w:r>
      <w:r w:rsidRPr="004A4D71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4E6123">
        <w:rPr>
          <w:szCs w:val="18"/>
        </w:rPr>
        <w:t xml:space="preserve">Conformément au programme de travail du Comité des transports </w:t>
      </w:r>
      <w:r w:rsidR="004E6123">
        <w:rPr>
          <w:szCs w:val="18"/>
        </w:rPr>
        <w:t>intérieurs pour la période 2018</w:t>
      </w:r>
      <w:r w:rsidR="004E6123">
        <w:rPr>
          <w:szCs w:val="18"/>
        </w:rPr>
        <w:noBreakHyphen/>
      </w:r>
      <w:r w:rsidRPr="004E6123">
        <w:rPr>
          <w:szCs w:val="18"/>
        </w:rPr>
        <w:t xml:space="preserve">2019 </w:t>
      </w:r>
      <w:r w:rsidR="00BF7413">
        <w:rPr>
          <w:szCs w:val="18"/>
        </w:rPr>
        <w:t>(ECE/TRANS/274, par. </w:t>
      </w:r>
      <w:r w:rsidRPr="004E6123">
        <w:rPr>
          <w:szCs w:val="18"/>
        </w:rPr>
        <w:t xml:space="preserve">123, et ECE/TRANS/2018/21/Add.1, module 3.1), le Forum mondial a pour mission d’élaborer, d’harmoniser et de mettre à jour les Règlements </w:t>
      </w:r>
      <w:r w:rsidR="00DC51CA">
        <w:rPr>
          <w:szCs w:val="18"/>
        </w:rPr>
        <w:t xml:space="preserve">ONU </w:t>
      </w:r>
      <w:r w:rsidRPr="004E6123">
        <w:rPr>
          <w:szCs w:val="18"/>
        </w:rPr>
        <w:t>en vue d’améliorer les caractéristiques fonctionnelles des véhicules. Le présent document est soumis en vertu de ce mandat.</w:t>
      </w:r>
    </w:p>
  </w:footnote>
  <w:footnote w:id="3">
    <w:p w:rsidR="000C4E18" w:rsidRDefault="000C4E18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Pr="000C4E18">
        <w:t>Norme ISO 7000, symbole 1641.</w:t>
      </w:r>
    </w:p>
  </w:footnote>
  <w:footnote w:id="4">
    <w:p w:rsidR="000C4E18" w:rsidRPr="000C4E18" w:rsidRDefault="000C4E18">
      <w:pPr>
        <w:pStyle w:val="FootnoteText"/>
        <w:rPr>
          <w:lang w:val="en-US"/>
        </w:rPr>
      </w:pPr>
      <w:r>
        <w:tab/>
      </w:r>
      <w:r w:rsidRPr="00F2109B">
        <w:rPr>
          <w:rStyle w:val="FootnoteReference"/>
          <w:b/>
        </w:rPr>
        <w:footnoteRef/>
      </w:r>
      <w:r w:rsidRPr="00F2109B">
        <w:rPr>
          <w:b/>
          <w:lang w:val="en-US"/>
        </w:rPr>
        <w:tab/>
      </w:r>
      <w:r w:rsidRPr="000C4E18">
        <w:rPr>
          <w:b/>
          <w:lang w:val="en-US"/>
        </w:rPr>
        <w:t xml:space="preserve">CIE S 017/E: 2011: ILV: International Lighting Vocabulary, </w:t>
      </w:r>
      <w:proofErr w:type="spellStart"/>
      <w:r w:rsidRPr="000C4E18">
        <w:rPr>
          <w:b/>
          <w:lang w:val="en-US"/>
        </w:rPr>
        <w:t>ou</w:t>
      </w:r>
      <w:proofErr w:type="spellEnd"/>
      <w:r w:rsidRPr="000C4E18">
        <w:rPr>
          <w:b/>
          <w:lang w:val="en-US"/>
        </w:rPr>
        <w:t xml:space="preserve"> </w:t>
      </w:r>
      <w:hyperlink r:id="rId1" w:history="1">
        <w:proofErr w:type="spellStart"/>
        <w:r w:rsidR="00BC36A2" w:rsidRPr="004A7732">
          <w:rPr>
            <w:b/>
            <w:color w:val="0000FF"/>
            <w:sz w:val="16"/>
            <w:lang w:val="en-US"/>
          </w:rPr>
          <w:t>eILV</w:t>
        </w:r>
        <w:proofErr w:type="spellEnd"/>
      </w:hyperlink>
      <w:r w:rsidR="00F2109B">
        <w:rPr>
          <w:b/>
          <w:lang w:val="en-US"/>
        </w:rPr>
        <w:t> </w:t>
      </w:r>
      <w:r w:rsidRPr="000C4E18">
        <w:rPr>
          <w:b/>
          <w:lang w:val="en-US"/>
        </w:rPr>
        <w:t xml:space="preserve">; </w:t>
      </w:r>
      <w:proofErr w:type="spellStart"/>
      <w:r w:rsidRPr="000C4E18">
        <w:rPr>
          <w:b/>
          <w:lang w:val="en-US"/>
        </w:rPr>
        <w:t>terme</w:t>
      </w:r>
      <w:proofErr w:type="spellEnd"/>
      <w:r w:rsidRPr="000C4E18">
        <w:rPr>
          <w:b/>
          <w:lang w:val="en-US"/>
        </w:rPr>
        <w:t xml:space="preserve"> 17-258.</w:t>
      </w:r>
    </w:p>
  </w:footnote>
  <w:footnote w:id="5">
    <w:p w:rsidR="000C4E18" w:rsidRDefault="000C4E18">
      <w:pPr>
        <w:pStyle w:val="FootnoteText"/>
      </w:pPr>
      <w:r w:rsidRPr="000C4E18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0C4E18">
        <w:t>Norme ISO 7000, symbole 1641.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BC" w:rsidRPr="00311EBC" w:rsidRDefault="008C38E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2C2226">
      <w:t>ECE/TRANS/WP.29/GRE/2018/39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BC" w:rsidRPr="00311EBC" w:rsidRDefault="008C38E9" w:rsidP="00311EBC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C2226">
      <w:t>ECE/TRANS/WP.29/GRE/2018/39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3"/>
    <w:rsid w:val="00017F94"/>
    <w:rsid w:val="000219E7"/>
    <w:rsid w:val="00023842"/>
    <w:rsid w:val="000334F9"/>
    <w:rsid w:val="00045FEB"/>
    <w:rsid w:val="0007796D"/>
    <w:rsid w:val="000B7790"/>
    <w:rsid w:val="000C4E18"/>
    <w:rsid w:val="00111F2F"/>
    <w:rsid w:val="0014365E"/>
    <w:rsid w:val="00143C66"/>
    <w:rsid w:val="00176178"/>
    <w:rsid w:val="001E54E6"/>
    <w:rsid w:val="001F525A"/>
    <w:rsid w:val="00223272"/>
    <w:rsid w:val="0024779E"/>
    <w:rsid w:val="00257168"/>
    <w:rsid w:val="00270693"/>
    <w:rsid w:val="002744B8"/>
    <w:rsid w:val="002825AC"/>
    <w:rsid w:val="002832AC"/>
    <w:rsid w:val="002A3B21"/>
    <w:rsid w:val="002B23D2"/>
    <w:rsid w:val="002C2226"/>
    <w:rsid w:val="002D7C93"/>
    <w:rsid w:val="00305801"/>
    <w:rsid w:val="00311EBC"/>
    <w:rsid w:val="00353A01"/>
    <w:rsid w:val="003549F6"/>
    <w:rsid w:val="003916DE"/>
    <w:rsid w:val="003E5401"/>
    <w:rsid w:val="003F6058"/>
    <w:rsid w:val="00421996"/>
    <w:rsid w:val="00441C3B"/>
    <w:rsid w:val="00446FE5"/>
    <w:rsid w:val="00452396"/>
    <w:rsid w:val="004837D8"/>
    <w:rsid w:val="004A4D71"/>
    <w:rsid w:val="004A7732"/>
    <w:rsid w:val="004C61E4"/>
    <w:rsid w:val="004D6846"/>
    <w:rsid w:val="004E2EED"/>
    <w:rsid w:val="004E468C"/>
    <w:rsid w:val="004E6123"/>
    <w:rsid w:val="005505B7"/>
    <w:rsid w:val="00573BE5"/>
    <w:rsid w:val="00581905"/>
    <w:rsid w:val="00586ED3"/>
    <w:rsid w:val="00596AA9"/>
    <w:rsid w:val="0071601D"/>
    <w:rsid w:val="007A62E6"/>
    <w:rsid w:val="007F20FA"/>
    <w:rsid w:val="00803623"/>
    <w:rsid w:val="0080684C"/>
    <w:rsid w:val="00871C75"/>
    <w:rsid w:val="008776DC"/>
    <w:rsid w:val="008C38E9"/>
    <w:rsid w:val="009446C0"/>
    <w:rsid w:val="009705C8"/>
    <w:rsid w:val="009C1CF4"/>
    <w:rsid w:val="009F6B74"/>
    <w:rsid w:val="00A3029F"/>
    <w:rsid w:val="00A30353"/>
    <w:rsid w:val="00A836B1"/>
    <w:rsid w:val="00AC3823"/>
    <w:rsid w:val="00AE323C"/>
    <w:rsid w:val="00AF0CB5"/>
    <w:rsid w:val="00B00181"/>
    <w:rsid w:val="00B00B0D"/>
    <w:rsid w:val="00B45F2E"/>
    <w:rsid w:val="00B765F7"/>
    <w:rsid w:val="00BA0CA9"/>
    <w:rsid w:val="00BC3491"/>
    <w:rsid w:val="00BC36A2"/>
    <w:rsid w:val="00BD7B92"/>
    <w:rsid w:val="00BF7413"/>
    <w:rsid w:val="00C02897"/>
    <w:rsid w:val="00C75811"/>
    <w:rsid w:val="00C97039"/>
    <w:rsid w:val="00D3439C"/>
    <w:rsid w:val="00D954E0"/>
    <w:rsid w:val="00DB1831"/>
    <w:rsid w:val="00DB3342"/>
    <w:rsid w:val="00DB627D"/>
    <w:rsid w:val="00DC51CA"/>
    <w:rsid w:val="00DC5BBD"/>
    <w:rsid w:val="00DD3BFD"/>
    <w:rsid w:val="00DF6678"/>
    <w:rsid w:val="00E0299A"/>
    <w:rsid w:val="00E85C74"/>
    <w:rsid w:val="00EA6547"/>
    <w:rsid w:val="00ED4689"/>
    <w:rsid w:val="00EF2E22"/>
    <w:rsid w:val="00F2109B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1F4543-B6B7-4F80-A9EF-E0983F97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,PP,5_G_6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3F605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3F6058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4E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ilv.cie.co.at/term/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ECE/TRANS/WP.29/GRE/2018/39</vt:lpstr>
      <vt:lpstr>ECE/TRANS/WP.29/GRE/2018/39</vt:lpstr>
      <vt:lpstr>« Tableau 1  Caractéristiques</vt:lpstr>
    </vt:vector>
  </TitlesOfParts>
  <Company>DCM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ECE/TRANS/WP.29/GRE/2018/39</dc:title>
  <dc:subject/>
  <dc:creator>Maud DARICHE</dc:creator>
  <cp:keywords/>
  <cp:lastModifiedBy>Benedicte Boudol</cp:lastModifiedBy>
  <cp:revision>2</cp:revision>
  <cp:lastPrinted>2018-09-07T10:46:00Z</cp:lastPrinted>
  <dcterms:created xsi:type="dcterms:W3CDTF">2018-09-07T11:00:00Z</dcterms:created>
  <dcterms:modified xsi:type="dcterms:W3CDTF">2018-09-07T11:00:00Z</dcterms:modified>
</cp:coreProperties>
</file>