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77216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77216B" w:rsidP="0077216B">
            <w:pPr>
              <w:jc w:val="right"/>
            </w:pPr>
            <w:r w:rsidRPr="0077216B">
              <w:rPr>
                <w:sz w:val="40"/>
              </w:rPr>
              <w:t>ECE</w:t>
            </w:r>
            <w:r>
              <w:t>/TRANS/WP.29/GRE/2018/38</w:t>
            </w:r>
          </w:p>
        </w:tc>
      </w:tr>
      <w:tr w:rsidR="002D5AAC" w:rsidRPr="0077216B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77216B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77216B" w:rsidRDefault="0077216B" w:rsidP="0077216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10 August 2018</w:t>
            </w:r>
          </w:p>
          <w:p w:rsidR="0077216B" w:rsidRDefault="0077216B" w:rsidP="0077216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77216B" w:rsidRPr="008D53B6" w:rsidRDefault="0077216B" w:rsidP="0077216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77216B" w:rsidRPr="0077216B" w:rsidRDefault="0077216B" w:rsidP="00255343">
      <w:pPr>
        <w:spacing w:before="120"/>
        <w:rPr>
          <w:sz w:val="28"/>
          <w:szCs w:val="28"/>
        </w:rPr>
      </w:pPr>
      <w:r w:rsidRPr="0077216B">
        <w:rPr>
          <w:sz w:val="28"/>
          <w:szCs w:val="28"/>
        </w:rPr>
        <w:t>Комитет по внутреннему транспорту</w:t>
      </w:r>
    </w:p>
    <w:p w:rsidR="0077216B" w:rsidRPr="00066294" w:rsidRDefault="0077216B" w:rsidP="0077216B">
      <w:pPr>
        <w:spacing w:before="120"/>
        <w:rPr>
          <w:b/>
          <w:sz w:val="24"/>
          <w:szCs w:val="24"/>
        </w:rPr>
      </w:pPr>
      <w:r w:rsidRPr="00066294">
        <w:rPr>
          <w:b/>
          <w:sz w:val="24"/>
          <w:szCs w:val="24"/>
        </w:rPr>
        <w:t>Всемирный форум для согласования правил</w:t>
      </w:r>
      <w:r w:rsidRPr="00066294">
        <w:rPr>
          <w:b/>
          <w:sz w:val="24"/>
          <w:szCs w:val="24"/>
        </w:rPr>
        <w:br/>
        <w:t>в области транспортных средств</w:t>
      </w:r>
    </w:p>
    <w:p w:rsidR="0077216B" w:rsidRPr="00066294" w:rsidRDefault="0077216B" w:rsidP="0077216B">
      <w:pPr>
        <w:spacing w:before="120" w:after="120"/>
        <w:rPr>
          <w:b/>
          <w:bCs/>
        </w:rPr>
      </w:pPr>
      <w:r w:rsidRPr="00066294">
        <w:rPr>
          <w:b/>
          <w:bCs/>
        </w:rPr>
        <w:t>Рабочая группа по вопросам освещения</w:t>
      </w:r>
      <w:r w:rsidRPr="00066294">
        <w:rPr>
          <w:b/>
          <w:bCs/>
        </w:rPr>
        <w:br/>
        <w:t>и световой сигнализации</w:t>
      </w:r>
    </w:p>
    <w:p w:rsidR="0077216B" w:rsidRPr="00066294" w:rsidRDefault="0077216B" w:rsidP="0077216B">
      <w:pPr>
        <w:rPr>
          <w:b/>
        </w:rPr>
      </w:pPr>
      <w:r>
        <w:rPr>
          <w:b/>
        </w:rPr>
        <w:t xml:space="preserve">Восьмидесятая </w:t>
      </w:r>
      <w:r w:rsidRPr="00066294">
        <w:rPr>
          <w:b/>
        </w:rPr>
        <w:t>сессия</w:t>
      </w:r>
    </w:p>
    <w:p w:rsidR="0077216B" w:rsidRPr="00066294" w:rsidRDefault="0077216B" w:rsidP="0077216B">
      <w:pPr>
        <w:rPr>
          <w:bCs/>
        </w:rPr>
      </w:pPr>
      <w:r w:rsidRPr="00066294">
        <w:t>Женева, 2</w:t>
      </w:r>
      <w:r>
        <w:t>3</w:t>
      </w:r>
      <w:r w:rsidRPr="00066294">
        <w:t>–2</w:t>
      </w:r>
      <w:r>
        <w:t>6 октября</w:t>
      </w:r>
      <w:r w:rsidRPr="00066294">
        <w:t xml:space="preserve"> 2018 года</w:t>
      </w:r>
    </w:p>
    <w:p w:rsidR="0077216B" w:rsidRPr="00066294" w:rsidRDefault="0077216B" w:rsidP="0077216B">
      <w:pPr>
        <w:rPr>
          <w:bCs/>
        </w:rPr>
      </w:pPr>
      <w:r w:rsidRPr="00066294">
        <w:rPr>
          <w:bCs/>
        </w:rPr>
        <w:t>Пункт 4 предварительной повестки дня</w:t>
      </w:r>
    </w:p>
    <w:p w:rsidR="0077216B" w:rsidRPr="00DA722C" w:rsidRDefault="0077216B" w:rsidP="0077216B">
      <w:pPr>
        <w:ind w:right="1134"/>
        <w:rPr>
          <w:b/>
          <w:bCs/>
        </w:rPr>
      </w:pPr>
      <w:r w:rsidRPr="00DA722C">
        <w:rPr>
          <w:b/>
          <w:bCs/>
        </w:rPr>
        <w:t xml:space="preserve">Упрощение правил ООН, касающихся освещения </w:t>
      </w:r>
      <w:r>
        <w:rPr>
          <w:b/>
          <w:bCs/>
        </w:rPr>
        <w:br/>
      </w:r>
      <w:r w:rsidRPr="00DA722C">
        <w:rPr>
          <w:b/>
          <w:bCs/>
        </w:rPr>
        <w:t xml:space="preserve">и световой сигнализации </w:t>
      </w:r>
    </w:p>
    <w:p w:rsidR="0077216B" w:rsidRPr="00DA722C" w:rsidRDefault="0077216B" w:rsidP="0077216B">
      <w:pPr>
        <w:pStyle w:val="HChGR"/>
      </w:pPr>
      <w:r w:rsidRPr="00DA722C">
        <w:tab/>
      </w:r>
      <w:r w:rsidRPr="00DA722C">
        <w:tab/>
        <w:t xml:space="preserve">Предложение по усовершенствованию и уточнению текста </w:t>
      </w:r>
      <w:r>
        <w:t>п</w:t>
      </w:r>
      <w:r w:rsidRPr="00DA722C">
        <w:t xml:space="preserve">равил ООН, касающихся </w:t>
      </w:r>
      <w:r>
        <w:t>светоотражающих устройств (СОУ)</w:t>
      </w:r>
    </w:p>
    <w:p w:rsidR="0077216B" w:rsidRPr="00DA722C" w:rsidRDefault="0077216B" w:rsidP="0077216B">
      <w:pPr>
        <w:pStyle w:val="H1GR"/>
        <w:rPr>
          <w:szCs w:val="24"/>
        </w:rPr>
      </w:pPr>
      <w:r>
        <w:tab/>
      </w:r>
      <w:r>
        <w:tab/>
      </w:r>
      <w:r w:rsidRPr="00DA722C">
        <w:t xml:space="preserve">Представлено </w:t>
      </w:r>
      <w:r>
        <w:t>н</w:t>
      </w:r>
      <w:r w:rsidRPr="00DA722C">
        <w:t xml:space="preserve">еофициальной группой по упрощению правил, касающихся освещения </w:t>
      </w:r>
      <w:r>
        <w:t xml:space="preserve">и световой сигнализации (НРГ по </w:t>
      </w:r>
      <w:r w:rsidRPr="00DA722C">
        <w:t>УПО)</w:t>
      </w:r>
      <w:r w:rsidRPr="0077216B">
        <w:rPr>
          <w:b w:val="0"/>
          <w:sz w:val="20"/>
        </w:rPr>
        <w:footnoteReference w:customMarkFollows="1" w:id="1"/>
        <w:t>*</w:t>
      </w:r>
    </w:p>
    <w:p w:rsidR="0077216B" w:rsidRPr="00DA722C" w:rsidRDefault="0077216B" w:rsidP="0077216B">
      <w:pPr>
        <w:pStyle w:val="SingleTxtG"/>
        <w:ind w:firstLine="567"/>
        <w:rPr>
          <w:lang w:val="ru-RU"/>
        </w:rPr>
      </w:pPr>
      <w:r w:rsidRPr="00DA722C">
        <w:rPr>
          <w:lang w:val="ru-RU"/>
        </w:rPr>
        <w:t xml:space="preserve">Воспроизведенный ниже текст был подготовлен НРГ по УПО с целью усовершенствования и уточнения текста новых Правил ООН, касающихся </w:t>
      </w:r>
      <w:r>
        <w:rPr>
          <w:lang w:val="ru-RU"/>
        </w:rPr>
        <w:t>СОУ</w:t>
      </w:r>
      <w:r w:rsidRPr="00DA722C">
        <w:rPr>
          <w:lang w:val="ru-RU"/>
        </w:rPr>
        <w:t>.</w:t>
      </w:r>
      <w:r>
        <w:rPr>
          <w:lang w:val="ru-RU"/>
        </w:rPr>
        <w:t xml:space="preserve"> </w:t>
      </w:r>
      <w:r w:rsidRPr="009D5C75">
        <w:rPr>
          <w:lang w:val="ru-RU"/>
        </w:rPr>
        <w:t>Изменения</w:t>
      </w:r>
      <w:r w:rsidRPr="00DA722C">
        <w:rPr>
          <w:lang w:val="ru-RU"/>
        </w:rPr>
        <w:t xml:space="preserve"> </w:t>
      </w:r>
      <w:r w:rsidRPr="009D5C75">
        <w:rPr>
          <w:lang w:val="ru-RU"/>
        </w:rPr>
        <w:t>выделены</w:t>
      </w:r>
      <w:r w:rsidRPr="00DA722C">
        <w:rPr>
          <w:lang w:val="ru-RU"/>
        </w:rPr>
        <w:t xml:space="preserve"> </w:t>
      </w:r>
      <w:r w:rsidRPr="009D5C75">
        <w:rPr>
          <w:lang w:val="ru-RU"/>
        </w:rPr>
        <w:t>жирным</w:t>
      </w:r>
      <w:r w:rsidRPr="00DA722C">
        <w:rPr>
          <w:lang w:val="ru-RU"/>
        </w:rPr>
        <w:t xml:space="preserve"> </w:t>
      </w:r>
      <w:r w:rsidRPr="009D5C75">
        <w:rPr>
          <w:lang w:val="ru-RU"/>
        </w:rPr>
        <w:t>шрифтом</w:t>
      </w:r>
      <w:r w:rsidRPr="00DA722C">
        <w:rPr>
          <w:lang w:val="ru-RU"/>
        </w:rPr>
        <w:t xml:space="preserve"> </w:t>
      </w:r>
      <w:r>
        <w:rPr>
          <w:lang w:val="ru-RU"/>
        </w:rPr>
        <w:t>в</w:t>
      </w:r>
      <w:r w:rsidRPr="00DA722C">
        <w:rPr>
          <w:lang w:val="ru-RU"/>
        </w:rPr>
        <w:t xml:space="preserve"> </w:t>
      </w:r>
      <w:r>
        <w:rPr>
          <w:lang w:val="ru-RU"/>
        </w:rPr>
        <w:t>случае</w:t>
      </w:r>
      <w:r w:rsidRPr="00DA722C">
        <w:rPr>
          <w:lang w:val="ru-RU"/>
        </w:rPr>
        <w:t xml:space="preserve"> </w:t>
      </w:r>
      <w:r>
        <w:rPr>
          <w:lang w:val="ru-RU"/>
        </w:rPr>
        <w:t>новых</w:t>
      </w:r>
      <w:r w:rsidRPr="00DA722C">
        <w:rPr>
          <w:lang w:val="ru-RU"/>
        </w:rPr>
        <w:t xml:space="preserve"> </w:t>
      </w:r>
      <w:r>
        <w:rPr>
          <w:lang w:val="ru-RU"/>
        </w:rPr>
        <w:t>положений</w:t>
      </w:r>
      <w:r w:rsidRPr="00DA722C">
        <w:rPr>
          <w:lang w:val="ru-RU"/>
        </w:rPr>
        <w:t xml:space="preserve"> </w:t>
      </w:r>
      <w:r>
        <w:rPr>
          <w:lang w:val="ru-RU"/>
        </w:rPr>
        <w:t>и</w:t>
      </w:r>
      <w:r w:rsidRPr="00DA722C">
        <w:rPr>
          <w:lang w:val="ru-RU"/>
        </w:rPr>
        <w:t xml:space="preserve"> </w:t>
      </w:r>
      <w:r>
        <w:rPr>
          <w:lang w:val="ru-RU"/>
        </w:rPr>
        <w:t>зачеркиванием</w:t>
      </w:r>
      <w:r w:rsidRPr="00DA722C">
        <w:rPr>
          <w:lang w:val="ru-RU"/>
        </w:rPr>
        <w:t xml:space="preserve"> </w:t>
      </w:r>
      <w:r>
        <w:rPr>
          <w:lang w:val="ru-RU"/>
        </w:rPr>
        <w:t>в</w:t>
      </w:r>
      <w:r w:rsidRPr="00DA722C">
        <w:rPr>
          <w:lang w:val="ru-RU"/>
        </w:rPr>
        <w:t xml:space="preserve"> </w:t>
      </w:r>
      <w:r>
        <w:rPr>
          <w:lang w:val="ru-RU"/>
        </w:rPr>
        <w:t>случае</w:t>
      </w:r>
      <w:r w:rsidRPr="00DA722C">
        <w:rPr>
          <w:lang w:val="ru-RU"/>
        </w:rPr>
        <w:t xml:space="preserve"> </w:t>
      </w:r>
      <w:r>
        <w:rPr>
          <w:lang w:val="ru-RU"/>
        </w:rPr>
        <w:t>исключенных</w:t>
      </w:r>
      <w:r w:rsidRPr="00DA722C">
        <w:rPr>
          <w:lang w:val="ru-RU"/>
        </w:rPr>
        <w:t xml:space="preserve"> </w:t>
      </w:r>
      <w:r>
        <w:rPr>
          <w:lang w:val="ru-RU"/>
        </w:rPr>
        <w:t>элементов</w:t>
      </w:r>
      <w:r w:rsidRPr="00DA722C">
        <w:rPr>
          <w:lang w:val="ru-RU"/>
        </w:rPr>
        <w:t xml:space="preserve">. </w:t>
      </w:r>
    </w:p>
    <w:p w:rsidR="0077216B" w:rsidRPr="0077216B" w:rsidRDefault="0077216B" w:rsidP="0077216B">
      <w:pPr>
        <w:pStyle w:val="HChG"/>
        <w:rPr>
          <w:lang w:val="ru-RU"/>
        </w:rPr>
      </w:pPr>
      <w:r w:rsidRPr="0077216B">
        <w:rPr>
          <w:lang w:val="ru-RU"/>
        </w:rPr>
        <w:br w:type="page"/>
      </w:r>
      <w:r w:rsidRPr="0077216B">
        <w:rPr>
          <w:lang w:val="ru-RU"/>
        </w:rPr>
        <w:lastRenderedPageBreak/>
        <w:tab/>
      </w:r>
      <w:r w:rsidRPr="007958C9">
        <w:t>I</w:t>
      </w:r>
      <w:r w:rsidRPr="0077216B">
        <w:rPr>
          <w:lang w:val="ru-RU"/>
        </w:rPr>
        <w:t>.</w:t>
      </w:r>
      <w:r w:rsidRPr="0077216B">
        <w:rPr>
          <w:lang w:val="ru-RU"/>
        </w:rPr>
        <w:tab/>
      </w:r>
      <w:r>
        <w:rPr>
          <w:lang w:val="ru-RU"/>
        </w:rPr>
        <w:t>Предложение</w:t>
      </w:r>
    </w:p>
    <w:p w:rsidR="0077216B" w:rsidRPr="006256B8" w:rsidRDefault="0077216B" w:rsidP="0077216B">
      <w:pPr>
        <w:pStyle w:val="SingleTxtG"/>
        <w:ind w:left="2268" w:right="1133" w:hanging="1134"/>
      </w:pPr>
      <w:r>
        <w:rPr>
          <w:i/>
          <w:lang w:val="ru-RU" w:eastAsia="it-IT"/>
        </w:rPr>
        <w:t>Пункт</w:t>
      </w:r>
      <w:r w:rsidRPr="006256B8">
        <w:rPr>
          <w:i/>
        </w:rPr>
        <w:t xml:space="preserve"> 2.1 </w:t>
      </w:r>
      <w:r>
        <w:rPr>
          <w:lang w:val="ru-RU"/>
        </w:rPr>
        <w:t>изменить</w:t>
      </w:r>
      <w:r w:rsidRPr="00737E7C">
        <w:t xml:space="preserve"> </w:t>
      </w:r>
      <w:bookmarkStart w:id="1" w:name="OLE_LINK2"/>
      <w:bookmarkStart w:id="2" w:name="OLE_LINK3"/>
      <w:r>
        <w:rPr>
          <w:lang w:val="ru-RU"/>
        </w:rPr>
        <w:t>следующим</w:t>
      </w:r>
      <w:r w:rsidRPr="00737E7C">
        <w:t xml:space="preserve"> </w:t>
      </w:r>
      <w:r>
        <w:rPr>
          <w:lang w:val="ru-RU"/>
        </w:rPr>
        <w:t>образом</w:t>
      </w:r>
      <w:bookmarkEnd w:id="1"/>
      <w:bookmarkEnd w:id="2"/>
      <w:r w:rsidRPr="006256B8">
        <w:t>:</w:t>
      </w:r>
    </w:p>
    <w:p w:rsidR="0077216B" w:rsidRDefault="0077216B" w:rsidP="0077216B">
      <w:pPr>
        <w:pStyle w:val="SingleTxtG"/>
        <w:ind w:left="2268" w:right="1133" w:hanging="1134"/>
        <w:rPr>
          <w:lang w:val="ru-RU"/>
        </w:rPr>
      </w:pPr>
      <w:r w:rsidRPr="00737E7C">
        <w:rPr>
          <w:lang w:val="ru-RU"/>
        </w:rPr>
        <w:t>«2</w:t>
      </w:r>
      <w:r w:rsidRPr="00737E7C">
        <w:rPr>
          <w:bCs/>
          <w:lang w:val="ru-RU"/>
        </w:rPr>
        <w:t>.1</w:t>
      </w:r>
      <w:r w:rsidRPr="00737E7C">
        <w:rPr>
          <w:bCs/>
          <w:lang w:val="ru-RU"/>
        </w:rPr>
        <w:tab/>
      </w:r>
      <w:r w:rsidRPr="00737E7C">
        <w:rPr>
          <w:lang w:val="ru-RU"/>
        </w:rPr>
        <w:t>Применяются все определения, содержащиеся в последних сериях поправок к Правилам № 48 ООН, действующих на момент подачи</w:t>
      </w:r>
      <w:r>
        <w:t> </w:t>
      </w:r>
      <w:r w:rsidRPr="00737E7C">
        <w:rPr>
          <w:lang w:val="ru-RU"/>
        </w:rPr>
        <w:t xml:space="preserve">заявки на официальное утверждение типа, если не предусмотрено иное </w:t>
      </w:r>
      <w:r w:rsidRPr="00737E7C">
        <w:rPr>
          <w:b/>
          <w:bCs/>
          <w:lang w:val="ru-RU"/>
        </w:rPr>
        <w:t>в настоящих Правилах ООН или в надлежащих положениях, касающихся установки, в правилах № 53, 74 и 86 ООН</w:t>
      </w:r>
      <w:r w:rsidRPr="00737E7C">
        <w:rPr>
          <w:lang w:val="ru-RU"/>
        </w:rPr>
        <w:t xml:space="preserve">». </w:t>
      </w:r>
    </w:p>
    <w:p w:rsidR="0077216B" w:rsidRPr="00737E7C" w:rsidRDefault="0077216B" w:rsidP="0077216B">
      <w:pPr>
        <w:pStyle w:val="SingleTxtG"/>
        <w:ind w:left="2268" w:right="1133" w:hanging="1134"/>
        <w:rPr>
          <w:bCs/>
          <w:lang w:val="ru-RU"/>
        </w:rPr>
      </w:pPr>
      <w:r>
        <w:rPr>
          <w:bCs/>
          <w:i/>
          <w:lang w:val="ru-RU"/>
        </w:rPr>
        <w:t>Пункты</w:t>
      </w:r>
      <w:r w:rsidRPr="00737E7C">
        <w:rPr>
          <w:bCs/>
          <w:i/>
          <w:lang w:val="ru-RU"/>
        </w:rPr>
        <w:t xml:space="preserve"> 4.1.6 </w:t>
      </w:r>
      <w:r>
        <w:rPr>
          <w:bCs/>
          <w:i/>
          <w:lang w:val="ru-RU"/>
        </w:rPr>
        <w:t>и</w:t>
      </w:r>
      <w:r w:rsidRPr="00737E7C">
        <w:rPr>
          <w:bCs/>
          <w:i/>
          <w:lang w:val="ru-RU"/>
        </w:rPr>
        <w:t xml:space="preserve"> 4.1.7</w:t>
      </w:r>
      <w:r w:rsidRPr="00737E7C">
        <w:rPr>
          <w:bCs/>
          <w:lang w:val="ru-RU"/>
        </w:rPr>
        <w:t xml:space="preserve"> </w:t>
      </w:r>
      <w:bookmarkStart w:id="3" w:name="OLE_LINK4"/>
      <w:bookmarkStart w:id="4" w:name="OLE_LINK5"/>
      <w:r>
        <w:rPr>
          <w:bCs/>
          <w:lang w:val="ru-RU"/>
        </w:rPr>
        <w:t xml:space="preserve">изменить </w:t>
      </w:r>
      <w:r>
        <w:rPr>
          <w:lang w:val="ru-RU"/>
        </w:rPr>
        <w:t>следующим</w:t>
      </w:r>
      <w:r w:rsidRPr="00737E7C">
        <w:rPr>
          <w:lang w:val="ru-RU"/>
        </w:rPr>
        <w:t xml:space="preserve"> </w:t>
      </w:r>
      <w:r>
        <w:rPr>
          <w:lang w:val="ru-RU"/>
        </w:rPr>
        <w:t>образом</w:t>
      </w:r>
      <w:bookmarkEnd w:id="3"/>
      <w:bookmarkEnd w:id="4"/>
      <w:r w:rsidRPr="00737E7C">
        <w:rPr>
          <w:bCs/>
          <w:lang w:val="ru-RU"/>
        </w:rPr>
        <w:t>:</w:t>
      </w:r>
    </w:p>
    <w:p w:rsidR="0077216B" w:rsidRPr="00737E7C" w:rsidRDefault="0077216B" w:rsidP="0077216B">
      <w:pPr>
        <w:pStyle w:val="SingleTxtG"/>
        <w:ind w:left="2268" w:right="1133" w:hanging="1134"/>
        <w:rPr>
          <w:b/>
          <w:lang w:val="ru-RU"/>
        </w:rPr>
      </w:pPr>
      <w:r>
        <w:rPr>
          <w:lang w:val="ru-RU" w:eastAsia="en-GB"/>
        </w:rPr>
        <w:t>«</w:t>
      </w:r>
      <w:r w:rsidRPr="00737E7C">
        <w:rPr>
          <w:lang w:val="ru-RU"/>
        </w:rPr>
        <w:t>4.1.6</w:t>
      </w:r>
      <w:r w:rsidRPr="00737E7C">
        <w:rPr>
          <w:lang w:val="ru-RU"/>
        </w:rPr>
        <w:tab/>
      </w:r>
      <w:r w:rsidRPr="00737E7C">
        <w:rPr>
          <w:b/>
          <w:bCs/>
          <w:lang w:val="ru-RU"/>
        </w:rPr>
        <w:t>В случае светоотражателей</w:t>
      </w:r>
    </w:p>
    <w:p w:rsidR="0077216B" w:rsidRPr="00737E7C" w:rsidRDefault="0077216B" w:rsidP="0077216B">
      <w:pPr>
        <w:pStyle w:val="SingleTxtG"/>
        <w:ind w:left="2268" w:right="1133" w:hanging="1134"/>
        <w:rPr>
          <w:lang w:val="ru-RU"/>
        </w:rPr>
      </w:pPr>
      <w:r w:rsidRPr="00737E7C">
        <w:rPr>
          <w:b/>
          <w:lang w:val="ru-RU"/>
        </w:rPr>
        <w:t>4.1.6.1</w:t>
      </w:r>
      <w:r w:rsidRPr="00737E7C">
        <w:rPr>
          <w:b/>
          <w:lang w:val="ru-RU"/>
        </w:rPr>
        <w:tab/>
      </w:r>
      <w:r w:rsidRPr="00737E7C">
        <w:rPr>
          <w:lang w:val="ru-RU"/>
        </w:rPr>
        <w:t>Светоотражающие приспособления могут состоять из светоотражающего оптического устройства и фильтра, сконструированных таким образом, чтобы их нельзя было разъединить в нормальных условиях эксплуатации.</w:t>
      </w:r>
    </w:p>
    <w:p w:rsidR="0077216B" w:rsidRPr="00737E7C" w:rsidRDefault="0077216B" w:rsidP="0077216B">
      <w:pPr>
        <w:pStyle w:val="SingleTxtG"/>
        <w:ind w:left="2268" w:right="1133" w:hanging="1134"/>
        <w:rPr>
          <w:bCs/>
          <w:lang w:val="ru-RU"/>
        </w:rPr>
      </w:pPr>
      <w:r w:rsidRPr="00737E7C">
        <w:rPr>
          <w:lang w:val="ru-RU"/>
        </w:rPr>
        <w:t>4.1.</w:t>
      </w:r>
      <w:r w:rsidRPr="00737E7C">
        <w:rPr>
          <w:strike/>
          <w:lang w:val="ru-RU"/>
        </w:rPr>
        <w:t>7</w:t>
      </w:r>
      <w:r>
        <w:rPr>
          <w:strike/>
          <w:lang w:val="ru-RU"/>
        </w:rPr>
        <w:t>.</w:t>
      </w:r>
      <w:r w:rsidRPr="00737E7C">
        <w:rPr>
          <w:b/>
          <w:lang w:val="ru-RU"/>
        </w:rPr>
        <w:t>6.2</w:t>
      </w:r>
      <w:r w:rsidRPr="00737E7C">
        <w:rPr>
          <w:lang w:val="ru-RU"/>
        </w:rPr>
        <w:tab/>
        <w:t>Окрашивани</w:t>
      </w:r>
      <w:r>
        <w:rPr>
          <w:lang w:val="ru-RU"/>
        </w:rPr>
        <w:t>я</w:t>
      </w:r>
      <w:r w:rsidRPr="00737E7C">
        <w:rPr>
          <w:lang w:val="ru-RU"/>
        </w:rPr>
        <w:t xml:space="preserve"> светоотражающих оптических устройств и фильтров при помощи краски или лака не допускается</w:t>
      </w:r>
      <w:r>
        <w:rPr>
          <w:lang w:val="ru-RU"/>
        </w:rPr>
        <w:t>».</w:t>
      </w:r>
    </w:p>
    <w:p w:rsidR="0077216B" w:rsidRPr="00737E7C" w:rsidRDefault="0077216B" w:rsidP="0077216B">
      <w:pPr>
        <w:pStyle w:val="SingleTxtG"/>
        <w:ind w:left="2268" w:right="1133" w:hanging="1134"/>
        <w:rPr>
          <w:lang w:val="ru-RU"/>
        </w:rPr>
      </w:pPr>
      <w:r>
        <w:rPr>
          <w:bCs/>
          <w:i/>
          <w:lang w:val="ru-RU"/>
        </w:rPr>
        <w:t>Пункт</w:t>
      </w:r>
      <w:r w:rsidRPr="00737E7C">
        <w:rPr>
          <w:i/>
          <w:lang w:val="ru-RU"/>
        </w:rPr>
        <w:t xml:space="preserve"> 5.4 </w:t>
      </w:r>
      <w:r>
        <w:rPr>
          <w:bCs/>
          <w:lang w:val="ru-RU"/>
        </w:rPr>
        <w:t xml:space="preserve">изменить </w:t>
      </w:r>
      <w:r>
        <w:rPr>
          <w:lang w:val="ru-RU"/>
        </w:rPr>
        <w:t>следующим</w:t>
      </w:r>
      <w:r w:rsidRPr="00737E7C">
        <w:rPr>
          <w:lang w:val="ru-RU"/>
        </w:rPr>
        <w:t xml:space="preserve"> </w:t>
      </w:r>
      <w:r>
        <w:rPr>
          <w:lang w:val="ru-RU"/>
        </w:rPr>
        <w:t>образом</w:t>
      </w:r>
      <w:r w:rsidRPr="00737E7C">
        <w:rPr>
          <w:lang w:val="ru-RU"/>
        </w:rPr>
        <w:t>:</w:t>
      </w:r>
    </w:p>
    <w:p w:rsidR="0077216B" w:rsidRDefault="0077216B" w:rsidP="0077216B">
      <w:pPr>
        <w:widowControl w:val="0"/>
        <w:spacing w:after="120"/>
        <w:ind w:left="2268" w:right="1133" w:hanging="1134"/>
        <w:jc w:val="both"/>
      </w:pPr>
      <w:r>
        <w:t>«</w:t>
      </w:r>
      <w:r w:rsidRPr="00737E7C">
        <w:t>5.4</w:t>
      </w:r>
      <w:r w:rsidRPr="00737E7C">
        <w:tab/>
        <w:t xml:space="preserve">ТЕХНИЧЕСКИЕ ТРЕБОВАНИЯ В ОТНОШЕНИИ СВЕТООТРАЖАЮЩЕЙ МАРКИРОВКИ КЛАССОВ </w:t>
      </w:r>
      <w:r>
        <w:t>C</w:t>
      </w:r>
      <w:r w:rsidRPr="00737E7C">
        <w:t xml:space="preserve"> </w:t>
      </w:r>
      <w:r w:rsidRPr="00737E7C">
        <w:rPr>
          <w:b/>
          <w:bCs/>
        </w:rPr>
        <w:t>И</w:t>
      </w:r>
      <w:r>
        <w:t xml:space="preserve"> </w:t>
      </w:r>
      <w:r w:rsidRPr="006256B8">
        <w:rPr>
          <w:b/>
          <w:lang w:val="en-GB"/>
        </w:rPr>
        <w:t>F</w:t>
      </w:r>
      <w:r w:rsidRPr="00737E7C">
        <w:t xml:space="preserve"> (ОБОЗНАЧЕНИЯ </w:t>
      </w:r>
      <w:r w:rsidRPr="006256B8">
        <w:rPr>
          <w:lang w:eastAsia="en-GB"/>
        </w:rPr>
        <w:t>"</w:t>
      </w:r>
      <w:r>
        <w:t>C</w:t>
      </w:r>
      <w:r w:rsidRPr="006256B8">
        <w:rPr>
          <w:lang w:eastAsia="en-GB"/>
        </w:rPr>
        <w:t>"</w:t>
      </w:r>
      <w:r w:rsidRPr="00737E7C">
        <w:rPr>
          <w:b/>
        </w:rPr>
        <w:t xml:space="preserve"> </w:t>
      </w:r>
      <w:r>
        <w:rPr>
          <w:b/>
        </w:rPr>
        <w:t xml:space="preserve">И </w:t>
      </w:r>
      <w:r w:rsidRPr="006256B8">
        <w:rPr>
          <w:lang w:eastAsia="en-GB"/>
        </w:rPr>
        <w:t>"</w:t>
      </w:r>
      <w:r w:rsidRPr="006256B8">
        <w:rPr>
          <w:b/>
          <w:lang w:val="en-GB"/>
        </w:rPr>
        <w:t>F</w:t>
      </w:r>
      <w:r w:rsidRPr="006256B8">
        <w:rPr>
          <w:lang w:eastAsia="en-GB"/>
        </w:rPr>
        <w:t>"</w:t>
      </w:r>
      <w:r>
        <w:t>)».</w:t>
      </w:r>
    </w:p>
    <w:p w:rsidR="0077216B" w:rsidRPr="006256B8" w:rsidRDefault="0077216B" w:rsidP="0077216B">
      <w:pPr>
        <w:pStyle w:val="SingleTxtG"/>
        <w:ind w:left="2268" w:right="1133" w:hanging="1134"/>
      </w:pPr>
      <w:r>
        <w:rPr>
          <w:i/>
          <w:lang w:val="ru-RU"/>
        </w:rPr>
        <w:t>Приложение</w:t>
      </w:r>
      <w:r w:rsidRPr="006256B8">
        <w:rPr>
          <w:i/>
        </w:rPr>
        <w:t xml:space="preserve"> 7</w:t>
      </w:r>
      <w:r w:rsidRPr="00737E7C">
        <w:rPr>
          <w:bCs/>
        </w:rPr>
        <w:t xml:space="preserve"> </w:t>
      </w:r>
      <w:r>
        <w:rPr>
          <w:bCs/>
          <w:lang w:val="ru-RU"/>
        </w:rPr>
        <w:t>изменить</w:t>
      </w:r>
      <w:r w:rsidRPr="00737E7C">
        <w:rPr>
          <w:bCs/>
        </w:rPr>
        <w:t xml:space="preserve"> </w:t>
      </w:r>
      <w:r>
        <w:rPr>
          <w:lang w:val="ru-RU"/>
        </w:rPr>
        <w:t>следующим</w:t>
      </w:r>
      <w:r w:rsidRPr="00737E7C">
        <w:t xml:space="preserve"> </w:t>
      </w:r>
      <w:r>
        <w:rPr>
          <w:lang w:val="ru-RU"/>
        </w:rPr>
        <w:t>образом</w:t>
      </w:r>
      <w:r w:rsidRPr="006256B8">
        <w:t>:</w:t>
      </w:r>
    </w:p>
    <w:p w:rsidR="0077216B" w:rsidRPr="00737E7C" w:rsidRDefault="0077216B" w:rsidP="0077216B">
      <w:pPr>
        <w:pStyle w:val="HChG"/>
        <w:ind w:right="1467" w:firstLine="0"/>
        <w:rPr>
          <w:rFonts w:eastAsia="Times New Roman"/>
          <w:lang w:val="ru-RU"/>
        </w:rPr>
      </w:pPr>
      <w:r w:rsidRPr="0077216B">
        <w:rPr>
          <w:rFonts w:eastAsia="Times New Roman"/>
          <w:b w:val="0"/>
          <w:sz w:val="20"/>
          <w:lang w:val="ru-RU"/>
        </w:rPr>
        <w:t>«</w:t>
      </w:r>
      <w:r w:rsidRPr="00737E7C">
        <w:rPr>
          <w:lang w:val="ru-RU"/>
        </w:rPr>
        <w:t>Испыт</w:t>
      </w:r>
      <w:r>
        <w:rPr>
          <w:lang w:val="ru-RU"/>
        </w:rPr>
        <w:t>ание на водонепроницаемость для </w:t>
      </w:r>
      <w:r w:rsidRPr="00737E7C">
        <w:rPr>
          <w:lang w:val="ru-RU"/>
        </w:rPr>
        <w:t xml:space="preserve">светоотражающих приспособлений </w:t>
      </w:r>
      <w:r>
        <w:rPr>
          <w:strike/>
          <w:lang w:val="ru-RU"/>
        </w:rPr>
        <w:t>и </w:t>
      </w:r>
      <w:r w:rsidRPr="00737E7C">
        <w:rPr>
          <w:strike/>
          <w:lang w:val="ru-RU"/>
        </w:rPr>
        <w:t>предупреждающих треугольников</w:t>
      </w:r>
    </w:p>
    <w:p w:rsidR="0077216B" w:rsidRPr="00D671F4" w:rsidRDefault="0077216B" w:rsidP="0077216B">
      <w:pPr>
        <w:widowControl w:val="0"/>
        <w:spacing w:after="120"/>
        <w:ind w:left="2268" w:right="1467" w:hanging="1134"/>
        <w:jc w:val="both"/>
        <w:rPr>
          <w:b/>
        </w:rPr>
      </w:pPr>
      <w:r w:rsidRPr="00D671F4">
        <w:t>1.</w:t>
      </w:r>
      <w:r w:rsidRPr="00D671F4">
        <w:tab/>
        <w:t xml:space="preserve">ИСПЫТАНИЕ ДЛЯ </w:t>
      </w:r>
      <w:r w:rsidRPr="00D671F4">
        <w:rPr>
          <w:strike/>
        </w:rPr>
        <w:t>СВЕТООТРАЖАЮЩИХ ПРИСПОСОБЛЕНИЙ</w:t>
      </w:r>
      <w:r w:rsidRPr="00D671F4">
        <w:t xml:space="preserve"> </w:t>
      </w:r>
      <w:r>
        <w:t xml:space="preserve">СВЕТООТРАЖАТЕЛЕЙ </w:t>
      </w:r>
      <w:r w:rsidRPr="00D671F4">
        <w:rPr>
          <w:b/>
          <w:bCs/>
        </w:rPr>
        <w:t>И СВЕТООТРАЖАЮЩЕЙ МАРКИРОВКИ</w:t>
      </w:r>
    </w:p>
    <w:p w:rsidR="0077216B" w:rsidRPr="0077216B" w:rsidRDefault="0077216B" w:rsidP="0077216B">
      <w:pPr>
        <w:widowControl w:val="0"/>
        <w:spacing w:after="120"/>
        <w:ind w:left="2268" w:right="1467" w:hanging="1134"/>
        <w:jc w:val="both"/>
      </w:pPr>
      <w:r w:rsidRPr="0077216B">
        <w:t>…</w:t>
      </w:r>
    </w:p>
    <w:p w:rsidR="0077216B" w:rsidRPr="0077216B" w:rsidRDefault="0077216B" w:rsidP="0077216B">
      <w:pPr>
        <w:widowControl w:val="0"/>
        <w:spacing w:after="120"/>
        <w:ind w:left="2268" w:right="1467" w:hanging="1134"/>
        <w:jc w:val="both"/>
        <w:rPr>
          <w:b/>
        </w:rPr>
      </w:pPr>
      <w:r w:rsidRPr="0077216B">
        <w:rPr>
          <w:b/>
        </w:rPr>
        <w:t>3.</w:t>
      </w:r>
      <w:r w:rsidRPr="0077216B">
        <w:rPr>
          <w:b/>
        </w:rPr>
        <w:tab/>
      </w:r>
      <w:r>
        <w:rPr>
          <w:b/>
        </w:rPr>
        <w:t>ИСПЫТАНИЕ</w:t>
      </w:r>
      <w:r w:rsidRPr="0077216B">
        <w:rPr>
          <w:b/>
        </w:rPr>
        <w:t xml:space="preserve"> </w:t>
      </w:r>
      <w:r>
        <w:rPr>
          <w:b/>
        </w:rPr>
        <w:t>ДЛЯ</w:t>
      </w:r>
      <w:r w:rsidRPr="0077216B">
        <w:rPr>
          <w:b/>
        </w:rPr>
        <w:t xml:space="preserve"> </w:t>
      </w:r>
      <w:r>
        <w:rPr>
          <w:b/>
        </w:rPr>
        <w:t>ОПОЗНАВАТЕЛЬНЫХ</w:t>
      </w:r>
      <w:r w:rsidRPr="0077216B">
        <w:rPr>
          <w:b/>
        </w:rPr>
        <w:t xml:space="preserve"> </w:t>
      </w:r>
      <w:r>
        <w:rPr>
          <w:b/>
        </w:rPr>
        <w:t>ЗНАКОВ</w:t>
      </w:r>
    </w:p>
    <w:p w:rsidR="0077216B" w:rsidRPr="0077216B" w:rsidRDefault="0077216B" w:rsidP="0077216B">
      <w:pPr>
        <w:widowControl w:val="0"/>
        <w:spacing w:after="120"/>
        <w:ind w:left="2268" w:right="1467" w:hanging="1134"/>
        <w:jc w:val="both"/>
        <w:rPr>
          <w:b/>
          <w:bCs/>
        </w:rPr>
      </w:pPr>
      <w:r w:rsidRPr="0077216B">
        <w:rPr>
          <w:b/>
        </w:rPr>
        <w:t>3.1</w:t>
      </w:r>
      <w:r w:rsidRPr="0077216B">
        <w:rPr>
          <w:b/>
        </w:rPr>
        <w:tab/>
      </w:r>
      <w:r w:rsidRPr="00D671F4">
        <w:rPr>
          <w:b/>
          <w:bCs/>
        </w:rPr>
        <w:t>Водостойкость</w:t>
      </w:r>
    </w:p>
    <w:p w:rsidR="0077216B" w:rsidRPr="00D671F4" w:rsidRDefault="0077216B" w:rsidP="0077216B">
      <w:pPr>
        <w:widowControl w:val="0"/>
        <w:spacing w:after="120"/>
        <w:ind w:left="2268" w:right="1467"/>
        <w:jc w:val="both"/>
        <w:rPr>
          <w:b/>
          <w:bCs/>
        </w:rPr>
      </w:pPr>
      <w:r w:rsidRPr="00D671F4">
        <w:rPr>
          <w:b/>
          <w:bCs/>
        </w:rPr>
        <w:t>Часть образца длиной не менее 300 мм погружается на 18 часов в дистиллированную воду с температурой 23° ± 5° С; после этого данная часть образца высушивается при нормальных лабораторных условиях в течение 24 часов.</w:t>
      </w:r>
    </w:p>
    <w:p w:rsidR="0077216B" w:rsidRPr="00A02450" w:rsidRDefault="0077216B" w:rsidP="0077216B">
      <w:pPr>
        <w:widowControl w:val="0"/>
        <w:spacing w:after="120"/>
        <w:ind w:left="2268" w:right="1467"/>
        <w:jc w:val="both"/>
        <w:rPr>
          <w:bCs/>
        </w:rPr>
      </w:pPr>
      <w:r w:rsidRPr="00D671F4">
        <w:rPr>
          <w:b/>
          <w:bCs/>
        </w:rPr>
        <w:t>После завершения испытания данная часть образца осматривается. На расстоянии 10 мм от среза не должно быть признаков разрушения, которое могло бы сказаться на характеристиках знака</w:t>
      </w:r>
      <w:r w:rsidRPr="00A02450">
        <w:rPr>
          <w:bCs/>
        </w:rPr>
        <w:t xml:space="preserve">». </w:t>
      </w:r>
    </w:p>
    <w:p w:rsidR="0077216B" w:rsidRPr="00832C57" w:rsidRDefault="0077216B" w:rsidP="0077216B">
      <w:pPr>
        <w:pStyle w:val="HChG"/>
        <w:tabs>
          <w:tab w:val="clear" w:pos="851"/>
        </w:tabs>
        <w:ind w:hanging="567"/>
        <w:rPr>
          <w:szCs w:val="22"/>
          <w:lang w:val="ru-RU"/>
        </w:rPr>
      </w:pPr>
      <w:r w:rsidRPr="007958C9">
        <w:t>II</w:t>
      </w:r>
      <w:r w:rsidRPr="00832C57">
        <w:rPr>
          <w:lang w:val="ru-RU"/>
        </w:rPr>
        <w:t>.</w:t>
      </w:r>
      <w:r w:rsidRPr="00832C57">
        <w:rPr>
          <w:lang w:val="ru-RU"/>
        </w:rPr>
        <w:tab/>
      </w:r>
      <w:r>
        <w:rPr>
          <w:lang w:val="ru-RU"/>
        </w:rPr>
        <w:t>Обоснование</w:t>
      </w:r>
    </w:p>
    <w:p w:rsidR="0077216B" w:rsidRPr="00832C57" w:rsidRDefault="0077216B" w:rsidP="0077216B">
      <w:pPr>
        <w:spacing w:after="120"/>
        <w:ind w:left="1134" w:right="1134"/>
        <w:jc w:val="both"/>
        <w:rPr>
          <w:i/>
        </w:rPr>
      </w:pPr>
      <w:r>
        <w:rPr>
          <w:i/>
        </w:rPr>
        <w:t>Пункт</w:t>
      </w:r>
      <w:r w:rsidRPr="00832C57">
        <w:rPr>
          <w:i/>
        </w:rPr>
        <w:t xml:space="preserve"> 2.1</w:t>
      </w:r>
    </w:p>
    <w:p w:rsidR="0077216B" w:rsidRDefault="0077216B" w:rsidP="0077216B">
      <w:pPr>
        <w:spacing w:after="120"/>
        <w:ind w:left="1134" w:right="1134"/>
        <w:jc w:val="both"/>
      </w:pPr>
      <w:r w:rsidRPr="00832C57">
        <w:t>1.</w:t>
      </w:r>
      <w:r w:rsidRPr="00832C57">
        <w:tab/>
        <w:t xml:space="preserve">Хотя формулировка «если не предусмотрено иное» уже и </w:t>
      </w:r>
      <w:r>
        <w:t>содержится</w:t>
      </w:r>
      <w:r w:rsidRPr="00832C57">
        <w:t xml:space="preserve"> в тексте, НРГ по УПО сочла, что для ясности было бы уместно указать в пункте, содержащем определения, правила ООН, касающиеся других категорий транспортных средств. </w:t>
      </w:r>
    </w:p>
    <w:p w:rsidR="0077216B" w:rsidRPr="0077216B" w:rsidRDefault="0077216B" w:rsidP="0077216B">
      <w:pPr>
        <w:pStyle w:val="endnotetable"/>
        <w:pageBreakBefore/>
        <w:spacing w:after="120"/>
        <w:ind w:firstLine="0"/>
        <w:jc w:val="both"/>
        <w:rPr>
          <w:bCs/>
          <w:i/>
          <w:sz w:val="20"/>
          <w:szCs w:val="20"/>
          <w:lang w:val="ru-RU"/>
        </w:rPr>
      </w:pPr>
      <w:r>
        <w:rPr>
          <w:bCs/>
          <w:i/>
          <w:sz w:val="20"/>
          <w:szCs w:val="20"/>
          <w:lang w:val="ru-RU"/>
        </w:rPr>
        <w:lastRenderedPageBreak/>
        <w:t>Пункты</w:t>
      </w:r>
      <w:r w:rsidRPr="0077216B">
        <w:rPr>
          <w:bCs/>
          <w:i/>
          <w:sz w:val="20"/>
          <w:szCs w:val="20"/>
          <w:lang w:val="ru-RU"/>
        </w:rPr>
        <w:t xml:space="preserve"> 4.1.6 </w:t>
      </w:r>
      <w:r>
        <w:rPr>
          <w:bCs/>
          <w:i/>
          <w:sz w:val="20"/>
          <w:szCs w:val="20"/>
          <w:lang w:val="ru-RU"/>
        </w:rPr>
        <w:t>и</w:t>
      </w:r>
      <w:r w:rsidRPr="0077216B">
        <w:rPr>
          <w:bCs/>
          <w:i/>
          <w:sz w:val="20"/>
          <w:szCs w:val="20"/>
          <w:lang w:val="ru-RU"/>
        </w:rPr>
        <w:t xml:space="preserve"> 4.1.7</w:t>
      </w:r>
    </w:p>
    <w:p w:rsidR="0077216B" w:rsidRPr="00832C57" w:rsidRDefault="0077216B" w:rsidP="0077216B">
      <w:pPr>
        <w:spacing w:after="120"/>
        <w:ind w:left="1134" w:right="1134"/>
        <w:jc w:val="both"/>
      </w:pPr>
      <w:r w:rsidRPr="00832C57">
        <w:t>2.</w:t>
      </w:r>
      <w:r w:rsidRPr="00832C57">
        <w:tab/>
      </w:r>
      <w:r>
        <w:t>Эти</w:t>
      </w:r>
      <w:r w:rsidRPr="00832C57">
        <w:t xml:space="preserve"> </w:t>
      </w:r>
      <w:r>
        <w:t>пункты</w:t>
      </w:r>
      <w:r w:rsidRPr="00832C57">
        <w:t xml:space="preserve"> </w:t>
      </w:r>
      <w:r>
        <w:t>применимы</w:t>
      </w:r>
      <w:r w:rsidRPr="00832C57">
        <w:t xml:space="preserve"> </w:t>
      </w:r>
      <w:r>
        <w:t>только</w:t>
      </w:r>
      <w:r w:rsidRPr="00832C57">
        <w:t xml:space="preserve"> </w:t>
      </w:r>
      <w:r>
        <w:t>к</w:t>
      </w:r>
      <w:r w:rsidRPr="00832C57">
        <w:t xml:space="preserve"> </w:t>
      </w:r>
      <w:r>
        <w:t>светоотражателям</w:t>
      </w:r>
      <w:r w:rsidRPr="00832C57">
        <w:t xml:space="preserve">, </w:t>
      </w:r>
      <w:r>
        <w:t>указанным</w:t>
      </w:r>
      <w:r w:rsidRPr="00832C57">
        <w:t xml:space="preserve"> </w:t>
      </w:r>
      <w:r>
        <w:t>в</w:t>
      </w:r>
      <w:r w:rsidRPr="00832C57">
        <w:t xml:space="preserve"> </w:t>
      </w:r>
      <w:r>
        <w:t>Правилах № </w:t>
      </w:r>
      <w:r w:rsidRPr="00832C57">
        <w:t xml:space="preserve">3, </w:t>
      </w:r>
      <w:r>
        <w:t>а</w:t>
      </w:r>
      <w:r w:rsidRPr="00832C57">
        <w:t xml:space="preserve"> </w:t>
      </w:r>
      <w:r>
        <w:t>не</w:t>
      </w:r>
      <w:r w:rsidRPr="00832C57">
        <w:t xml:space="preserve"> </w:t>
      </w:r>
      <w:r>
        <w:t>ко</w:t>
      </w:r>
      <w:r w:rsidRPr="00832C57">
        <w:t xml:space="preserve"> </w:t>
      </w:r>
      <w:r>
        <w:t>всем</w:t>
      </w:r>
      <w:r w:rsidRPr="00832C57">
        <w:t xml:space="preserve"> </w:t>
      </w:r>
      <w:r>
        <w:t>светоотражающим приспособлениям</w:t>
      </w:r>
      <w:r w:rsidRPr="00832C57">
        <w:t>.</w:t>
      </w:r>
    </w:p>
    <w:p w:rsidR="0077216B" w:rsidRPr="00832C57" w:rsidRDefault="0077216B" w:rsidP="0077216B">
      <w:pPr>
        <w:pStyle w:val="endnotetable"/>
        <w:spacing w:after="120"/>
        <w:ind w:firstLine="0"/>
        <w:jc w:val="both"/>
        <w:rPr>
          <w:bCs/>
          <w:i/>
          <w:sz w:val="20"/>
          <w:szCs w:val="20"/>
          <w:lang w:val="ru-RU"/>
        </w:rPr>
      </w:pPr>
      <w:r>
        <w:rPr>
          <w:bCs/>
          <w:i/>
          <w:sz w:val="20"/>
          <w:szCs w:val="20"/>
          <w:lang w:val="ru-RU"/>
        </w:rPr>
        <w:t>Пункт</w:t>
      </w:r>
      <w:r w:rsidRPr="00832C57">
        <w:rPr>
          <w:bCs/>
          <w:i/>
          <w:sz w:val="20"/>
          <w:szCs w:val="20"/>
          <w:lang w:val="ru-RU"/>
        </w:rPr>
        <w:t xml:space="preserve"> 5.4</w:t>
      </w:r>
    </w:p>
    <w:p w:rsidR="0077216B" w:rsidRPr="00832C57" w:rsidRDefault="0077216B" w:rsidP="0077216B">
      <w:pPr>
        <w:spacing w:after="120"/>
        <w:ind w:left="1134" w:right="1134"/>
        <w:jc w:val="both"/>
      </w:pPr>
      <w:r w:rsidRPr="00832C57">
        <w:t>3.</w:t>
      </w:r>
      <w:r w:rsidRPr="00832C57">
        <w:tab/>
      </w:r>
      <w:r w:rsidRPr="008C5001">
        <w:rPr>
          <w:lang w:val="en-GB"/>
        </w:rPr>
        <w:t>T</w:t>
      </w:r>
      <w:r>
        <w:t>екст пункта</w:t>
      </w:r>
      <w:r w:rsidRPr="00832C57">
        <w:t xml:space="preserve"> 5.4</w:t>
      </w:r>
      <w:r>
        <w:t xml:space="preserve"> касается классов </w:t>
      </w:r>
      <w:r w:rsidRPr="008C5001">
        <w:rPr>
          <w:lang w:val="en-GB"/>
        </w:rPr>
        <w:t>C</w:t>
      </w:r>
      <w:r w:rsidRPr="00832C57">
        <w:t xml:space="preserve"> </w:t>
      </w:r>
      <w:r>
        <w:t>и</w:t>
      </w:r>
      <w:r w:rsidRPr="00832C57">
        <w:t xml:space="preserve"> </w:t>
      </w:r>
      <w:r w:rsidRPr="008C5001">
        <w:rPr>
          <w:lang w:val="en-GB"/>
        </w:rPr>
        <w:t>F</w:t>
      </w:r>
      <w:r>
        <w:t>, а в заголовке ошибочно упоминается только о классе</w:t>
      </w:r>
      <w:r w:rsidRPr="00832C57">
        <w:t xml:space="preserve"> </w:t>
      </w:r>
      <w:r w:rsidRPr="008C5001">
        <w:rPr>
          <w:lang w:val="en-GB"/>
        </w:rPr>
        <w:t>C</w:t>
      </w:r>
      <w:r>
        <w:t>.</w:t>
      </w:r>
    </w:p>
    <w:p w:rsidR="0077216B" w:rsidRPr="0077216B" w:rsidRDefault="0077216B" w:rsidP="0077216B">
      <w:pPr>
        <w:pStyle w:val="H4GR"/>
      </w:pPr>
      <w:r>
        <w:tab/>
      </w:r>
      <w:r>
        <w:tab/>
        <w:t>Приложение</w:t>
      </w:r>
      <w:r w:rsidRPr="0077216B">
        <w:t xml:space="preserve"> 7</w:t>
      </w:r>
    </w:p>
    <w:p w:rsidR="0077216B" w:rsidRPr="00450AAE" w:rsidRDefault="0077216B" w:rsidP="0077216B">
      <w:pPr>
        <w:spacing w:after="120"/>
        <w:ind w:left="1134" w:right="1134"/>
        <w:jc w:val="both"/>
      </w:pPr>
      <w:r w:rsidRPr="00450AAE">
        <w:t>4.</w:t>
      </w:r>
      <w:r w:rsidRPr="00450AAE">
        <w:tab/>
      </w:r>
      <w:r>
        <w:t>Испытание</w:t>
      </w:r>
      <w:r w:rsidRPr="00450AAE">
        <w:t xml:space="preserve"> </w:t>
      </w:r>
      <w:r>
        <w:t>на</w:t>
      </w:r>
      <w:r w:rsidRPr="00450AAE">
        <w:t xml:space="preserve"> </w:t>
      </w:r>
      <w:r>
        <w:t>водопроницаемость</w:t>
      </w:r>
      <w:r w:rsidRPr="00450AAE">
        <w:t xml:space="preserve"> </w:t>
      </w:r>
      <w:r>
        <w:t>для</w:t>
      </w:r>
      <w:r w:rsidRPr="00450AAE">
        <w:t xml:space="preserve"> </w:t>
      </w:r>
      <w:r>
        <w:t>опознавательных</w:t>
      </w:r>
      <w:r w:rsidRPr="00450AAE">
        <w:t xml:space="preserve"> </w:t>
      </w:r>
      <w:r>
        <w:t>знаков</w:t>
      </w:r>
      <w:r w:rsidRPr="00450AAE">
        <w:t xml:space="preserve">, </w:t>
      </w:r>
      <w:r>
        <w:t>упомянутых</w:t>
      </w:r>
      <w:r w:rsidRPr="00450AAE">
        <w:t xml:space="preserve"> </w:t>
      </w:r>
      <w:r>
        <w:t>в</w:t>
      </w:r>
      <w:r w:rsidRPr="00450AAE">
        <w:t xml:space="preserve"> </w:t>
      </w:r>
      <w:r>
        <w:t>Правилах</w:t>
      </w:r>
      <w:r w:rsidRPr="00450AAE">
        <w:t xml:space="preserve"> № 69 </w:t>
      </w:r>
      <w:r>
        <w:t>ООН</w:t>
      </w:r>
      <w:r w:rsidRPr="00450AAE">
        <w:t xml:space="preserve"> </w:t>
      </w:r>
      <w:r>
        <w:t>и</w:t>
      </w:r>
      <w:r w:rsidRPr="00450AAE">
        <w:t xml:space="preserve"> </w:t>
      </w:r>
      <w:r>
        <w:t>Правилах</w:t>
      </w:r>
      <w:r w:rsidRPr="00450AAE">
        <w:t xml:space="preserve"> № 70 </w:t>
      </w:r>
      <w:r>
        <w:t>ООН</w:t>
      </w:r>
      <w:r w:rsidRPr="00450AAE">
        <w:t xml:space="preserve">, </w:t>
      </w:r>
      <w:r>
        <w:t>не</w:t>
      </w:r>
      <w:r w:rsidRPr="00450AAE">
        <w:t xml:space="preserve"> </w:t>
      </w:r>
      <w:r>
        <w:t>предусмотрено</w:t>
      </w:r>
      <w:r w:rsidRPr="00450AAE">
        <w:t>.</w:t>
      </w:r>
      <w:r>
        <w:t xml:space="preserve"> Текст</w:t>
      </w:r>
      <w:r w:rsidRPr="00450AAE">
        <w:t xml:space="preserve"> </w:t>
      </w:r>
      <w:r>
        <w:t>пункта</w:t>
      </w:r>
      <w:r w:rsidRPr="00450AAE">
        <w:t xml:space="preserve"> 3 </w:t>
      </w:r>
      <w:r>
        <w:t>в приложении</w:t>
      </w:r>
      <w:r w:rsidRPr="00450AAE">
        <w:t xml:space="preserve"> 7 </w:t>
      </w:r>
      <w:r>
        <w:t>скопирован из пункта 5 приложения 8 к Правилам № 70 ООН.</w:t>
      </w:r>
    </w:p>
    <w:p w:rsidR="0077216B" w:rsidRPr="0077216B" w:rsidRDefault="0077216B" w:rsidP="0077216B">
      <w:pPr>
        <w:pStyle w:val="H4GR"/>
      </w:pPr>
      <w:r>
        <w:tab/>
      </w:r>
      <w:r>
        <w:tab/>
        <w:t>Общие положения</w:t>
      </w:r>
    </w:p>
    <w:p w:rsidR="0077216B" w:rsidRDefault="0077216B" w:rsidP="0077216B">
      <w:pPr>
        <w:pStyle w:val="SingleTxtGR"/>
      </w:pPr>
      <w:r w:rsidRPr="00832C57">
        <w:t>5.</w:t>
      </w:r>
      <w:r w:rsidRPr="00832C57">
        <w:tab/>
        <w:t>Это предложение при условии его принятия Рабочей группой по вопросам освещения и световой сигнализации (</w:t>
      </w:r>
      <w:r>
        <w:t>GRE</w:t>
      </w:r>
      <w:r w:rsidRPr="00832C57">
        <w:t>) на ее восьмидесятой сессии в октябре 2018</w:t>
      </w:r>
      <w:r>
        <w:t> </w:t>
      </w:r>
      <w:r w:rsidRPr="00832C57">
        <w:t>года может быть представлено в качестве неофициального документа к сессии Всемирного форума для согласования правил в области транспортных средств (</w:t>
      </w:r>
      <w:r>
        <w:t>WP</w:t>
      </w:r>
      <w:r w:rsidRPr="00832C57">
        <w:t xml:space="preserve">.29) в ноябре 2018 года для рассмотрения вместе с официальным предложением по </w:t>
      </w:r>
      <w:r>
        <w:t xml:space="preserve">СОУ. </w:t>
      </w:r>
      <w:r w:rsidRPr="00832C57">
        <w:t xml:space="preserve">Таким образом, в ноябре 2018 года </w:t>
      </w:r>
      <w:r>
        <w:t>WP</w:t>
      </w:r>
      <w:r w:rsidRPr="00832C57">
        <w:t>.29 сможет принять усовершенствованный текст «</w:t>
      </w:r>
      <w:r>
        <w:t>ab</w:t>
      </w:r>
      <w:r w:rsidRPr="00832C57">
        <w:t xml:space="preserve"> </w:t>
      </w:r>
      <w:r>
        <w:t>initio</w:t>
      </w:r>
      <w:r w:rsidRPr="00832C57">
        <w:t>».</w:t>
      </w:r>
    </w:p>
    <w:p w:rsidR="00E12C5F" w:rsidRPr="0077216B" w:rsidRDefault="0077216B" w:rsidP="0077216B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12C5F" w:rsidRPr="0077216B" w:rsidSect="0077216B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5A1F" w:rsidRPr="00A312BC" w:rsidRDefault="00395A1F" w:rsidP="00A312BC"/>
  </w:endnote>
  <w:endnote w:type="continuationSeparator" w:id="0">
    <w:p w:rsidR="00395A1F" w:rsidRPr="00A312BC" w:rsidRDefault="00395A1F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216B" w:rsidRPr="0077216B" w:rsidRDefault="0077216B">
    <w:pPr>
      <w:pStyle w:val="Footer"/>
    </w:pPr>
    <w:r w:rsidRPr="0077216B">
      <w:rPr>
        <w:b/>
        <w:sz w:val="18"/>
      </w:rPr>
      <w:fldChar w:fldCharType="begin"/>
    </w:r>
    <w:r w:rsidRPr="0077216B">
      <w:rPr>
        <w:b/>
        <w:sz w:val="18"/>
      </w:rPr>
      <w:instrText xml:space="preserve"> PAGE  \* MERGEFORMAT </w:instrText>
    </w:r>
    <w:r w:rsidRPr="0077216B">
      <w:rPr>
        <w:b/>
        <w:sz w:val="18"/>
      </w:rPr>
      <w:fldChar w:fldCharType="separate"/>
    </w:r>
    <w:r w:rsidR="002D782F">
      <w:rPr>
        <w:b/>
        <w:noProof/>
        <w:sz w:val="18"/>
      </w:rPr>
      <w:t>2</w:t>
    </w:r>
    <w:r w:rsidRPr="0077216B">
      <w:rPr>
        <w:b/>
        <w:sz w:val="18"/>
      </w:rPr>
      <w:fldChar w:fldCharType="end"/>
    </w:r>
    <w:r>
      <w:rPr>
        <w:b/>
        <w:sz w:val="18"/>
      </w:rPr>
      <w:tab/>
    </w:r>
    <w:r>
      <w:t>GE.18-13205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216B" w:rsidRPr="0077216B" w:rsidRDefault="0077216B" w:rsidP="0077216B">
    <w:pPr>
      <w:pStyle w:val="Footer"/>
      <w:tabs>
        <w:tab w:val="clear" w:pos="9639"/>
        <w:tab w:val="right" w:pos="9638"/>
      </w:tabs>
      <w:rPr>
        <w:b/>
        <w:sz w:val="18"/>
      </w:rPr>
    </w:pPr>
    <w:r>
      <w:t>GE.18-13205</w:t>
    </w:r>
    <w:r>
      <w:tab/>
    </w:r>
    <w:r w:rsidRPr="0077216B">
      <w:rPr>
        <w:b/>
        <w:sz w:val="18"/>
      </w:rPr>
      <w:fldChar w:fldCharType="begin"/>
    </w:r>
    <w:r w:rsidRPr="0077216B">
      <w:rPr>
        <w:b/>
        <w:sz w:val="18"/>
      </w:rPr>
      <w:instrText xml:space="preserve"> PAGE  \* MERGEFORMAT </w:instrText>
    </w:r>
    <w:r w:rsidRPr="0077216B">
      <w:rPr>
        <w:b/>
        <w:sz w:val="18"/>
      </w:rPr>
      <w:fldChar w:fldCharType="separate"/>
    </w:r>
    <w:r w:rsidR="002D782F">
      <w:rPr>
        <w:b/>
        <w:noProof/>
        <w:sz w:val="18"/>
      </w:rPr>
      <w:t>3</w:t>
    </w:r>
    <w:r w:rsidRPr="0077216B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72" w:rsidRPr="0077216B" w:rsidRDefault="0077216B" w:rsidP="0077216B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18-13205  (R)</w:t>
    </w:r>
    <w:r>
      <w:rPr>
        <w:lang w:val="en-US"/>
      </w:rPr>
      <w:t xml:space="preserve">  150818  160818</w:t>
    </w:r>
    <w:r>
      <w:br/>
    </w:r>
    <w:r w:rsidRPr="0077216B">
      <w:rPr>
        <w:rFonts w:ascii="C39T30Lfz" w:hAnsi="C39T30Lfz"/>
        <w:kern w:val="14"/>
        <w:sz w:val="56"/>
      </w:rPr>
      <w:t></w:t>
    </w:r>
    <w:r w:rsidRPr="0077216B">
      <w:rPr>
        <w:rFonts w:ascii="C39T30Lfz" w:hAnsi="C39T30Lfz"/>
        <w:kern w:val="14"/>
        <w:sz w:val="56"/>
      </w:rPr>
      <w:t></w:t>
    </w:r>
    <w:r w:rsidRPr="0077216B">
      <w:rPr>
        <w:rFonts w:ascii="C39T30Lfz" w:hAnsi="C39T30Lfz"/>
        <w:kern w:val="14"/>
        <w:sz w:val="56"/>
      </w:rPr>
      <w:t></w:t>
    </w:r>
    <w:r w:rsidRPr="0077216B">
      <w:rPr>
        <w:rFonts w:ascii="C39T30Lfz" w:hAnsi="C39T30Lfz"/>
        <w:kern w:val="14"/>
        <w:sz w:val="56"/>
      </w:rPr>
      <w:t></w:t>
    </w:r>
    <w:r w:rsidRPr="0077216B">
      <w:rPr>
        <w:rFonts w:ascii="C39T30Lfz" w:hAnsi="C39T30Lfz"/>
        <w:kern w:val="14"/>
        <w:sz w:val="56"/>
      </w:rPr>
      <w:t></w:t>
    </w:r>
    <w:r w:rsidRPr="0077216B">
      <w:rPr>
        <w:rFonts w:ascii="C39T30Lfz" w:hAnsi="C39T30Lfz"/>
        <w:kern w:val="14"/>
        <w:sz w:val="56"/>
      </w:rPr>
      <w:t></w:t>
    </w:r>
    <w:r w:rsidRPr="0077216B">
      <w:rPr>
        <w:rFonts w:ascii="C39T30Lfz" w:hAnsi="C39T30Lfz"/>
        <w:kern w:val="14"/>
        <w:sz w:val="56"/>
      </w:rPr>
      <w:t></w:t>
    </w:r>
    <w:r w:rsidRPr="0077216B">
      <w:rPr>
        <w:rFonts w:ascii="C39T30Lfz" w:hAnsi="C39T30Lfz"/>
        <w:kern w:val="14"/>
        <w:sz w:val="56"/>
      </w:rPr>
      <w:t></w:t>
    </w:r>
    <w:r w:rsidRPr="0077216B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GRE/2018/38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E/2018/38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5A1F" w:rsidRPr="001075E9" w:rsidRDefault="00395A1F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395A1F" w:rsidRDefault="00395A1F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77216B" w:rsidRPr="00EF3FC8" w:rsidRDefault="0077216B" w:rsidP="0077216B">
      <w:pPr>
        <w:pStyle w:val="FootnoteText"/>
      </w:pPr>
      <w:r w:rsidRPr="00EF3FC8">
        <w:tab/>
      </w:r>
      <w:r w:rsidRPr="0077216B">
        <w:rPr>
          <w:rStyle w:val="FootnoteReference"/>
          <w:sz w:val="20"/>
          <w:vertAlign w:val="baseline"/>
        </w:rPr>
        <w:t>*</w:t>
      </w:r>
      <w:r w:rsidRPr="00EF3FC8">
        <w:rPr>
          <w:sz w:val="20"/>
        </w:rPr>
        <w:tab/>
      </w:r>
      <w:r w:rsidRPr="00EF3FC8">
        <w:rPr>
          <w:szCs w:val="18"/>
        </w:rPr>
        <w:t xml:space="preserve">В соответствии с программой работы Комитета по внутреннему транспорту </w:t>
      </w:r>
      <w:r>
        <w:rPr>
          <w:szCs w:val="18"/>
        </w:rPr>
        <w:br/>
      </w:r>
      <w:r w:rsidRPr="00EF3FC8">
        <w:rPr>
          <w:szCs w:val="18"/>
        </w:rPr>
        <w:t xml:space="preserve">на </w:t>
      </w:r>
      <w:r w:rsidRPr="009D5C75">
        <w:rPr>
          <w:szCs w:val="18"/>
        </w:rPr>
        <w:t xml:space="preserve">2018–2019 </w:t>
      </w:r>
      <w:r w:rsidRPr="00EF3FC8">
        <w:rPr>
          <w:szCs w:val="18"/>
        </w:rPr>
        <w:t>годы (</w:t>
      </w:r>
      <w:r w:rsidRPr="00EF3FC8">
        <w:rPr>
          <w:szCs w:val="18"/>
          <w:lang w:val="en-US"/>
        </w:rPr>
        <w:t>ECE</w:t>
      </w:r>
      <w:r w:rsidRPr="00EF3FC8">
        <w:rPr>
          <w:szCs w:val="18"/>
        </w:rPr>
        <w:t>/</w:t>
      </w:r>
      <w:r w:rsidRPr="00EF3FC8">
        <w:rPr>
          <w:szCs w:val="18"/>
          <w:lang w:val="en-US"/>
        </w:rPr>
        <w:t>TRANS</w:t>
      </w:r>
      <w:r w:rsidRPr="00EF3FC8">
        <w:rPr>
          <w:szCs w:val="18"/>
        </w:rPr>
        <w:t>/</w:t>
      </w:r>
      <w:r w:rsidRPr="009D5C75">
        <w:rPr>
          <w:szCs w:val="18"/>
        </w:rPr>
        <w:t>274</w:t>
      </w:r>
      <w:r w:rsidRPr="00EF3FC8">
        <w:rPr>
          <w:szCs w:val="18"/>
        </w:rPr>
        <w:t>, пункт 1</w:t>
      </w:r>
      <w:r>
        <w:rPr>
          <w:szCs w:val="18"/>
        </w:rPr>
        <w:t>23</w:t>
      </w:r>
      <w:r w:rsidRPr="00EF3FC8">
        <w:rPr>
          <w:szCs w:val="18"/>
        </w:rPr>
        <w:t xml:space="preserve">, и </w:t>
      </w:r>
      <w:r w:rsidRPr="00EF3FC8">
        <w:rPr>
          <w:szCs w:val="18"/>
          <w:lang w:val="en-US"/>
        </w:rPr>
        <w:t>ECE</w:t>
      </w:r>
      <w:r w:rsidRPr="00EF3FC8">
        <w:rPr>
          <w:szCs w:val="18"/>
        </w:rPr>
        <w:t>/</w:t>
      </w:r>
      <w:r w:rsidRPr="00EF3FC8">
        <w:rPr>
          <w:szCs w:val="18"/>
          <w:lang w:val="en-US"/>
        </w:rPr>
        <w:t>TRANS</w:t>
      </w:r>
      <w:r w:rsidRPr="00EF3FC8">
        <w:rPr>
          <w:szCs w:val="18"/>
        </w:rPr>
        <w:t>/</w:t>
      </w:r>
      <w:r w:rsidRPr="009D5C75">
        <w:rPr>
          <w:szCs w:val="18"/>
        </w:rPr>
        <w:t>2018/21/</w:t>
      </w:r>
      <w:r w:rsidRPr="00626F57">
        <w:rPr>
          <w:szCs w:val="18"/>
          <w:lang w:val="en-US"/>
        </w:rPr>
        <w:t>Add</w:t>
      </w:r>
      <w:r w:rsidRPr="009D5C75">
        <w:rPr>
          <w:szCs w:val="18"/>
        </w:rPr>
        <w:t>.1</w:t>
      </w:r>
      <w:r w:rsidRPr="00EF3FC8">
        <w:rPr>
          <w:szCs w:val="18"/>
        </w:rPr>
        <w:t xml:space="preserve">, направление работы </w:t>
      </w:r>
      <w:r>
        <w:rPr>
          <w:szCs w:val="18"/>
        </w:rPr>
        <w:t>3.1</w:t>
      </w:r>
      <w:r w:rsidRPr="00EF3FC8">
        <w:rPr>
          <w:szCs w:val="18"/>
        </w:rPr>
        <w:t xml:space="preserve">) Всемирный форум будет разрабатывать, согласовывать и обновлять правила в целях улучшения характеристик транспортных средств. </w:t>
      </w:r>
      <w:r w:rsidRPr="00EF3FC8">
        <w:t>Настоящий документ представлен в соответствии с этим мандатом</w:t>
      </w:r>
      <w:r w:rsidRPr="00EF3FC8">
        <w:rPr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216B" w:rsidRPr="0077216B" w:rsidRDefault="005F23B2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2D782F">
      <w:t>ECE/TRANS/WP.29/GRE/2018/38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216B" w:rsidRPr="0077216B" w:rsidRDefault="005F23B2" w:rsidP="0077216B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2D782F">
      <w:t>ECE/TRANS/WP.29/GRE/2018/38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5A1F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D782F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95A1F"/>
    <w:rsid w:val="003A0D43"/>
    <w:rsid w:val="003A48CE"/>
    <w:rsid w:val="003B00E5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5F23B2"/>
    <w:rsid w:val="00617A43"/>
    <w:rsid w:val="006345DB"/>
    <w:rsid w:val="00640F49"/>
    <w:rsid w:val="00680D03"/>
    <w:rsid w:val="00681A10"/>
    <w:rsid w:val="006A1ED8"/>
    <w:rsid w:val="006C2031"/>
    <w:rsid w:val="006C7EFE"/>
    <w:rsid w:val="006D461A"/>
    <w:rsid w:val="006F35EE"/>
    <w:rsid w:val="007021FF"/>
    <w:rsid w:val="00712895"/>
    <w:rsid w:val="00734ACB"/>
    <w:rsid w:val="00757357"/>
    <w:rsid w:val="0077216B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84A01"/>
    <w:rsid w:val="009A24AC"/>
    <w:rsid w:val="009C59D7"/>
    <w:rsid w:val="009C6FE6"/>
    <w:rsid w:val="009D7E7D"/>
    <w:rsid w:val="00A02450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D78D1"/>
    <w:rsid w:val="00DE32CD"/>
    <w:rsid w:val="00DF1609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B776F010-5BF1-4EBA-8271-43D172C61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59D7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617A4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617A43"/>
    <w:pPr>
      <w:numPr>
        <w:numId w:val="21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R,4_G,(Footnote Reference),-E Fußnotenzeichen,BVI fnr, BVI fnr,Footnote symbol,Footnote,Footnote Reference Superscript,SUPERS"/>
    <w:basedOn w:val="DefaultParagraphFont"/>
    <w:uiPriority w:val="99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984A01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R,5_G,PP,5_G_6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R Char,5_G Char,PP Char,5_G_6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R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617A43"/>
    <w:rPr>
      <w:color w:val="800080" w:themeColor="followedHyperlink"/>
      <w:u w:val="none"/>
    </w:rPr>
  </w:style>
  <w:style w:type="paragraph" w:styleId="ListParagraph">
    <w:name w:val="List Paragraph"/>
    <w:basedOn w:val="Normal"/>
    <w:uiPriority w:val="34"/>
    <w:qFormat/>
    <w:rsid w:val="0077216B"/>
    <w:pPr>
      <w:ind w:left="720"/>
      <w:contextualSpacing/>
    </w:pPr>
    <w:rPr>
      <w:rFonts w:eastAsia="Times New Roman" w:cs="Times New Roman"/>
      <w:szCs w:val="20"/>
      <w:lang w:val="fr-CH"/>
    </w:rPr>
  </w:style>
  <w:style w:type="character" w:customStyle="1" w:styleId="SingleTxtGChar">
    <w:name w:val="_ Single Txt_G Char"/>
    <w:link w:val="SingleTxtG"/>
    <w:rsid w:val="0077216B"/>
  </w:style>
  <w:style w:type="paragraph" w:customStyle="1" w:styleId="SingleTxtG">
    <w:name w:val="_ Single Txt_G"/>
    <w:basedOn w:val="Normal"/>
    <w:link w:val="SingleTxtGChar"/>
    <w:qFormat/>
    <w:rsid w:val="0077216B"/>
    <w:pPr>
      <w:spacing w:before="40" w:after="120"/>
      <w:ind w:left="1134" w:right="1134"/>
      <w:jc w:val="both"/>
    </w:pPr>
    <w:rPr>
      <w:rFonts w:eastAsia="Times New Roman" w:cs="Times New Roman"/>
      <w:szCs w:val="20"/>
      <w:lang w:val="es-ES" w:eastAsia="es-ES"/>
    </w:rPr>
  </w:style>
  <w:style w:type="paragraph" w:customStyle="1" w:styleId="HChG">
    <w:name w:val="_ H _Ch_G"/>
    <w:basedOn w:val="Normal"/>
    <w:next w:val="Normal"/>
    <w:link w:val="HChGChar"/>
    <w:qFormat/>
    <w:rsid w:val="0077216B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MS Mincho" w:cs="Times New Roman"/>
      <w:b/>
      <w:sz w:val="28"/>
      <w:szCs w:val="20"/>
      <w:lang w:val="en-GB"/>
    </w:rPr>
  </w:style>
  <w:style w:type="character" w:customStyle="1" w:styleId="HChGChar">
    <w:name w:val="_ H _Ch_G Char"/>
    <w:link w:val="HChG"/>
    <w:rsid w:val="0077216B"/>
    <w:rPr>
      <w:rFonts w:eastAsia="MS Mincho"/>
      <w:b/>
      <w:sz w:val="28"/>
      <w:lang w:val="en-GB" w:eastAsia="en-US"/>
    </w:rPr>
  </w:style>
  <w:style w:type="paragraph" w:customStyle="1" w:styleId="H1G">
    <w:name w:val="_ H_1_G"/>
    <w:basedOn w:val="Normal"/>
    <w:next w:val="Normal"/>
    <w:link w:val="H1GChar"/>
    <w:qFormat/>
    <w:rsid w:val="0077216B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val="en-GB"/>
    </w:rPr>
  </w:style>
  <w:style w:type="character" w:customStyle="1" w:styleId="H1GChar">
    <w:name w:val="_ H_1_G Char"/>
    <w:link w:val="H1G"/>
    <w:rsid w:val="0077216B"/>
    <w:rPr>
      <w:b/>
      <w:sz w:val="24"/>
      <w:lang w:val="en-GB" w:eastAsia="en-US"/>
    </w:rPr>
  </w:style>
  <w:style w:type="paragraph" w:customStyle="1" w:styleId="endnotetable">
    <w:name w:val="endnote table"/>
    <w:basedOn w:val="Normal"/>
    <w:link w:val="endnotetableChar"/>
    <w:rsid w:val="0077216B"/>
    <w:pPr>
      <w:spacing w:line="220" w:lineRule="exact"/>
      <w:ind w:left="1134" w:right="1134" w:firstLine="170"/>
    </w:pPr>
    <w:rPr>
      <w:rFonts w:eastAsia="Times New Roman" w:cs="Times New Roman"/>
      <w:sz w:val="18"/>
      <w:szCs w:val="18"/>
      <w:lang w:val="it-IT"/>
    </w:rPr>
  </w:style>
  <w:style w:type="character" w:customStyle="1" w:styleId="endnotetableChar">
    <w:name w:val="endnote table Char"/>
    <w:link w:val="endnotetable"/>
    <w:rsid w:val="0077216B"/>
    <w:rPr>
      <w:sz w:val="18"/>
      <w:szCs w:val="18"/>
      <w:lang w:val="it-I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572</Words>
  <Characters>3262</Characters>
  <Application>Microsoft Office Word</Application>
  <DocSecurity>0</DocSecurity>
  <Lines>27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ECE/TRANS/WP.29/GRE/2018/38</vt:lpstr>
      <vt:lpstr>ECE/TRANS/WP.29/GRE/2018/38</vt:lpstr>
      <vt:lpstr>A/</vt:lpstr>
    </vt:vector>
  </TitlesOfParts>
  <Company>DCM</Company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ECE/TRANS/WP.29/GRE/2018/38</dc:title>
  <dc:subject/>
  <dc:creator>Elena IZOTOVA</dc:creator>
  <cp:keywords/>
  <cp:lastModifiedBy>Benedicte Boudol</cp:lastModifiedBy>
  <cp:revision>2</cp:revision>
  <cp:lastPrinted>2018-08-16T08:37:00Z</cp:lastPrinted>
  <dcterms:created xsi:type="dcterms:W3CDTF">2018-09-10T07:50:00Z</dcterms:created>
  <dcterms:modified xsi:type="dcterms:W3CDTF">2018-09-10T07:50:00Z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