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:rsidTr="00295CC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1433FD" w:rsidRPr="00DB58B5" w:rsidRDefault="001433FD" w:rsidP="00492C20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433FD" w:rsidRPr="00DB58B5" w:rsidRDefault="001433FD" w:rsidP="00295CCA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433FD" w:rsidRPr="00DB58B5" w:rsidRDefault="00492C20" w:rsidP="00492C20">
            <w:pPr>
              <w:jc w:val="right"/>
            </w:pPr>
            <w:r w:rsidRPr="00492C20">
              <w:rPr>
                <w:sz w:val="40"/>
              </w:rPr>
              <w:t>ECE</w:t>
            </w:r>
            <w:r>
              <w:t>/TRANS/WP.29/GRE/2018/38</w:t>
            </w:r>
          </w:p>
        </w:tc>
      </w:tr>
      <w:tr w:rsidR="001433FD" w:rsidRPr="00DB58B5" w:rsidTr="00295CCA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433FD" w:rsidRPr="00DB58B5" w:rsidRDefault="001433FD" w:rsidP="00295CCA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8FEE0AF" wp14:editId="44FE9222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433FD" w:rsidRPr="00740562" w:rsidRDefault="001433FD" w:rsidP="00295CC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433FD" w:rsidRDefault="00492C20" w:rsidP="00295CCA">
            <w:pPr>
              <w:spacing w:before="240"/>
            </w:pPr>
            <w:r>
              <w:t>Distr. générale</w:t>
            </w:r>
          </w:p>
          <w:p w:rsidR="00492C20" w:rsidRDefault="00492C20" w:rsidP="00492C20">
            <w:pPr>
              <w:spacing w:line="240" w:lineRule="exact"/>
            </w:pPr>
            <w:r>
              <w:t>10 août 2018</w:t>
            </w:r>
          </w:p>
          <w:p w:rsidR="00492C20" w:rsidRDefault="00492C20" w:rsidP="00492C20">
            <w:pPr>
              <w:spacing w:line="240" w:lineRule="exact"/>
            </w:pPr>
            <w:r>
              <w:t>Français</w:t>
            </w:r>
          </w:p>
          <w:p w:rsidR="00492C20" w:rsidRPr="00DB58B5" w:rsidRDefault="00492C20" w:rsidP="00492C20">
            <w:pPr>
              <w:spacing w:line="240" w:lineRule="exact"/>
            </w:pPr>
            <w:r>
              <w:t>Original : anglais</w:t>
            </w:r>
          </w:p>
        </w:tc>
      </w:tr>
    </w:tbl>
    <w:p w:rsidR="005316B0" w:rsidRPr="000312C0" w:rsidRDefault="005316B0" w:rsidP="005316B0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632F4D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492C20" w:rsidRPr="00632F4D" w:rsidRDefault="00492C20" w:rsidP="00632F4D">
      <w:pPr>
        <w:spacing w:before="120"/>
        <w:rPr>
          <w:sz w:val="28"/>
          <w:szCs w:val="28"/>
        </w:rPr>
      </w:pPr>
      <w:r w:rsidRPr="00632F4D">
        <w:rPr>
          <w:sz w:val="28"/>
          <w:szCs w:val="28"/>
          <w:lang w:val="fr-FR"/>
        </w:rPr>
        <w:t>Comité des transports intérieurs</w:t>
      </w:r>
    </w:p>
    <w:p w:rsidR="00492C20" w:rsidRPr="00AD330A" w:rsidRDefault="00492C20" w:rsidP="00632F4D">
      <w:pPr>
        <w:spacing w:before="120"/>
        <w:rPr>
          <w:b/>
          <w:sz w:val="24"/>
          <w:szCs w:val="24"/>
        </w:rPr>
      </w:pPr>
      <w:r w:rsidRPr="00AD330A">
        <w:rPr>
          <w:b/>
          <w:sz w:val="24"/>
          <w:szCs w:val="24"/>
          <w:lang w:val="fr-FR"/>
        </w:rPr>
        <w:t>Forum mondial de l</w:t>
      </w:r>
      <w:r w:rsidR="00632F4D" w:rsidRPr="00AD330A">
        <w:rPr>
          <w:b/>
          <w:sz w:val="24"/>
          <w:szCs w:val="24"/>
          <w:lang w:val="fr-FR"/>
        </w:rPr>
        <w:t>’</w:t>
      </w:r>
      <w:r w:rsidRPr="00AD330A">
        <w:rPr>
          <w:b/>
          <w:sz w:val="24"/>
          <w:szCs w:val="24"/>
          <w:lang w:val="fr-FR"/>
        </w:rPr>
        <w:t xml:space="preserve">harmonisation </w:t>
      </w:r>
      <w:r w:rsidR="00AD330A">
        <w:rPr>
          <w:b/>
          <w:sz w:val="24"/>
          <w:szCs w:val="24"/>
          <w:lang w:val="fr-FR"/>
        </w:rPr>
        <w:br/>
      </w:r>
      <w:r w:rsidRPr="00AD330A">
        <w:rPr>
          <w:b/>
          <w:sz w:val="24"/>
          <w:szCs w:val="24"/>
          <w:lang w:val="fr-FR"/>
        </w:rPr>
        <w:t>des Règlements concernant les véhicules</w:t>
      </w:r>
    </w:p>
    <w:p w:rsidR="00492C20" w:rsidRPr="00632F4D" w:rsidRDefault="00492C20" w:rsidP="00632F4D">
      <w:pPr>
        <w:spacing w:before="120"/>
        <w:rPr>
          <w:b/>
        </w:rPr>
      </w:pPr>
      <w:r w:rsidRPr="00632F4D">
        <w:rPr>
          <w:b/>
          <w:lang w:val="fr-FR"/>
        </w:rPr>
        <w:t>Groupe de travail de l</w:t>
      </w:r>
      <w:r w:rsidR="00632F4D">
        <w:rPr>
          <w:b/>
          <w:lang w:val="fr-FR"/>
        </w:rPr>
        <w:t>’</w:t>
      </w:r>
      <w:r w:rsidRPr="00632F4D">
        <w:rPr>
          <w:b/>
          <w:lang w:val="fr-FR"/>
        </w:rPr>
        <w:t>éclairage et de la signalisation lumineuse</w:t>
      </w:r>
    </w:p>
    <w:p w:rsidR="00492C20" w:rsidRPr="00632F4D" w:rsidRDefault="00492C20" w:rsidP="00632F4D">
      <w:pPr>
        <w:spacing w:before="120"/>
        <w:rPr>
          <w:rFonts w:eastAsia="MS Mincho"/>
          <w:b/>
        </w:rPr>
      </w:pPr>
      <w:r w:rsidRPr="00632F4D">
        <w:rPr>
          <w:b/>
          <w:lang w:val="fr-FR"/>
        </w:rPr>
        <w:t>Quatre-vingtième session</w:t>
      </w:r>
    </w:p>
    <w:p w:rsidR="00492C20" w:rsidRPr="00FB097F" w:rsidRDefault="00492C20" w:rsidP="00492C20">
      <w:r>
        <w:rPr>
          <w:lang w:val="fr-FR"/>
        </w:rPr>
        <w:t>Genève, 23-26 octobre 2018</w:t>
      </w:r>
    </w:p>
    <w:p w:rsidR="00492C20" w:rsidRDefault="00492C20" w:rsidP="00492C20">
      <w:r>
        <w:rPr>
          <w:lang w:val="fr-FR"/>
        </w:rPr>
        <w:t>Point 4 de l</w:t>
      </w:r>
      <w:r w:rsidR="00632F4D">
        <w:rPr>
          <w:lang w:val="fr-FR"/>
        </w:rPr>
        <w:t>’</w:t>
      </w:r>
      <w:r>
        <w:rPr>
          <w:lang w:val="fr-FR"/>
        </w:rPr>
        <w:t>ordre du jour provisoire</w:t>
      </w:r>
    </w:p>
    <w:p w:rsidR="00492C20" w:rsidRPr="00632F4D" w:rsidRDefault="00492C20" w:rsidP="00492C20">
      <w:pPr>
        <w:rPr>
          <w:b/>
        </w:rPr>
      </w:pPr>
      <w:r w:rsidRPr="00632F4D">
        <w:rPr>
          <w:b/>
          <w:lang w:val="fr-FR"/>
        </w:rPr>
        <w:t xml:space="preserve">Simplification des Règlements ONU concernant </w:t>
      </w:r>
      <w:r w:rsidR="00AD330A">
        <w:rPr>
          <w:b/>
          <w:lang w:val="fr-FR"/>
        </w:rPr>
        <w:br/>
      </w:r>
      <w:r w:rsidRPr="00632F4D">
        <w:rPr>
          <w:b/>
          <w:lang w:val="fr-FR"/>
        </w:rPr>
        <w:t>l</w:t>
      </w:r>
      <w:r w:rsidR="00632F4D">
        <w:rPr>
          <w:b/>
          <w:lang w:val="fr-FR"/>
        </w:rPr>
        <w:t>’</w:t>
      </w:r>
      <w:r w:rsidRPr="00632F4D">
        <w:rPr>
          <w:b/>
          <w:lang w:val="fr-FR"/>
        </w:rPr>
        <w:t>éclairage et la signalisation lumineuse</w:t>
      </w:r>
    </w:p>
    <w:p w:rsidR="00961295" w:rsidRPr="00492C20" w:rsidRDefault="00333A31" w:rsidP="00632F4D">
      <w:pPr>
        <w:pStyle w:val="HChG"/>
      </w:pPr>
      <w:r w:rsidRPr="00492C20">
        <w:rPr>
          <w:lang w:val="fr-FR"/>
        </w:rPr>
        <w:tab/>
      </w:r>
      <w:r w:rsidRPr="00492C20">
        <w:rPr>
          <w:lang w:val="fr-FR"/>
        </w:rPr>
        <w:tab/>
        <w:t xml:space="preserve">Proposition visant à améliorer et à clarifier le texte </w:t>
      </w:r>
      <w:r w:rsidR="00632F4D">
        <w:rPr>
          <w:lang w:val="fr-FR"/>
        </w:rPr>
        <w:br/>
      </w:r>
      <w:r w:rsidR="00E062B5">
        <w:rPr>
          <w:lang w:val="fr-FR"/>
        </w:rPr>
        <w:t xml:space="preserve">du Règlement </w:t>
      </w:r>
      <w:r w:rsidRPr="00492C20">
        <w:rPr>
          <w:lang w:val="fr-FR"/>
        </w:rPr>
        <w:t xml:space="preserve">ONU sur les dispositifs </w:t>
      </w:r>
      <w:r w:rsidR="00632F4D">
        <w:rPr>
          <w:lang w:val="fr-FR"/>
        </w:rPr>
        <w:br/>
      </w:r>
      <w:r w:rsidRPr="00492C20">
        <w:rPr>
          <w:lang w:val="fr-FR"/>
        </w:rPr>
        <w:t xml:space="preserve">rétroréfléchissants (RRD) </w:t>
      </w:r>
      <w:bookmarkStart w:id="1" w:name="_Hlk521662797"/>
      <w:bookmarkEnd w:id="1"/>
    </w:p>
    <w:p w:rsidR="00961295" w:rsidRPr="00492C20" w:rsidRDefault="00632F4D" w:rsidP="00632F4D">
      <w:pPr>
        <w:pStyle w:val="H1G"/>
      </w:pPr>
      <w:r>
        <w:rPr>
          <w:lang w:val="fr-FR"/>
        </w:rPr>
        <w:tab/>
      </w:r>
      <w:r>
        <w:rPr>
          <w:lang w:val="fr-FR"/>
        </w:rPr>
        <w:tab/>
      </w:r>
      <w:r w:rsidR="00333A31" w:rsidRPr="00492C20">
        <w:rPr>
          <w:lang w:val="fr-FR"/>
        </w:rPr>
        <w:t>Communication du groupe de travail informel de la simplification des</w:t>
      </w:r>
      <w:r w:rsidR="00AD330A">
        <w:rPr>
          <w:lang w:val="fr-FR"/>
        </w:rPr>
        <w:t> </w:t>
      </w:r>
      <w:r w:rsidR="00333A31" w:rsidRPr="00492C20">
        <w:rPr>
          <w:lang w:val="fr-FR"/>
        </w:rPr>
        <w:t>Règlements relatifs à l</w:t>
      </w:r>
      <w:r>
        <w:rPr>
          <w:lang w:val="fr-FR"/>
        </w:rPr>
        <w:t>’</w:t>
      </w:r>
      <w:r w:rsidR="00333A31" w:rsidRPr="00492C20">
        <w:rPr>
          <w:lang w:val="fr-FR"/>
        </w:rPr>
        <w:t>éclairage et à la signalisation lumineuse</w:t>
      </w:r>
      <w:r w:rsidRPr="00632F4D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961295" w:rsidRPr="00492C20" w:rsidRDefault="00333A31" w:rsidP="00632F4D">
      <w:pPr>
        <w:pStyle w:val="SingleTxtG"/>
        <w:ind w:firstLine="567"/>
      </w:pPr>
      <w:r w:rsidRPr="00492C20">
        <w:rPr>
          <w:lang w:val="fr-FR"/>
        </w:rPr>
        <w:t>Le texte reproduit ci-après a été établi par le groupe de travail informel dans le but d</w:t>
      </w:r>
      <w:r w:rsidR="00632F4D">
        <w:rPr>
          <w:lang w:val="fr-FR"/>
        </w:rPr>
        <w:t>’</w:t>
      </w:r>
      <w:r w:rsidRPr="00492C20">
        <w:rPr>
          <w:lang w:val="fr-FR"/>
        </w:rPr>
        <w:t>améliorer et de clarifier le texte du nouveau Règlement ONU sur les dispositifs rétroréfléchissants (RRD). Les modifications qu</w:t>
      </w:r>
      <w:r w:rsidR="00632F4D">
        <w:rPr>
          <w:lang w:val="fr-FR"/>
        </w:rPr>
        <w:t>’</w:t>
      </w:r>
      <w:r w:rsidRPr="00492C20">
        <w:rPr>
          <w:lang w:val="fr-FR"/>
        </w:rPr>
        <w:t>il est proposé d</w:t>
      </w:r>
      <w:r w:rsidR="00632F4D">
        <w:rPr>
          <w:lang w:val="fr-FR"/>
        </w:rPr>
        <w:t>’</w:t>
      </w:r>
      <w:r w:rsidRPr="00492C20">
        <w:rPr>
          <w:lang w:val="fr-FR"/>
        </w:rPr>
        <w:t xml:space="preserve">apporter figurent en caractères gras pour les ajouts et biffés pour les suppressions. </w:t>
      </w:r>
    </w:p>
    <w:p w:rsidR="00961295" w:rsidRPr="00492C20" w:rsidRDefault="00632F4D" w:rsidP="00632F4D">
      <w:pPr>
        <w:pStyle w:val="HChG"/>
      </w:pPr>
      <w:r>
        <w:br w:type="page"/>
      </w:r>
      <w:r w:rsidR="00333A31" w:rsidRPr="00492C20">
        <w:rPr>
          <w:lang w:val="fr-FR"/>
        </w:rPr>
        <w:lastRenderedPageBreak/>
        <w:tab/>
        <w:t>I.</w:t>
      </w:r>
      <w:r w:rsidR="00333A31" w:rsidRPr="00492C20">
        <w:rPr>
          <w:lang w:val="fr-FR"/>
        </w:rPr>
        <w:tab/>
        <w:t>Proposition</w:t>
      </w:r>
    </w:p>
    <w:p w:rsidR="00961295" w:rsidRPr="00492C20" w:rsidRDefault="00333A31" w:rsidP="00492C20">
      <w:pPr>
        <w:pStyle w:val="SingleTxtG"/>
      </w:pPr>
      <w:r w:rsidRPr="00492C20">
        <w:rPr>
          <w:i/>
          <w:iCs/>
          <w:lang w:val="fr-FR"/>
        </w:rPr>
        <w:t>Paragraphe 2.1</w:t>
      </w:r>
      <w:r w:rsidRPr="00492C20">
        <w:rPr>
          <w:lang w:val="fr-FR"/>
        </w:rPr>
        <w:t>, modifier comme suit</w:t>
      </w:r>
      <w:r w:rsidR="00632F4D">
        <w:rPr>
          <w:lang w:val="fr-FR"/>
        </w:rPr>
        <w:t> </w:t>
      </w:r>
      <w:r w:rsidRPr="00492C20">
        <w:rPr>
          <w:lang w:val="fr-FR"/>
        </w:rPr>
        <w:t>:</w:t>
      </w:r>
    </w:p>
    <w:p w:rsidR="00961295" w:rsidRPr="00492C20" w:rsidRDefault="00333A31" w:rsidP="00C4290A">
      <w:pPr>
        <w:pStyle w:val="SingleTxtG"/>
        <w:ind w:left="2127" w:hanging="993"/>
      </w:pPr>
      <w:r w:rsidRPr="00492C20">
        <w:t>«</w:t>
      </w:r>
      <w:r w:rsidR="00632F4D">
        <w:t> </w:t>
      </w:r>
      <w:r w:rsidRPr="00492C20">
        <w:rPr>
          <w:lang w:val="fr-FR"/>
        </w:rPr>
        <w:t>2.1</w:t>
      </w:r>
      <w:r w:rsidRPr="00492C20">
        <w:rPr>
          <w:lang w:val="fr-FR"/>
        </w:rPr>
        <w:tab/>
        <w:t xml:space="preserve">Sauf indication contraire </w:t>
      </w:r>
      <w:r w:rsidRPr="00AD330A">
        <w:rPr>
          <w:b/>
          <w:lang w:val="fr-FR"/>
        </w:rPr>
        <w:t xml:space="preserve">dans </w:t>
      </w:r>
      <w:r w:rsidR="00B0225F">
        <w:rPr>
          <w:b/>
          <w:lang w:val="fr-FR"/>
        </w:rPr>
        <w:t>le présent Règlement ONU ou dans les Règlements </w:t>
      </w:r>
      <w:r w:rsidRPr="00AD330A">
        <w:rPr>
          <w:b/>
          <w:lang w:val="fr-FR"/>
        </w:rPr>
        <w:t>ONU n</w:t>
      </w:r>
      <w:r w:rsidRPr="00AD330A">
        <w:rPr>
          <w:b/>
          <w:vertAlign w:val="superscript"/>
          <w:lang w:val="fr-FR"/>
        </w:rPr>
        <w:t>os</w:t>
      </w:r>
      <w:r w:rsidR="00632F4D" w:rsidRPr="00AD330A">
        <w:rPr>
          <w:b/>
          <w:lang w:val="fr-FR"/>
        </w:rPr>
        <w:t> </w:t>
      </w:r>
      <w:r w:rsidRPr="00AD330A">
        <w:rPr>
          <w:b/>
          <w:lang w:val="fr-FR"/>
        </w:rPr>
        <w:t>53, 74 et 86 concernant l</w:t>
      </w:r>
      <w:r w:rsidR="00632F4D" w:rsidRPr="00AD330A">
        <w:rPr>
          <w:b/>
          <w:lang w:val="fr-FR"/>
        </w:rPr>
        <w:t>’</w:t>
      </w:r>
      <w:r w:rsidRPr="00AD330A">
        <w:rPr>
          <w:b/>
          <w:lang w:val="fr-FR"/>
        </w:rPr>
        <w:t>installation</w:t>
      </w:r>
      <w:r w:rsidRPr="00492C20">
        <w:rPr>
          <w:lang w:val="fr-FR"/>
        </w:rPr>
        <w:t>, toutes les définitions figurant dans la dernière série d</w:t>
      </w:r>
      <w:r w:rsidR="00632F4D">
        <w:rPr>
          <w:lang w:val="fr-FR"/>
        </w:rPr>
        <w:t>’</w:t>
      </w:r>
      <w:r w:rsidR="00F103C2">
        <w:rPr>
          <w:lang w:val="fr-FR"/>
        </w:rPr>
        <w:t xml:space="preserve">amendements au Règlement </w:t>
      </w:r>
      <w:r w:rsidR="00B0225F">
        <w:rPr>
          <w:lang w:val="fr-FR"/>
        </w:rPr>
        <w:t>ONU</w:t>
      </w:r>
      <w:r w:rsidR="00F103C2">
        <w:rPr>
          <w:lang w:val="fr-FR"/>
        </w:rPr>
        <w:t> </w:t>
      </w:r>
      <w:r w:rsidR="00632F4D" w:rsidRPr="00632F4D">
        <w:rPr>
          <w:rFonts w:eastAsia="MS Mincho"/>
          <w:lang w:val="fr-FR"/>
        </w:rPr>
        <w:t>n</w:t>
      </w:r>
      <w:r w:rsidR="00632F4D" w:rsidRPr="00632F4D">
        <w:rPr>
          <w:rFonts w:eastAsia="MS Mincho"/>
          <w:vertAlign w:val="superscript"/>
          <w:lang w:val="fr-FR"/>
        </w:rPr>
        <w:t>o</w:t>
      </w:r>
      <w:r w:rsidR="00632F4D" w:rsidRPr="00632F4D">
        <w:rPr>
          <w:rFonts w:eastAsia="MS Mincho"/>
          <w:lang w:val="fr-FR"/>
        </w:rPr>
        <w:t> </w:t>
      </w:r>
      <w:r w:rsidRPr="00492C20">
        <w:rPr>
          <w:lang w:val="fr-FR"/>
        </w:rPr>
        <w:t>48 en vigueur à la date de la demande d</w:t>
      </w:r>
      <w:r w:rsidR="00632F4D">
        <w:rPr>
          <w:lang w:val="fr-FR"/>
        </w:rPr>
        <w:t>’</w:t>
      </w:r>
      <w:r w:rsidRPr="00492C20">
        <w:rPr>
          <w:lang w:val="fr-FR"/>
        </w:rPr>
        <w:t>homologation de type s</w:t>
      </w:r>
      <w:r w:rsidR="00632F4D">
        <w:rPr>
          <w:lang w:val="fr-FR"/>
        </w:rPr>
        <w:t>’</w:t>
      </w:r>
      <w:r w:rsidRPr="00492C20">
        <w:rPr>
          <w:lang w:val="fr-FR"/>
        </w:rPr>
        <w:t>appliquent.</w:t>
      </w:r>
      <w:r>
        <w:rPr>
          <w:lang w:val="fr-FR"/>
        </w:rPr>
        <w:t> </w:t>
      </w:r>
      <w:r w:rsidRPr="00492C20">
        <w:rPr>
          <w:lang w:val="fr-FR"/>
        </w:rPr>
        <w:t>»</w:t>
      </w:r>
    </w:p>
    <w:p w:rsidR="00961295" w:rsidRPr="00492C20" w:rsidRDefault="00333A31" w:rsidP="00492C20">
      <w:pPr>
        <w:pStyle w:val="SingleTxtG"/>
      </w:pPr>
      <w:r w:rsidRPr="00492C20">
        <w:rPr>
          <w:i/>
          <w:iCs/>
          <w:lang w:val="fr-FR"/>
        </w:rPr>
        <w:t>Paragraphes 4.1.6 et 4.1.7</w:t>
      </w:r>
      <w:r w:rsidRPr="00492C20">
        <w:rPr>
          <w:lang w:val="fr-FR"/>
        </w:rPr>
        <w:t>, modifier comme suit</w:t>
      </w:r>
      <w:r w:rsidR="00632F4D">
        <w:rPr>
          <w:lang w:val="fr-FR"/>
        </w:rPr>
        <w:t> </w:t>
      </w:r>
      <w:r w:rsidRPr="00492C20">
        <w:rPr>
          <w:lang w:val="fr-FR"/>
        </w:rPr>
        <w:t>:</w:t>
      </w:r>
    </w:p>
    <w:p w:rsidR="00961295" w:rsidRPr="00492C20" w:rsidRDefault="00333A31" w:rsidP="00632F4D">
      <w:pPr>
        <w:pStyle w:val="SingleTxtG"/>
        <w:tabs>
          <w:tab w:val="left" w:pos="2127"/>
        </w:tabs>
      </w:pPr>
      <w:r w:rsidRPr="00492C20">
        <w:rPr>
          <w:lang w:val="fr-FR"/>
        </w:rPr>
        <w:t>«</w:t>
      </w:r>
      <w:r w:rsidR="00632F4D">
        <w:rPr>
          <w:lang w:val="fr-FR"/>
        </w:rPr>
        <w:t> </w:t>
      </w:r>
      <w:r w:rsidRPr="00492C20">
        <w:rPr>
          <w:lang w:val="fr-FR"/>
        </w:rPr>
        <w:t>4.1.6</w:t>
      </w:r>
      <w:r w:rsidRPr="00492C20">
        <w:rPr>
          <w:lang w:val="fr-FR"/>
        </w:rPr>
        <w:tab/>
      </w:r>
      <w:r w:rsidRPr="00C4290A">
        <w:rPr>
          <w:b/>
          <w:lang w:val="fr-FR"/>
        </w:rPr>
        <w:t>Dans le cas des catadioptres</w:t>
      </w:r>
    </w:p>
    <w:p w:rsidR="00961295" w:rsidRPr="00492C20" w:rsidRDefault="00333A31" w:rsidP="00C11B5A">
      <w:pPr>
        <w:pStyle w:val="SingleTxtG"/>
        <w:ind w:left="2127" w:hanging="993"/>
      </w:pPr>
      <w:r w:rsidRPr="00AD330A">
        <w:rPr>
          <w:b/>
          <w:lang w:val="fr-FR"/>
        </w:rPr>
        <w:t>4.1.6.1</w:t>
      </w:r>
      <w:r w:rsidRPr="00492C20">
        <w:rPr>
          <w:lang w:val="fr-FR"/>
        </w:rPr>
        <w:tab/>
        <w:t>Les dispositifs rétroréfléchissants peuvent être composés d</w:t>
      </w:r>
      <w:r w:rsidR="00632F4D">
        <w:rPr>
          <w:lang w:val="fr-FR"/>
        </w:rPr>
        <w:t>’</w:t>
      </w:r>
      <w:r w:rsidRPr="00492C20">
        <w:rPr>
          <w:lang w:val="fr-FR"/>
        </w:rPr>
        <w:t>une optique catadioptrique associée à un filtre, qui doivent être indissociables par construction dans les conditions normales d</w:t>
      </w:r>
      <w:r w:rsidR="00632F4D">
        <w:rPr>
          <w:lang w:val="fr-FR"/>
        </w:rPr>
        <w:t>’</w:t>
      </w:r>
      <w:r w:rsidRPr="00492C20">
        <w:rPr>
          <w:lang w:val="fr-FR"/>
        </w:rPr>
        <w:t>utilisation.</w:t>
      </w:r>
    </w:p>
    <w:p w:rsidR="00961295" w:rsidRPr="00492C20" w:rsidRDefault="00AD330A" w:rsidP="00C11B5A">
      <w:pPr>
        <w:pStyle w:val="SingleTxtG"/>
        <w:ind w:left="2127" w:hanging="993"/>
      </w:pPr>
      <w:r>
        <w:rPr>
          <w:lang w:val="fr-FR"/>
        </w:rPr>
        <w:t>4.1.</w:t>
      </w:r>
      <w:r w:rsidRPr="00AD330A">
        <w:rPr>
          <w:strike/>
          <w:lang w:val="fr-FR"/>
        </w:rPr>
        <w:t>7.</w:t>
      </w:r>
      <w:r w:rsidRPr="00AD330A">
        <w:rPr>
          <w:b/>
          <w:lang w:val="fr-FR"/>
        </w:rPr>
        <w:t>6.2</w:t>
      </w:r>
      <w:r w:rsidR="00333A31" w:rsidRPr="00492C20">
        <w:rPr>
          <w:lang w:val="fr-FR"/>
        </w:rPr>
        <w:tab/>
        <w:t>La coloration des optiques catadioptriques et des filtres au moyen de peinture ou de vernis n</w:t>
      </w:r>
      <w:r w:rsidR="00632F4D">
        <w:rPr>
          <w:lang w:val="fr-FR"/>
        </w:rPr>
        <w:t>’</w:t>
      </w:r>
      <w:r w:rsidR="00333A31" w:rsidRPr="00492C20">
        <w:rPr>
          <w:lang w:val="fr-FR"/>
        </w:rPr>
        <w:t>est pas autorisée.</w:t>
      </w:r>
    </w:p>
    <w:p w:rsidR="00961295" w:rsidRPr="00492C20" w:rsidRDefault="00333A31" w:rsidP="00492C20">
      <w:pPr>
        <w:pStyle w:val="SingleTxtG"/>
      </w:pPr>
      <w:r w:rsidRPr="00492C20">
        <w:rPr>
          <w:i/>
          <w:iCs/>
          <w:lang w:val="fr-FR"/>
        </w:rPr>
        <w:t>Paragraphe 5.4</w:t>
      </w:r>
      <w:r w:rsidR="00632F4D">
        <w:rPr>
          <w:lang w:val="fr-FR"/>
        </w:rPr>
        <w:t>, modifier comme suit </w:t>
      </w:r>
      <w:r w:rsidRPr="00492C20">
        <w:rPr>
          <w:lang w:val="fr-FR"/>
        </w:rPr>
        <w:t>:</w:t>
      </w:r>
    </w:p>
    <w:p w:rsidR="00961295" w:rsidRPr="00492C20" w:rsidRDefault="00333A31" w:rsidP="00C11B5A">
      <w:pPr>
        <w:pStyle w:val="SingleTxtG"/>
        <w:ind w:left="2127" w:hanging="993"/>
      </w:pPr>
      <w:r w:rsidRPr="00492C20">
        <w:t>«</w:t>
      </w:r>
      <w:r w:rsidR="00C4290A">
        <w:t> </w:t>
      </w:r>
      <w:r w:rsidRPr="00492C20">
        <w:rPr>
          <w:lang w:val="fr-FR"/>
        </w:rPr>
        <w:t>5.4</w:t>
      </w:r>
      <w:r w:rsidRPr="00492C20">
        <w:rPr>
          <w:lang w:val="fr-FR"/>
        </w:rPr>
        <w:tab/>
        <w:t xml:space="preserve">PRESCRIPTIONS TECHNIQUES CONCERNANT LES MARQUAGES RÉTRORÉFLÉCHISSANTS DES CLASSES C </w:t>
      </w:r>
      <w:r w:rsidRPr="00C4290A">
        <w:rPr>
          <w:b/>
          <w:lang w:val="fr-FR"/>
        </w:rPr>
        <w:t>ET F</w:t>
      </w:r>
      <w:r w:rsidRPr="00492C20">
        <w:rPr>
          <w:lang w:val="fr-FR"/>
        </w:rPr>
        <w:t xml:space="preserve"> </w:t>
      </w:r>
      <w:r w:rsidR="00C4290A">
        <w:rPr>
          <w:lang w:val="fr-FR"/>
        </w:rPr>
        <w:t>(SYMBOLES « C </w:t>
      </w:r>
      <w:r w:rsidRPr="00492C20">
        <w:rPr>
          <w:lang w:val="fr-FR"/>
        </w:rPr>
        <w:t xml:space="preserve">» </w:t>
      </w:r>
      <w:r w:rsidR="00C4290A">
        <w:rPr>
          <w:b/>
          <w:lang w:val="fr-FR"/>
        </w:rPr>
        <w:t>ET « F </w:t>
      </w:r>
      <w:r w:rsidRPr="00AD330A">
        <w:rPr>
          <w:b/>
          <w:lang w:val="fr-FR"/>
        </w:rPr>
        <w:t>»</w:t>
      </w:r>
      <w:r w:rsidRPr="00492C20">
        <w:rPr>
          <w:lang w:val="fr-FR"/>
        </w:rPr>
        <w:t>)</w:t>
      </w:r>
      <w:r w:rsidR="00AD330A">
        <w:rPr>
          <w:lang w:val="fr-FR"/>
        </w:rPr>
        <w:t> »</w:t>
      </w:r>
    </w:p>
    <w:p w:rsidR="00961295" w:rsidRPr="00492C20" w:rsidRDefault="00333A31" w:rsidP="00492C20">
      <w:pPr>
        <w:pStyle w:val="SingleTxtG"/>
      </w:pPr>
      <w:r w:rsidRPr="00492C20">
        <w:rPr>
          <w:i/>
          <w:iCs/>
          <w:lang w:val="fr-FR"/>
        </w:rPr>
        <w:t>Annexe 7</w:t>
      </w:r>
      <w:r w:rsidR="00C4290A">
        <w:rPr>
          <w:lang w:val="fr-FR"/>
        </w:rPr>
        <w:t>, lire </w:t>
      </w:r>
      <w:r w:rsidRPr="00492C20">
        <w:rPr>
          <w:lang w:val="fr-FR"/>
        </w:rPr>
        <w:t>:</w:t>
      </w:r>
    </w:p>
    <w:p w:rsidR="00961295" w:rsidRPr="00C4290A" w:rsidRDefault="00AD330A" w:rsidP="00AD330A">
      <w:pPr>
        <w:pStyle w:val="HChG"/>
      </w:pPr>
      <w:r>
        <w:tab/>
      </w:r>
      <w:r>
        <w:tab/>
      </w:r>
      <w:r w:rsidR="00333A31" w:rsidRPr="00F103C2">
        <w:rPr>
          <w:b w:val="0"/>
          <w:sz w:val="20"/>
        </w:rPr>
        <w:t>«</w:t>
      </w:r>
      <w:r w:rsidR="00C4290A" w:rsidRPr="00F103C2">
        <w:rPr>
          <w:b w:val="0"/>
          <w:sz w:val="20"/>
        </w:rPr>
        <w:t> </w:t>
      </w:r>
      <w:r w:rsidR="00333A31" w:rsidRPr="00C4290A">
        <w:rPr>
          <w:lang w:val="fr-FR"/>
        </w:rPr>
        <w:t>Résistance à la pénétration de l</w:t>
      </w:r>
      <w:r w:rsidR="00632F4D" w:rsidRPr="00C4290A">
        <w:rPr>
          <w:lang w:val="fr-FR"/>
        </w:rPr>
        <w:t>’</w:t>
      </w:r>
      <w:r w:rsidR="00333A31" w:rsidRPr="00C4290A">
        <w:rPr>
          <w:lang w:val="fr-FR"/>
        </w:rPr>
        <w:t>eau des dispositifs rétroréfléchissants</w:t>
      </w:r>
      <w:r w:rsidR="00333A31" w:rsidRPr="00C4290A">
        <w:rPr>
          <w:strike/>
          <w:lang w:val="fr-FR"/>
        </w:rPr>
        <w:t>, Triangles de présignalisation</w:t>
      </w:r>
    </w:p>
    <w:p w:rsidR="00961295" w:rsidRPr="00C11B5A" w:rsidRDefault="00333A31" w:rsidP="00C11B5A">
      <w:pPr>
        <w:pStyle w:val="SingleTxtG"/>
        <w:ind w:left="2127" w:hanging="993"/>
        <w:rPr>
          <w:b/>
        </w:rPr>
      </w:pPr>
      <w:r w:rsidRPr="00492C20">
        <w:rPr>
          <w:lang w:val="fr-FR"/>
        </w:rPr>
        <w:t>1.</w:t>
      </w:r>
      <w:r w:rsidRPr="00492C20">
        <w:rPr>
          <w:lang w:val="fr-FR"/>
        </w:rPr>
        <w:tab/>
        <w:t xml:space="preserve">ESSAI DES </w:t>
      </w:r>
      <w:r w:rsidRPr="00C11B5A">
        <w:rPr>
          <w:strike/>
          <w:lang w:val="fr-FR"/>
        </w:rPr>
        <w:t>DISPOSITIFS RÉTRORÉFLÉCHISSANTS</w:t>
      </w:r>
      <w:r w:rsidRPr="00492C20">
        <w:rPr>
          <w:lang w:val="fr-FR"/>
        </w:rPr>
        <w:t xml:space="preserve"> </w:t>
      </w:r>
      <w:r w:rsidRPr="00C11B5A">
        <w:rPr>
          <w:b/>
          <w:lang w:val="fr-FR"/>
        </w:rPr>
        <w:t>CATADIOPTRES ET MARQUAGES RÉTRORÉFLÉCHISSANTS</w:t>
      </w:r>
    </w:p>
    <w:p w:rsidR="00961295" w:rsidRPr="00492C20" w:rsidRDefault="00333A31" w:rsidP="00492C20">
      <w:pPr>
        <w:pStyle w:val="SingleTxtG"/>
      </w:pPr>
      <w:r w:rsidRPr="00492C20">
        <w:rPr>
          <w:lang w:val="fr-FR"/>
        </w:rPr>
        <w:t>…</w:t>
      </w:r>
    </w:p>
    <w:p w:rsidR="00961295" w:rsidRPr="00492C20" w:rsidRDefault="00333A31" w:rsidP="00C11B5A">
      <w:pPr>
        <w:pStyle w:val="SingleTxtG"/>
        <w:ind w:left="2127" w:hanging="993"/>
      </w:pPr>
      <w:r w:rsidRPr="006312DF">
        <w:rPr>
          <w:b/>
          <w:lang w:val="fr-FR"/>
        </w:rPr>
        <w:t>3.</w:t>
      </w:r>
      <w:r w:rsidRPr="00492C20">
        <w:rPr>
          <w:lang w:val="fr-FR"/>
        </w:rPr>
        <w:tab/>
      </w:r>
      <w:r w:rsidRPr="00C11B5A">
        <w:rPr>
          <w:b/>
          <w:lang w:val="fr-FR"/>
        </w:rPr>
        <w:t>ESSAI DES PLAQUES DE SIGNALISATION</w:t>
      </w:r>
    </w:p>
    <w:p w:rsidR="00961295" w:rsidRPr="00492C20" w:rsidRDefault="00AD330A" w:rsidP="00C11B5A">
      <w:pPr>
        <w:pStyle w:val="SingleTxtG"/>
        <w:ind w:left="2127" w:hanging="993"/>
      </w:pPr>
      <w:r w:rsidRPr="006312DF">
        <w:rPr>
          <w:b/>
          <w:lang w:val="fr-FR"/>
        </w:rPr>
        <w:t>3.1</w:t>
      </w:r>
      <w:r w:rsidR="00333A31" w:rsidRPr="00492C20">
        <w:rPr>
          <w:lang w:val="fr-FR"/>
        </w:rPr>
        <w:tab/>
      </w:r>
      <w:r w:rsidR="00333A31" w:rsidRPr="00C11B5A">
        <w:rPr>
          <w:b/>
          <w:lang w:val="fr-FR"/>
        </w:rPr>
        <w:t>Résistance à l</w:t>
      </w:r>
      <w:r w:rsidR="00632F4D" w:rsidRPr="00C11B5A">
        <w:rPr>
          <w:b/>
          <w:lang w:val="fr-FR"/>
        </w:rPr>
        <w:t>’</w:t>
      </w:r>
      <w:r w:rsidR="00333A31" w:rsidRPr="00C11B5A">
        <w:rPr>
          <w:b/>
          <w:lang w:val="fr-FR"/>
        </w:rPr>
        <w:t>eau</w:t>
      </w:r>
    </w:p>
    <w:p w:rsidR="00961295" w:rsidRPr="00AD330A" w:rsidRDefault="00AD330A" w:rsidP="00AD330A">
      <w:pPr>
        <w:pStyle w:val="SingleTxtG"/>
        <w:ind w:left="2127" w:hanging="993"/>
        <w:rPr>
          <w:b/>
          <w:lang w:val="fr-FR"/>
        </w:rPr>
      </w:pPr>
      <w:r>
        <w:rPr>
          <w:lang w:val="fr-FR"/>
        </w:rPr>
        <w:tab/>
      </w:r>
      <w:r w:rsidR="00333A31" w:rsidRPr="00AD330A">
        <w:rPr>
          <w:b/>
          <w:lang w:val="fr-FR"/>
        </w:rPr>
        <w:t>Une partie d</w:t>
      </w:r>
      <w:r w:rsidR="00632F4D" w:rsidRPr="00AD330A">
        <w:rPr>
          <w:b/>
          <w:lang w:val="fr-FR"/>
        </w:rPr>
        <w:t>’</w:t>
      </w:r>
      <w:r w:rsidR="00333A31" w:rsidRPr="00AD330A">
        <w:rPr>
          <w:b/>
          <w:lang w:val="fr-FR"/>
        </w:rPr>
        <w:t>une unité-é</w:t>
      </w:r>
      <w:r w:rsidR="00C11B5A" w:rsidRPr="00AD330A">
        <w:rPr>
          <w:b/>
          <w:lang w:val="fr-FR"/>
        </w:rPr>
        <w:t>chantillon non inférieure à 300 </w:t>
      </w:r>
      <w:r w:rsidR="00333A31" w:rsidRPr="00AD330A">
        <w:rPr>
          <w:b/>
          <w:lang w:val="fr-FR"/>
        </w:rPr>
        <w:t>mm de longueur est plongée dans de l</w:t>
      </w:r>
      <w:r w:rsidR="00632F4D" w:rsidRPr="00AD330A">
        <w:rPr>
          <w:b/>
          <w:lang w:val="fr-FR"/>
        </w:rPr>
        <w:t>’</w:t>
      </w:r>
      <w:r w:rsidR="00333A31" w:rsidRPr="00AD330A">
        <w:rPr>
          <w:b/>
          <w:lang w:val="fr-FR"/>
        </w:rPr>
        <w:t>eau distillée à une temp</w:t>
      </w:r>
      <w:r w:rsidR="00C11B5A" w:rsidRPr="00AD330A">
        <w:rPr>
          <w:b/>
          <w:lang w:val="fr-FR"/>
        </w:rPr>
        <w:t xml:space="preserve">érature de 23 ± 5 °C pendant </w:t>
      </w:r>
      <w:r w:rsidR="00F103C2">
        <w:rPr>
          <w:b/>
          <w:lang w:val="fr-FR"/>
        </w:rPr>
        <w:t>18 </w:t>
      </w:r>
      <w:r w:rsidR="00333A31" w:rsidRPr="00AD330A">
        <w:rPr>
          <w:b/>
          <w:lang w:val="fr-FR"/>
        </w:rPr>
        <w:t>heures</w:t>
      </w:r>
      <w:r w:rsidR="00C11B5A" w:rsidRPr="00AD330A">
        <w:rPr>
          <w:b/>
          <w:lang w:val="fr-FR"/>
        </w:rPr>
        <w:t> </w:t>
      </w:r>
      <w:r w:rsidR="00333A31" w:rsidRPr="00AD330A">
        <w:rPr>
          <w:b/>
          <w:lang w:val="fr-FR"/>
        </w:rPr>
        <w:t xml:space="preserve">; après la sortie du bain, elle doit sécher pendant </w:t>
      </w:r>
      <w:r w:rsidR="00F103C2">
        <w:rPr>
          <w:b/>
          <w:lang w:val="fr-FR"/>
        </w:rPr>
        <w:t>24 </w:t>
      </w:r>
      <w:r w:rsidR="00333A31" w:rsidRPr="00AD330A">
        <w:rPr>
          <w:b/>
          <w:lang w:val="fr-FR"/>
        </w:rPr>
        <w:t>heures dans des conditions normales de laboratoire.</w:t>
      </w:r>
    </w:p>
    <w:p w:rsidR="00961295" w:rsidRPr="00C11B5A" w:rsidRDefault="00AD330A" w:rsidP="00AD330A">
      <w:pPr>
        <w:pStyle w:val="SingleTxtG"/>
        <w:ind w:left="2127" w:hanging="993"/>
        <w:rPr>
          <w:b/>
          <w:lang w:val="fr-FR"/>
        </w:rPr>
      </w:pPr>
      <w:r>
        <w:rPr>
          <w:b/>
          <w:lang w:val="fr-FR"/>
        </w:rPr>
        <w:tab/>
      </w:r>
      <w:r w:rsidR="00333A31" w:rsidRPr="00C11B5A">
        <w:rPr>
          <w:b/>
          <w:lang w:val="fr-FR"/>
        </w:rPr>
        <w:t>Cette partie est examinée à la fin de l</w:t>
      </w:r>
      <w:r w:rsidR="00632F4D" w:rsidRPr="00C11B5A">
        <w:rPr>
          <w:b/>
          <w:lang w:val="fr-FR"/>
        </w:rPr>
        <w:t>’</w:t>
      </w:r>
      <w:r w:rsidR="00333A31" w:rsidRPr="00C11B5A">
        <w:rPr>
          <w:b/>
          <w:lang w:val="fr-FR"/>
        </w:rPr>
        <w:t>essai. À</w:t>
      </w:r>
      <w:r w:rsidR="00C11B5A">
        <w:rPr>
          <w:b/>
          <w:lang w:val="fr-FR"/>
        </w:rPr>
        <w:t xml:space="preserve"> partir de 10 </w:t>
      </w:r>
      <w:r w:rsidR="00333A31" w:rsidRPr="00C11B5A">
        <w:rPr>
          <w:b/>
          <w:lang w:val="fr-FR"/>
        </w:rPr>
        <w:t>mm du bord coupé, il ne doit y avoir aucun signe d</w:t>
      </w:r>
      <w:r w:rsidR="00632F4D" w:rsidRPr="00C11B5A">
        <w:rPr>
          <w:b/>
          <w:lang w:val="fr-FR"/>
        </w:rPr>
        <w:t>’</w:t>
      </w:r>
      <w:r w:rsidR="00333A31" w:rsidRPr="00C11B5A">
        <w:rPr>
          <w:b/>
          <w:lang w:val="fr-FR"/>
        </w:rPr>
        <w:t>une détérioration qui réduirait l</w:t>
      </w:r>
      <w:r w:rsidR="00632F4D" w:rsidRPr="00C11B5A">
        <w:rPr>
          <w:b/>
          <w:lang w:val="fr-FR"/>
        </w:rPr>
        <w:t>’</w:t>
      </w:r>
      <w:r w:rsidR="00333A31" w:rsidRPr="00C11B5A">
        <w:rPr>
          <w:b/>
          <w:lang w:val="fr-FR"/>
        </w:rPr>
        <w:t>efficacité de la plaque.</w:t>
      </w:r>
      <w:r w:rsidR="001B228E">
        <w:rPr>
          <w:b/>
          <w:lang w:val="fr-FR"/>
        </w:rPr>
        <w:t> </w:t>
      </w:r>
      <w:r w:rsidR="001B228E" w:rsidRPr="001B228E">
        <w:rPr>
          <w:lang w:val="fr-FR"/>
        </w:rPr>
        <w:t>»</w:t>
      </w:r>
    </w:p>
    <w:p w:rsidR="00961295" w:rsidRPr="00492C20" w:rsidRDefault="00C4290A" w:rsidP="00C4290A">
      <w:pPr>
        <w:pStyle w:val="HChG"/>
      </w:pPr>
      <w:r>
        <w:rPr>
          <w:lang w:val="fr-FR"/>
        </w:rPr>
        <w:tab/>
      </w:r>
      <w:r w:rsidR="00333A31" w:rsidRPr="00492C20">
        <w:rPr>
          <w:lang w:val="fr-FR"/>
        </w:rPr>
        <w:t>II.</w:t>
      </w:r>
      <w:r w:rsidR="00333A31" w:rsidRPr="00492C20">
        <w:rPr>
          <w:lang w:val="fr-FR"/>
        </w:rPr>
        <w:tab/>
        <w:t>Justification</w:t>
      </w:r>
    </w:p>
    <w:p w:rsidR="00961295" w:rsidRPr="00492C20" w:rsidRDefault="00333A31" w:rsidP="00492C20">
      <w:pPr>
        <w:pStyle w:val="SingleTxtG"/>
        <w:rPr>
          <w:i/>
        </w:rPr>
      </w:pPr>
      <w:r w:rsidRPr="00492C20">
        <w:rPr>
          <w:i/>
          <w:iCs/>
          <w:lang w:val="fr-FR"/>
        </w:rPr>
        <w:t>Paragraphe 2.1</w:t>
      </w:r>
    </w:p>
    <w:p w:rsidR="00961295" w:rsidRPr="00492C20" w:rsidRDefault="00333A31" w:rsidP="00492C20">
      <w:pPr>
        <w:pStyle w:val="SingleTxtG"/>
      </w:pPr>
      <w:r w:rsidRPr="00492C20">
        <w:rPr>
          <w:lang w:val="fr-FR"/>
        </w:rPr>
        <w:t>1.</w:t>
      </w:r>
      <w:r w:rsidRPr="00492C20">
        <w:rPr>
          <w:lang w:val="fr-FR"/>
        </w:rPr>
        <w:tab/>
        <w:t>Bien que le libellé «</w:t>
      </w:r>
      <w:r>
        <w:rPr>
          <w:lang w:val="fr-FR"/>
        </w:rPr>
        <w:t> </w:t>
      </w:r>
      <w:r w:rsidRPr="00492C20">
        <w:rPr>
          <w:lang w:val="fr-FR"/>
        </w:rPr>
        <w:t>sauf indication contraire</w:t>
      </w:r>
      <w:r>
        <w:rPr>
          <w:lang w:val="fr-FR"/>
        </w:rPr>
        <w:t> </w:t>
      </w:r>
      <w:r w:rsidRPr="00492C20">
        <w:rPr>
          <w:lang w:val="fr-FR"/>
        </w:rPr>
        <w:t>» figure déjà dans le texte, le groupe de travail informel a conclu que, par souci de clarté, il serait oppo</w:t>
      </w:r>
      <w:r>
        <w:rPr>
          <w:lang w:val="fr-FR"/>
        </w:rPr>
        <w:t xml:space="preserve">rtun de préciser les </w:t>
      </w:r>
      <w:r w:rsidR="00F103C2">
        <w:rPr>
          <w:lang w:val="fr-FR"/>
        </w:rPr>
        <w:t>R</w:t>
      </w:r>
      <w:r>
        <w:rPr>
          <w:lang w:val="fr-FR"/>
        </w:rPr>
        <w:t>èglements </w:t>
      </w:r>
      <w:r w:rsidRPr="00492C20">
        <w:rPr>
          <w:lang w:val="fr-FR"/>
        </w:rPr>
        <w:t>ONU concernant les autres catégories de véhicules dans le paragraphe de définition.</w:t>
      </w:r>
    </w:p>
    <w:p w:rsidR="00961295" w:rsidRPr="00492C20" w:rsidRDefault="00333A31" w:rsidP="00492C20">
      <w:pPr>
        <w:pStyle w:val="SingleTxtG"/>
        <w:rPr>
          <w:i/>
        </w:rPr>
      </w:pPr>
      <w:r w:rsidRPr="00492C20">
        <w:rPr>
          <w:i/>
          <w:iCs/>
          <w:lang w:val="fr-FR"/>
        </w:rPr>
        <w:t>Paragraphes 4.1.6 et 4.1.7</w:t>
      </w:r>
    </w:p>
    <w:p w:rsidR="00961295" w:rsidRPr="00492C20" w:rsidRDefault="00333A31" w:rsidP="00492C20">
      <w:pPr>
        <w:pStyle w:val="SingleTxtG"/>
      </w:pPr>
      <w:r w:rsidRPr="00492C20">
        <w:rPr>
          <w:lang w:val="fr-FR"/>
        </w:rPr>
        <w:t>2.</w:t>
      </w:r>
      <w:r w:rsidRPr="00492C20">
        <w:rPr>
          <w:lang w:val="fr-FR"/>
        </w:rPr>
        <w:tab/>
        <w:t>Ces paragraphes s</w:t>
      </w:r>
      <w:r w:rsidR="00632F4D">
        <w:rPr>
          <w:lang w:val="fr-FR"/>
        </w:rPr>
        <w:t>’</w:t>
      </w:r>
      <w:r w:rsidRPr="00492C20">
        <w:rPr>
          <w:lang w:val="fr-FR"/>
        </w:rPr>
        <w:t>app</w:t>
      </w:r>
      <w:r w:rsidR="00AD330A">
        <w:rPr>
          <w:lang w:val="fr-FR"/>
        </w:rPr>
        <w:t>liquent uniquement au Règlement </w:t>
      </w:r>
      <w:r w:rsidRPr="00492C20">
        <w:rPr>
          <w:lang w:val="fr-FR"/>
        </w:rPr>
        <w:t>ONU n</w:t>
      </w:r>
      <w:r w:rsidRPr="00492C20">
        <w:rPr>
          <w:vertAlign w:val="superscript"/>
          <w:lang w:val="fr-FR"/>
        </w:rPr>
        <w:t>o</w:t>
      </w:r>
      <w:r w:rsidRPr="00492C20">
        <w:rPr>
          <w:lang w:val="fr-FR"/>
        </w:rPr>
        <w:t> 3 relatif aux catadioptres, pas à d</w:t>
      </w:r>
      <w:r w:rsidR="00632F4D">
        <w:rPr>
          <w:lang w:val="fr-FR"/>
        </w:rPr>
        <w:t>’</w:t>
      </w:r>
      <w:r w:rsidRPr="00492C20">
        <w:rPr>
          <w:lang w:val="fr-FR"/>
        </w:rPr>
        <w:t>autres dispositifs rétroréfléchissants.</w:t>
      </w:r>
    </w:p>
    <w:p w:rsidR="00961295" w:rsidRPr="00492C20" w:rsidRDefault="00333A31" w:rsidP="00981466">
      <w:pPr>
        <w:pStyle w:val="SingleTxtG"/>
        <w:keepNext/>
        <w:keepLines/>
        <w:rPr>
          <w:i/>
        </w:rPr>
      </w:pPr>
      <w:r w:rsidRPr="00492C20">
        <w:rPr>
          <w:i/>
          <w:iCs/>
          <w:lang w:val="fr-FR"/>
        </w:rPr>
        <w:lastRenderedPageBreak/>
        <w:t>Paragraphe 5.4</w:t>
      </w:r>
    </w:p>
    <w:p w:rsidR="00961295" w:rsidRPr="00492C20" w:rsidRDefault="00AD330A" w:rsidP="00981466">
      <w:pPr>
        <w:pStyle w:val="SingleTxtG"/>
        <w:keepNext/>
        <w:keepLines/>
      </w:pPr>
      <w:r>
        <w:rPr>
          <w:lang w:val="fr-FR"/>
        </w:rPr>
        <w:t>3.</w:t>
      </w:r>
      <w:r>
        <w:rPr>
          <w:lang w:val="fr-FR"/>
        </w:rPr>
        <w:tab/>
        <w:t>Le texte du paragraphe 5.4 renvoie aux classes </w:t>
      </w:r>
      <w:r w:rsidR="00333A31" w:rsidRPr="00492C20">
        <w:rPr>
          <w:lang w:val="fr-FR"/>
        </w:rPr>
        <w:t>C et F, bien que le titre, par erreur</w:t>
      </w:r>
      <w:r>
        <w:rPr>
          <w:lang w:val="fr-FR"/>
        </w:rPr>
        <w:t>, mentionne seulement la classe </w:t>
      </w:r>
      <w:r w:rsidR="00333A31" w:rsidRPr="00492C20">
        <w:rPr>
          <w:lang w:val="fr-FR"/>
        </w:rPr>
        <w:t>C.</w:t>
      </w:r>
    </w:p>
    <w:p w:rsidR="00961295" w:rsidRPr="00492C20" w:rsidRDefault="00333A31" w:rsidP="00492C20">
      <w:pPr>
        <w:pStyle w:val="SingleTxtG"/>
        <w:rPr>
          <w:i/>
        </w:rPr>
      </w:pPr>
      <w:r w:rsidRPr="00492C20">
        <w:rPr>
          <w:i/>
          <w:iCs/>
          <w:lang w:val="fr-FR"/>
        </w:rPr>
        <w:t>Annexe 7</w:t>
      </w:r>
    </w:p>
    <w:p w:rsidR="00961295" w:rsidRPr="00492C20" w:rsidRDefault="00333A31" w:rsidP="00492C20">
      <w:pPr>
        <w:pStyle w:val="SingleTxtG"/>
      </w:pPr>
      <w:r w:rsidRPr="00492C20">
        <w:rPr>
          <w:lang w:val="fr-FR"/>
        </w:rPr>
        <w:t>4.</w:t>
      </w:r>
      <w:r w:rsidRPr="00492C20">
        <w:rPr>
          <w:lang w:val="fr-FR"/>
        </w:rPr>
        <w:tab/>
        <w:t>L</w:t>
      </w:r>
      <w:r w:rsidR="00632F4D">
        <w:rPr>
          <w:lang w:val="fr-FR"/>
        </w:rPr>
        <w:t>’</w:t>
      </w:r>
      <w:r w:rsidRPr="00492C20">
        <w:rPr>
          <w:lang w:val="fr-FR"/>
        </w:rPr>
        <w:t>«</w:t>
      </w:r>
      <w:r w:rsidR="00981466">
        <w:rPr>
          <w:lang w:val="fr-FR"/>
        </w:rPr>
        <w:t> </w:t>
      </w:r>
      <w:r w:rsidRPr="00492C20">
        <w:rPr>
          <w:lang w:val="fr-FR"/>
        </w:rPr>
        <w:t>essai de résistance à l</w:t>
      </w:r>
      <w:r w:rsidR="00632F4D">
        <w:rPr>
          <w:lang w:val="fr-FR"/>
        </w:rPr>
        <w:t>’</w:t>
      </w:r>
      <w:r w:rsidRPr="00492C20">
        <w:rPr>
          <w:lang w:val="fr-FR"/>
        </w:rPr>
        <w:t>eau</w:t>
      </w:r>
      <w:r w:rsidR="00981466">
        <w:rPr>
          <w:lang w:val="fr-FR"/>
        </w:rPr>
        <w:t> </w:t>
      </w:r>
      <w:r w:rsidRPr="00492C20">
        <w:rPr>
          <w:lang w:val="fr-FR"/>
        </w:rPr>
        <w:t>» d</w:t>
      </w:r>
      <w:r>
        <w:rPr>
          <w:lang w:val="fr-FR"/>
        </w:rPr>
        <w:t>es Règlements </w:t>
      </w:r>
      <w:r w:rsidRPr="00492C20">
        <w:rPr>
          <w:lang w:val="fr-FR"/>
        </w:rPr>
        <w:t>ONU n</w:t>
      </w:r>
      <w:r w:rsidRPr="00492C20">
        <w:rPr>
          <w:vertAlign w:val="superscript"/>
          <w:lang w:val="fr-FR"/>
        </w:rPr>
        <w:t>os</w:t>
      </w:r>
      <w:r w:rsidR="00C11B5A">
        <w:rPr>
          <w:lang w:val="fr-FR"/>
        </w:rPr>
        <w:t> </w:t>
      </w:r>
      <w:r w:rsidRPr="00492C20">
        <w:rPr>
          <w:lang w:val="fr-FR"/>
        </w:rPr>
        <w:t>69 et 70 relatifs aux plaque</w:t>
      </w:r>
      <w:r w:rsidR="00981466">
        <w:rPr>
          <w:lang w:val="fr-FR"/>
        </w:rPr>
        <w:t>s faisait défaut. Le paragraphe </w:t>
      </w:r>
      <w:r w:rsidRPr="00492C20">
        <w:rPr>
          <w:lang w:val="fr-FR"/>
        </w:rPr>
        <w:t>3 de l</w:t>
      </w:r>
      <w:r w:rsidR="00632F4D">
        <w:rPr>
          <w:lang w:val="fr-FR"/>
        </w:rPr>
        <w:t>’</w:t>
      </w:r>
      <w:r>
        <w:rPr>
          <w:lang w:val="fr-FR"/>
        </w:rPr>
        <w:t>annexe 7 a été repris du Règlement </w:t>
      </w:r>
      <w:r w:rsidRPr="00492C20">
        <w:rPr>
          <w:lang w:val="fr-FR"/>
        </w:rPr>
        <w:t xml:space="preserve">ONU </w:t>
      </w:r>
      <w:r w:rsidR="00C11B5A" w:rsidRPr="00C11B5A">
        <w:rPr>
          <w:rFonts w:eastAsia="MS Mincho"/>
          <w:lang w:val="fr-FR"/>
        </w:rPr>
        <w:t>n</w:t>
      </w:r>
      <w:r w:rsidR="00C11B5A" w:rsidRPr="00C11B5A">
        <w:rPr>
          <w:rFonts w:eastAsia="MS Mincho"/>
          <w:vertAlign w:val="superscript"/>
          <w:lang w:val="fr-FR"/>
        </w:rPr>
        <w:t>o</w:t>
      </w:r>
      <w:r w:rsidR="00C11B5A">
        <w:rPr>
          <w:lang w:val="fr-FR"/>
        </w:rPr>
        <w:t> </w:t>
      </w:r>
      <w:r w:rsidRPr="00492C20">
        <w:rPr>
          <w:lang w:val="fr-FR"/>
        </w:rPr>
        <w:t>70</w:t>
      </w:r>
      <w:r w:rsidR="00C11B5A">
        <w:rPr>
          <w:lang w:val="fr-FR"/>
        </w:rPr>
        <w:t>, annexe 8, paragraphe </w:t>
      </w:r>
      <w:r w:rsidRPr="00492C20">
        <w:rPr>
          <w:lang w:val="fr-FR"/>
        </w:rPr>
        <w:t>5.</w:t>
      </w:r>
    </w:p>
    <w:p w:rsidR="00961295" w:rsidRPr="00492C20" w:rsidRDefault="00333A31" w:rsidP="00492C20">
      <w:pPr>
        <w:pStyle w:val="SingleTxtG"/>
        <w:rPr>
          <w:i/>
        </w:rPr>
      </w:pPr>
      <w:r w:rsidRPr="00492C20">
        <w:rPr>
          <w:i/>
          <w:iCs/>
          <w:lang w:val="fr-FR"/>
        </w:rPr>
        <w:t>Généralités</w:t>
      </w:r>
    </w:p>
    <w:p w:rsidR="00961295" w:rsidRPr="00492C20" w:rsidRDefault="00333A31" w:rsidP="00492C20">
      <w:pPr>
        <w:pStyle w:val="SingleTxtG"/>
      </w:pPr>
      <w:r w:rsidRPr="00492C20">
        <w:rPr>
          <w:lang w:val="fr-FR"/>
        </w:rPr>
        <w:t>5.</w:t>
      </w:r>
      <w:r w:rsidRPr="00492C20">
        <w:rPr>
          <w:lang w:val="fr-FR"/>
        </w:rPr>
        <w:tab/>
        <w:t>Si elle est adoptée par le Groupe de travail de l</w:t>
      </w:r>
      <w:r w:rsidR="00632F4D">
        <w:rPr>
          <w:lang w:val="fr-FR"/>
        </w:rPr>
        <w:t>’</w:t>
      </w:r>
      <w:r w:rsidRPr="00492C20">
        <w:rPr>
          <w:lang w:val="fr-FR"/>
        </w:rPr>
        <w:t>éclairage et de la signalisation lumineuse (GRE) à sa quatre-vingtième session, en octobre 2018, cette proposition pourrait être transmise, sous la forme d</w:t>
      </w:r>
      <w:r w:rsidR="00632F4D">
        <w:rPr>
          <w:lang w:val="fr-FR"/>
        </w:rPr>
        <w:t>’</w:t>
      </w:r>
      <w:r w:rsidRPr="00492C20">
        <w:rPr>
          <w:lang w:val="fr-FR"/>
        </w:rPr>
        <w:t>un document informel, à la session de novembre 2018 du Forum mondial de l</w:t>
      </w:r>
      <w:r w:rsidR="00632F4D">
        <w:rPr>
          <w:lang w:val="fr-FR"/>
        </w:rPr>
        <w:t>’</w:t>
      </w:r>
      <w:r w:rsidRPr="00492C20">
        <w:rPr>
          <w:lang w:val="fr-FR"/>
        </w:rPr>
        <w:t>harmonisation des Règlements concernant les véhicules (WP.29) pour qu</w:t>
      </w:r>
      <w:r w:rsidR="00632F4D">
        <w:rPr>
          <w:lang w:val="fr-FR"/>
        </w:rPr>
        <w:t>’</w:t>
      </w:r>
      <w:r w:rsidRPr="00492C20">
        <w:rPr>
          <w:lang w:val="fr-FR"/>
        </w:rPr>
        <w:t>il l</w:t>
      </w:r>
      <w:r w:rsidR="00632F4D">
        <w:rPr>
          <w:lang w:val="fr-FR"/>
        </w:rPr>
        <w:t>’</w:t>
      </w:r>
      <w:r w:rsidRPr="00492C20">
        <w:rPr>
          <w:lang w:val="fr-FR"/>
        </w:rPr>
        <w:t>examine en même temps que la proposition officielle sur le Règlement RRD. De cette manière, en novembre 2018, le WP.29 aura la possibilité d</w:t>
      </w:r>
      <w:r w:rsidR="00632F4D">
        <w:rPr>
          <w:lang w:val="fr-FR"/>
        </w:rPr>
        <w:t>’</w:t>
      </w:r>
      <w:r w:rsidRPr="00492C20">
        <w:rPr>
          <w:lang w:val="fr-FR"/>
        </w:rPr>
        <w:t>adopter un meilleur texte dès le début.</w:t>
      </w:r>
    </w:p>
    <w:p w:rsidR="00446FE5" w:rsidRPr="00492C20" w:rsidRDefault="00492C20" w:rsidP="00492C2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492C20" w:rsidSect="00492C2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6B" w:rsidRDefault="0026016B" w:rsidP="00F95C08">
      <w:pPr>
        <w:spacing w:line="240" w:lineRule="auto"/>
      </w:pPr>
    </w:p>
  </w:endnote>
  <w:endnote w:type="continuationSeparator" w:id="0">
    <w:p w:rsidR="0026016B" w:rsidRPr="00AC3823" w:rsidRDefault="0026016B" w:rsidP="00AC3823">
      <w:pPr>
        <w:pStyle w:val="Footer"/>
      </w:pPr>
    </w:p>
  </w:endnote>
  <w:endnote w:type="continuationNotice" w:id="1">
    <w:p w:rsidR="0026016B" w:rsidRDefault="002601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0" w:rsidRPr="00492C20" w:rsidRDefault="00492C20" w:rsidP="00492C20">
    <w:pPr>
      <w:pStyle w:val="Footer"/>
      <w:tabs>
        <w:tab w:val="right" w:pos="9638"/>
      </w:tabs>
    </w:pPr>
    <w:r w:rsidRPr="00492C20">
      <w:rPr>
        <w:b/>
        <w:sz w:val="18"/>
      </w:rPr>
      <w:fldChar w:fldCharType="begin"/>
    </w:r>
    <w:r w:rsidRPr="00492C20">
      <w:rPr>
        <w:b/>
        <w:sz w:val="18"/>
      </w:rPr>
      <w:instrText xml:space="preserve"> PAGE  \* MERGEFORMAT </w:instrText>
    </w:r>
    <w:r w:rsidRPr="00492C20">
      <w:rPr>
        <w:b/>
        <w:sz w:val="18"/>
      </w:rPr>
      <w:fldChar w:fldCharType="separate"/>
    </w:r>
    <w:r w:rsidR="00964629">
      <w:rPr>
        <w:b/>
        <w:noProof/>
        <w:sz w:val="18"/>
      </w:rPr>
      <w:t>2</w:t>
    </w:r>
    <w:r w:rsidRPr="00492C20">
      <w:rPr>
        <w:b/>
        <w:sz w:val="18"/>
      </w:rPr>
      <w:fldChar w:fldCharType="end"/>
    </w:r>
    <w:r>
      <w:rPr>
        <w:b/>
        <w:sz w:val="18"/>
      </w:rPr>
      <w:tab/>
    </w:r>
    <w:r>
      <w:t>GE.18-13205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0" w:rsidRPr="00492C20" w:rsidRDefault="00492C20" w:rsidP="00492C20">
    <w:pPr>
      <w:pStyle w:val="Footer"/>
      <w:tabs>
        <w:tab w:val="right" w:pos="9638"/>
      </w:tabs>
      <w:rPr>
        <w:b/>
        <w:sz w:val="18"/>
      </w:rPr>
    </w:pPr>
    <w:r>
      <w:t>GE.18-13205</w:t>
    </w:r>
    <w:r>
      <w:tab/>
    </w:r>
    <w:r w:rsidRPr="00492C20">
      <w:rPr>
        <w:b/>
        <w:sz w:val="18"/>
      </w:rPr>
      <w:fldChar w:fldCharType="begin"/>
    </w:r>
    <w:r w:rsidRPr="00492C20">
      <w:rPr>
        <w:b/>
        <w:sz w:val="18"/>
      </w:rPr>
      <w:instrText xml:space="preserve"> PAGE  \* MERGEFORMAT </w:instrText>
    </w:r>
    <w:r w:rsidRPr="00492C20">
      <w:rPr>
        <w:b/>
        <w:sz w:val="18"/>
      </w:rPr>
      <w:fldChar w:fldCharType="separate"/>
    </w:r>
    <w:r w:rsidR="00964629">
      <w:rPr>
        <w:b/>
        <w:noProof/>
        <w:sz w:val="18"/>
      </w:rPr>
      <w:t>3</w:t>
    </w:r>
    <w:r w:rsidRPr="00492C2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E9" w:rsidRPr="00492C20" w:rsidRDefault="00492C20" w:rsidP="00492C20">
    <w:pPr>
      <w:pStyle w:val="Footer"/>
      <w:spacing w:before="120"/>
      <w:rPr>
        <w:sz w:val="20"/>
      </w:rPr>
    </w:pPr>
    <w:r>
      <w:rPr>
        <w:sz w:val="20"/>
      </w:rPr>
      <w:t>GE.</w:t>
    </w:r>
    <w:r w:rsidR="000D3EE9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33797F0" wp14:editId="06CC754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18-13205  (F)    040918    070918</w:t>
    </w:r>
    <w:r>
      <w:rPr>
        <w:sz w:val="20"/>
      </w:rPr>
      <w:br/>
    </w:r>
    <w:r w:rsidRPr="00492C20">
      <w:rPr>
        <w:rFonts w:ascii="C39T30Lfz" w:hAnsi="C39T30Lfz"/>
        <w:sz w:val="56"/>
      </w:rPr>
      <w:t></w:t>
    </w:r>
    <w:r w:rsidRPr="00492C20">
      <w:rPr>
        <w:rFonts w:ascii="C39T30Lfz" w:hAnsi="C39T30Lfz"/>
        <w:sz w:val="56"/>
      </w:rPr>
      <w:t></w:t>
    </w:r>
    <w:r w:rsidRPr="00492C20">
      <w:rPr>
        <w:rFonts w:ascii="C39T30Lfz" w:hAnsi="C39T30Lfz"/>
        <w:sz w:val="56"/>
      </w:rPr>
      <w:t></w:t>
    </w:r>
    <w:r w:rsidRPr="00492C20">
      <w:rPr>
        <w:rFonts w:ascii="C39T30Lfz" w:hAnsi="C39T30Lfz"/>
        <w:sz w:val="56"/>
      </w:rPr>
      <w:t></w:t>
    </w:r>
    <w:r w:rsidRPr="00492C20">
      <w:rPr>
        <w:rFonts w:ascii="C39T30Lfz" w:hAnsi="C39T30Lfz"/>
        <w:sz w:val="56"/>
      </w:rPr>
      <w:t></w:t>
    </w:r>
    <w:r w:rsidRPr="00492C20">
      <w:rPr>
        <w:rFonts w:ascii="C39T30Lfz" w:hAnsi="C39T30Lfz"/>
        <w:sz w:val="56"/>
      </w:rPr>
      <w:t></w:t>
    </w:r>
    <w:r w:rsidRPr="00492C20">
      <w:rPr>
        <w:rFonts w:ascii="C39T30Lfz" w:hAnsi="C39T30Lfz"/>
        <w:sz w:val="56"/>
      </w:rPr>
      <w:t></w:t>
    </w:r>
    <w:r w:rsidRPr="00492C20">
      <w:rPr>
        <w:rFonts w:ascii="C39T30Lfz" w:hAnsi="C39T30Lfz"/>
        <w:sz w:val="56"/>
      </w:rPr>
      <w:t></w:t>
    </w:r>
    <w:r w:rsidRPr="00492C20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2" name="Image 1" descr="https://undocs.org/m2/QRCode.ashx?DS=ECE/TRANS/WP.29/GRE/2018/38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8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6B" w:rsidRPr="00AC3823" w:rsidRDefault="0026016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6016B" w:rsidRPr="00AC3823" w:rsidRDefault="0026016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26016B" w:rsidRPr="00AC3823" w:rsidRDefault="0026016B">
      <w:pPr>
        <w:spacing w:line="240" w:lineRule="auto"/>
        <w:rPr>
          <w:sz w:val="2"/>
          <w:szCs w:val="2"/>
        </w:rPr>
      </w:pPr>
    </w:p>
  </w:footnote>
  <w:footnote w:id="2">
    <w:p w:rsidR="00632F4D" w:rsidRPr="00632F4D" w:rsidRDefault="00632F4D">
      <w:pPr>
        <w:pStyle w:val="FootnoteText"/>
      </w:pPr>
      <w:r>
        <w:rPr>
          <w:rStyle w:val="FootnoteReference"/>
        </w:rPr>
        <w:tab/>
      </w:r>
      <w:r w:rsidRPr="00632F4D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lang w:val="fr-FR"/>
        </w:rPr>
        <w:t xml:space="preserve">Conformément au programme de travail du Comité des transports </w:t>
      </w:r>
      <w:r w:rsidR="00AD330A">
        <w:rPr>
          <w:lang w:val="fr-FR"/>
        </w:rPr>
        <w:t>intérieurs pour la période 2018</w:t>
      </w:r>
      <w:r w:rsidR="00AD330A">
        <w:rPr>
          <w:lang w:val="fr-FR"/>
        </w:rPr>
        <w:noBreakHyphen/>
      </w:r>
      <w:r>
        <w:rPr>
          <w:lang w:val="fr-FR"/>
        </w:rPr>
        <w:t>2019 (ECE/TRANS/274, par. 123, et ECE/TRANS/2018/21/Add.1, module 3.1),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0" w:rsidRPr="00492C20" w:rsidRDefault="00964629">
    <w:pPr>
      <w:pStyle w:val="Header"/>
    </w:pPr>
    <w:fldSimple w:instr=" TITLE  \* MERGEFORMAT ">
      <w:r>
        <w:t>ECE/TRANS/WP.29/GRE/2018/38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20" w:rsidRPr="00492C20" w:rsidRDefault="00964629" w:rsidP="00492C20">
    <w:pPr>
      <w:pStyle w:val="Header"/>
      <w:jc w:val="right"/>
    </w:pPr>
    <w:fldSimple w:instr=" TITLE  \* MERGEFORMAT ">
      <w:r>
        <w:t>ECE/TRANS/WP.29/GRE/2018/38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9081E36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49F466E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16EA87C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567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6B"/>
    <w:rsid w:val="00017F94"/>
    <w:rsid w:val="00023842"/>
    <w:rsid w:val="000334F9"/>
    <w:rsid w:val="0007796D"/>
    <w:rsid w:val="000B7790"/>
    <w:rsid w:val="000D3EE9"/>
    <w:rsid w:val="00111F2F"/>
    <w:rsid w:val="001433FD"/>
    <w:rsid w:val="0014365E"/>
    <w:rsid w:val="001541D3"/>
    <w:rsid w:val="00176178"/>
    <w:rsid w:val="001B228E"/>
    <w:rsid w:val="001F525A"/>
    <w:rsid w:val="00223272"/>
    <w:rsid w:val="0024779E"/>
    <w:rsid w:val="0026016B"/>
    <w:rsid w:val="002832AC"/>
    <w:rsid w:val="00295CCA"/>
    <w:rsid w:val="002D7C93"/>
    <w:rsid w:val="00333A31"/>
    <w:rsid w:val="00441C3B"/>
    <w:rsid w:val="00446B0A"/>
    <w:rsid w:val="00446FE5"/>
    <w:rsid w:val="00452396"/>
    <w:rsid w:val="00492C20"/>
    <w:rsid w:val="004E468C"/>
    <w:rsid w:val="00506BE1"/>
    <w:rsid w:val="00522BA4"/>
    <w:rsid w:val="005316B0"/>
    <w:rsid w:val="005505B7"/>
    <w:rsid w:val="00573BE5"/>
    <w:rsid w:val="00586ED3"/>
    <w:rsid w:val="00596AA9"/>
    <w:rsid w:val="005F2353"/>
    <w:rsid w:val="006312DF"/>
    <w:rsid w:val="00632F4D"/>
    <w:rsid w:val="00706363"/>
    <w:rsid w:val="0071601D"/>
    <w:rsid w:val="0074674C"/>
    <w:rsid w:val="007A62E6"/>
    <w:rsid w:val="007B3470"/>
    <w:rsid w:val="0080684C"/>
    <w:rsid w:val="00871C75"/>
    <w:rsid w:val="008776DC"/>
    <w:rsid w:val="00964629"/>
    <w:rsid w:val="009705C8"/>
    <w:rsid w:val="00981466"/>
    <w:rsid w:val="009C1CF4"/>
    <w:rsid w:val="00A30353"/>
    <w:rsid w:val="00AA113A"/>
    <w:rsid w:val="00AC3823"/>
    <w:rsid w:val="00AD330A"/>
    <w:rsid w:val="00AE323C"/>
    <w:rsid w:val="00B00181"/>
    <w:rsid w:val="00B00B0D"/>
    <w:rsid w:val="00B0225F"/>
    <w:rsid w:val="00B765F7"/>
    <w:rsid w:val="00BA0CA9"/>
    <w:rsid w:val="00C02897"/>
    <w:rsid w:val="00C11B5A"/>
    <w:rsid w:val="00C4290A"/>
    <w:rsid w:val="00C74128"/>
    <w:rsid w:val="00C80C7C"/>
    <w:rsid w:val="00D3439C"/>
    <w:rsid w:val="00DB1831"/>
    <w:rsid w:val="00DD3BFD"/>
    <w:rsid w:val="00DF6678"/>
    <w:rsid w:val="00E062B5"/>
    <w:rsid w:val="00EF2E22"/>
    <w:rsid w:val="00F103C2"/>
    <w:rsid w:val="00F43076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8C5179A-A805-4D0F-AB21-1AF6261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7467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7467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4674C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4674C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74674C"/>
  </w:style>
  <w:style w:type="character" w:customStyle="1" w:styleId="EndnoteTextChar">
    <w:name w:val="Endnote Text Char"/>
    <w:aliases w:val="2_G Char"/>
    <w:basedOn w:val="DefaultParagraphFont"/>
    <w:link w:val="EndnoteText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ECE/TRANS/WP.29/GRE/2018/38</vt:lpstr>
      <vt:lpstr>ECE/TRANS/WP.29/GRE/2018/38</vt:lpstr>
    </vt:vector>
  </TitlesOfParts>
  <Company>DCM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ECE/TRANS/WP.29/GRE/2018/38</dc:title>
  <dc:subject/>
  <dc:creator>ROY</dc:creator>
  <cp:keywords/>
  <cp:lastModifiedBy>Benedicte Boudol</cp:lastModifiedBy>
  <cp:revision>2</cp:revision>
  <cp:lastPrinted>2018-09-07T15:13:00Z</cp:lastPrinted>
  <dcterms:created xsi:type="dcterms:W3CDTF">2018-09-10T07:50:00Z</dcterms:created>
  <dcterms:modified xsi:type="dcterms:W3CDTF">2018-09-10T07:50:00Z</dcterms:modified>
</cp:coreProperties>
</file>