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BF17E5">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BF17E5" w:rsidP="00BF17E5">
            <w:pPr>
              <w:jc w:val="right"/>
            </w:pPr>
            <w:r w:rsidRPr="00BF17E5">
              <w:rPr>
                <w:sz w:val="40"/>
              </w:rPr>
              <w:t>ECE</w:t>
            </w:r>
            <w:r>
              <w:t>/TRANS/WP.29/GRE/2018/37</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BF17E5" w:rsidP="00C97039">
            <w:pPr>
              <w:spacing w:before="240"/>
            </w:pPr>
            <w:r>
              <w:t>Distr. générale</w:t>
            </w:r>
          </w:p>
          <w:p w:rsidR="00BF17E5" w:rsidRDefault="00BF17E5" w:rsidP="00BF17E5">
            <w:pPr>
              <w:spacing w:line="240" w:lineRule="exact"/>
            </w:pPr>
            <w:r>
              <w:t>10 août 2018</w:t>
            </w:r>
          </w:p>
          <w:p w:rsidR="00BF17E5" w:rsidRDefault="00BF17E5" w:rsidP="00BF17E5">
            <w:pPr>
              <w:spacing w:line="240" w:lineRule="exact"/>
            </w:pPr>
            <w:r>
              <w:t>Français</w:t>
            </w:r>
          </w:p>
          <w:p w:rsidR="00BF17E5" w:rsidRPr="00DB58B5" w:rsidRDefault="00BF17E5" w:rsidP="00BF17E5">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E86730" w:rsidRPr="00712FA2" w:rsidRDefault="00E86730" w:rsidP="00E86730">
      <w:pPr>
        <w:spacing w:before="120"/>
        <w:rPr>
          <w:b/>
          <w:sz w:val="24"/>
          <w:szCs w:val="24"/>
        </w:rPr>
      </w:pPr>
      <w:r w:rsidRPr="00712FA2">
        <w:rPr>
          <w:b/>
          <w:bCs/>
          <w:sz w:val="24"/>
          <w:szCs w:val="24"/>
          <w:lang w:val="fr-FR"/>
        </w:rPr>
        <w:t xml:space="preserve">Forum mondial de l’harmonisation </w:t>
      </w:r>
      <w:r w:rsidR="00712FA2">
        <w:rPr>
          <w:b/>
          <w:bCs/>
          <w:sz w:val="24"/>
          <w:szCs w:val="24"/>
          <w:lang w:val="fr-FR"/>
        </w:rPr>
        <w:br/>
      </w:r>
      <w:r w:rsidRPr="00712FA2">
        <w:rPr>
          <w:b/>
          <w:bCs/>
          <w:sz w:val="24"/>
          <w:szCs w:val="24"/>
          <w:lang w:val="fr-FR"/>
        </w:rPr>
        <w:t>des Règlements concernant les véhicules</w:t>
      </w:r>
    </w:p>
    <w:p w:rsidR="00E86730" w:rsidRPr="00457CB2" w:rsidRDefault="00E86730" w:rsidP="00E86730">
      <w:pPr>
        <w:spacing w:before="120" w:after="120"/>
        <w:rPr>
          <w:b/>
          <w:bCs/>
        </w:rPr>
      </w:pPr>
      <w:r w:rsidRPr="00457CB2">
        <w:rPr>
          <w:b/>
          <w:bCs/>
          <w:lang w:val="fr-FR"/>
        </w:rPr>
        <w:t>Groupe de travail de l’éclairage et de la signalisation lumineuse</w:t>
      </w:r>
    </w:p>
    <w:p w:rsidR="00E86730" w:rsidRPr="00457CB2" w:rsidRDefault="00E86730" w:rsidP="00E86730">
      <w:pPr>
        <w:spacing w:before="120"/>
        <w:rPr>
          <w:b/>
        </w:rPr>
      </w:pPr>
      <w:r w:rsidRPr="00457CB2">
        <w:rPr>
          <w:b/>
          <w:bCs/>
          <w:lang w:val="fr-FR"/>
        </w:rPr>
        <w:t>Quatre-vingtième session</w:t>
      </w:r>
    </w:p>
    <w:p w:rsidR="00E86730" w:rsidRPr="00457CB2" w:rsidRDefault="00E86730" w:rsidP="00E86730">
      <w:pPr>
        <w:rPr>
          <w:bCs/>
        </w:rPr>
      </w:pPr>
      <w:r w:rsidRPr="00457CB2">
        <w:rPr>
          <w:lang w:val="fr-FR"/>
        </w:rPr>
        <w:t>Genève, 23-26 octobre 2018</w:t>
      </w:r>
    </w:p>
    <w:p w:rsidR="00E86730" w:rsidRPr="00457CB2" w:rsidRDefault="00E86730" w:rsidP="00E86730">
      <w:pPr>
        <w:ind w:right="1134"/>
        <w:rPr>
          <w:bCs/>
        </w:rPr>
      </w:pPr>
      <w:r w:rsidRPr="00457CB2">
        <w:rPr>
          <w:lang w:val="fr-FR"/>
        </w:rPr>
        <w:t>Point 4 de l’ordre du jour provisoire</w:t>
      </w:r>
    </w:p>
    <w:p w:rsidR="00E86730" w:rsidRPr="00457CB2" w:rsidRDefault="00E86730" w:rsidP="00E86730">
      <w:pPr>
        <w:ind w:right="1134"/>
        <w:rPr>
          <w:b/>
          <w:bCs/>
        </w:rPr>
      </w:pPr>
      <w:r w:rsidRPr="00457CB2">
        <w:rPr>
          <w:b/>
          <w:bCs/>
          <w:lang w:val="fr-FR"/>
        </w:rPr>
        <w:t xml:space="preserve">Simplification des Règlements </w:t>
      </w:r>
      <w:r w:rsidR="00077025">
        <w:rPr>
          <w:b/>
          <w:bCs/>
          <w:lang w:val="fr-FR"/>
        </w:rPr>
        <w:t xml:space="preserve">ONU </w:t>
      </w:r>
      <w:r w:rsidRPr="00457CB2">
        <w:rPr>
          <w:b/>
          <w:bCs/>
          <w:lang w:val="fr-FR"/>
        </w:rPr>
        <w:t xml:space="preserve">concernant </w:t>
      </w:r>
      <w:r w:rsidR="00100C28">
        <w:rPr>
          <w:b/>
          <w:bCs/>
          <w:lang w:val="fr-FR"/>
        </w:rPr>
        <w:br/>
      </w:r>
      <w:r w:rsidRPr="00457CB2">
        <w:rPr>
          <w:b/>
          <w:bCs/>
          <w:lang w:val="fr-FR"/>
        </w:rPr>
        <w:t>l’éclairage et la signalisation lumineuse</w:t>
      </w:r>
    </w:p>
    <w:p w:rsidR="00E86730" w:rsidRPr="00457CB2" w:rsidRDefault="00E86730" w:rsidP="00712FA2">
      <w:pPr>
        <w:pStyle w:val="HChG"/>
      </w:pPr>
      <w:r w:rsidRPr="00457CB2">
        <w:rPr>
          <w:lang w:val="fr-FR"/>
        </w:rPr>
        <w:tab/>
      </w:r>
      <w:r w:rsidRPr="00457CB2">
        <w:rPr>
          <w:lang w:val="fr-FR"/>
        </w:rPr>
        <w:tab/>
        <w:t xml:space="preserve">Proposition visant à améliorer et à clarifier le texte </w:t>
      </w:r>
      <w:r w:rsidR="00712FA2">
        <w:rPr>
          <w:lang w:val="fr-FR"/>
        </w:rPr>
        <w:br/>
      </w:r>
      <w:r w:rsidRPr="00457CB2">
        <w:rPr>
          <w:lang w:val="fr-FR"/>
        </w:rPr>
        <w:t xml:space="preserve">du Règlement ONU sur les dispositifs d’éclairage </w:t>
      </w:r>
      <w:r w:rsidR="00F019F2">
        <w:rPr>
          <w:lang w:val="fr-FR"/>
        </w:rPr>
        <w:br/>
      </w:r>
      <w:r w:rsidRPr="00457CB2">
        <w:rPr>
          <w:lang w:val="fr-FR"/>
        </w:rPr>
        <w:t>de la route (RID)</w:t>
      </w:r>
    </w:p>
    <w:p w:rsidR="00E86730" w:rsidRPr="00457CB2" w:rsidRDefault="00712FA2" w:rsidP="00712FA2">
      <w:pPr>
        <w:pStyle w:val="H1G"/>
      </w:pPr>
      <w:r>
        <w:rPr>
          <w:lang w:val="fr-FR"/>
        </w:rPr>
        <w:tab/>
      </w:r>
      <w:r>
        <w:rPr>
          <w:lang w:val="fr-FR"/>
        </w:rPr>
        <w:tab/>
      </w:r>
      <w:r w:rsidR="00E86730" w:rsidRPr="00457CB2">
        <w:rPr>
          <w:lang w:val="fr-FR"/>
        </w:rPr>
        <w:t xml:space="preserve">Communication du groupe de travail informel de la simplification </w:t>
      </w:r>
      <w:r>
        <w:rPr>
          <w:lang w:val="fr-FR"/>
        </w:rPr>
        <w:br/>
      </w:r>
      <w:r w:rsidR="00E86730" w:rsidRPr="00457CB2">
        <w:rPr>
          <w:lang w:val="fr-FR"/>
        </w:rPr>
        <w:t>des Règlements relatifs à l’éclairage et à la signalisation lumineuse</w:t>
      </w:r>
      <w:r w:rsidRPr="00712FA2">
        <w:rPr>
          <w:rStyle w:val="FootnoteReference"/>
          <w:b w:val="0"/>
          <w:sz w:val="20"/>
          <w:vertAlign w:val="baseline"/>
        </w:rPr>
        <w:footnoteReference w:customMarkFollows="1" w:id="2"/>
        <w:t>*</w:t>
      </w:r>
    </w:p>
    <w:p w:rsidR="00E86730" w:rsidRPr="00457CB2" w:rsidRDefault="00E86730" w:rsidP="00E86730">
      <w:pPr>
        <w:pStyle w:val="SingleTxtG"/>
        <w:ind w:firstLine="567"/>
        <w:rPr>
          <w:rFonts w:eastAsia="Times New Roman"/>
        </w:rPr>
      </w:pPr>
      <w:r w:rsidRPr="00457CB2">
        <w:rPr>
          <w:lang w:val="fr-FR"/>
        </w:rPr>
        <w:t xml:space="preserve">Le texte reproduit ci-après a été établi par le groupe de travail informel dans le but d’améliorer et de clarifier le texte du nouveau Règlement ONU sur les dispositifs d’éclairage de la route. Les modifications qu’il est proposé d’apporter figurent en caractères gras pour les ajouts et biffés pour les suppressions. </w:t>
      </w:r>
    </w:p>
    <w:p w:rsidR="00E86730" w:rsidRPr="00457CB2" w:rsidRDefault="00712FA2" w:rsidP="006F3904">
      <w:pPr>
        <w:pStyle w:val="HChG"/>
      </w:pPr>
      <w:r>
        <w:rPr>
          <w:lang w:val="fr-FR"/>
        </w:rPr>
        <w:br w:type="page"/>
      </w:r>
      <w:r w:rsidR="00E86730" w:rsidRPr="00457CB2">
        <w:rPr>
          <w:lang w:val="fr-FR"/>
        </w:rPr>
        <w:lastRenderedPageBreak/>
        <w:tab/>
        <w:t>I.</w:t>
      </w:r>
      <w:r w:rsidR="00E86730" w:rsidRPr="00457CB2">
        <w:rPr>
          <w:lang w:val="fr-FR"/>
        </w:rPr>
        <w:tab/>
        <w:t>Proposition</w:t>
      </w:r>
    </w:p>
    <w:p w:rsidR="00E86730" w:rsidRPr="00457CB2" w:rsidRDefault="00E86730" w:rsidP="00E86730">
      <w:pPr>
        <w:pStyle w:val="SingleTxtG"/>
        <w:ind w:left="2268" w:right="1133" w:hanging="1134"/>
      </w:pPr>
      <w:r w:rsidRPr="00457CB2">
        <w:rPr>
          <w:i/>
          <w:iCs/>
          <w:lang w:val="fr-FR"/>
        </w:rPr>
        <w:t>Paragraphe 2.1</w:t>
      </w:r>
      <w:r w:rsidRPr="00457CB2">
        <w:rPr>
          <w:lang w:val="fr-FR"/>
        </w:rPr>
        <w:t>, modifier comme suit</w:t>
      </w:r>
      <w:r w:rsidR="006F3904">
        <w:rPr>
          <w:lang w:val="fr-FR"/>
        </w:rPr>
        <w:t> </w:t>
      </w:r>
      <w:r w:rsidRPr="00457CB2">
        <w:rPr>
          <w:lang w:val="fr-FR"/>
        </w:rPr>
        <w:t>:</w:t>
      </w:r>
    </w:p>
    <w:p w:rsidR="00E86730" w:rsidRPr="00457CB2" w:rsidRDefault="00E86730" w:rsidP="00E86730">
      <w:pPr>
        <w:pStyle w:val="SingleTxtG"/>
        <w:ind w:left="2268" w:right="1133" w:hanging="1134"/>
        <w:rPr>
          <w:bCs/>
        </w:rPr>
      </w:pPr>
      <w:r w:rsidRPr="00457CB2">
        <w:rPr>
          <w:lang w:val="fr-FR"/>
        </w:rPr>
        <w:t>«</w:t>
      </w:r>
      <w:r w:rsidR="006F3904">
        <w:rPr>
          <w:lang w:val="fr-FR"/>
        </w:rPr>
        <w:t> </w:t>
      </w:r>
      <w:r w:rsidRPr="00457CB2">
        <w:rPr>
          <w:lang w:val="fr-FR"/>
        </w:rPr>
        <w:t>2.1</w:t>
      </w:r>
      <w:r w:rsidRPr="00457CB2">
        <w:rPr>
          <w:lang w:val="fr-FR"/>
        </w:rPr>
        <w:tab/>
        <w:t>Sauf indication contraire</w:t>
      </w:r>
      <w:r w:rsidRPr="00457CB2">
        <w:rPr>
          <w:b/>
          <w:bCs/>
          <w:lang w:val="fr-FR"/>
        </w:rPr>
        <w:t xml:space="preserve"> dans le présent Règlement ou les Règlements ONU </w:t>
      </w:r>
      <w:r w:rsidR="006F3904" w:rsidRPr="006F3904">
        <w:rPr>
          <w:rFonts w:eastAsia="MS Mincho"/>
          <w:b/>
          <w:bCs/>
          <w:lang w:val="fr-FR"/>
        </w:rPr>
        <w:t>n</w:t>
      </w:r>
      <w:r w:rsidR="006F3904" w:rsidRPr="006F3904">
        <w:rPr>
          <w:rFonts w:eastAsia="MS Mincho"/>
          <w:b/>
          <w:bCs/>
          <w:vertAlign w:val="superscript"/>
          <w:lang w:val="fr-FR"/>
        </w:rPr>
        <w:t>o</w:t>
      </w:r>
      <w:r w:rsidR="006F3904">
        <w:rPr>
          <w:rFonts w:eastAsia="MS Mincho"/>
          <w:b/>
          <w:bCs/>
          <w:vertAlign w:val="superscript"/>
          <w:lang w:val="fr-FR"/>
        </w:rPr>
        <w:t>s</w:t>
      </w:r>
      <w:r w:rsidR="006F3904">
        <w:rPr>
          <w:b/>
          <w:bCs/>
          <w:lang w:val="fr-FR"/>
        </w:rPr>
        <w:t> </w:t>
      </w:r>
      <w:r w:rsidRPr="00457CB2">
        <w:rPr>
          <w:b/>
          <w:bCs/>
          <w:lang w:val="fr-FR"/>
        </w:rPr>
        <w:t>53, 74 et 86 concernant l’installation</w:t>
      </w:r>
      <w:r w:rsidRPr="00457CB2">
        <w:rPr>
          <w:lang w:val="fr-FR"/>
        </w:rPr>
        <w:t xml:space="preserve">, toutes les définitions figurant dans la dernière série d’amendements au Règlement ONU </w:t>
      </w:r>
      <w:r w:rsidR="006F3904" w:rsidRPr="006F3904">
        <w:rPr>
          <w:rFonts w:eastAsia="MS Mincho"/>
          <w:lang w:val="fr-FR"/>
        </w:rPr>
        <w:t>n</w:t>
      </w:r>
      <w:r w:rsidR="006F3904" w:rsidRPr="006F3904">
        <w:rPr>
          <w:rFonts w:eastAsia="MS Mincho"/>
          <w:vertAlign w:val="superscript"/>
          <w:lang w:val="fr-FR"/>
        </w:rPr>
        <w:t>o</w:t>
      </w:r>
      <w:r w:rsidR="006F3904">
        <w:rPr>
          <w:lang w:val="fr-FR"/>
        </w:rPr>
        <w:t> </w:t>
      </w:r>
      <w:r w:rsidRPr="00457CB2">
        <w:rPr>
          <w:lang w:val="fr-FR"/>
        </w:rPr>
        <w:t>48 en vigueur à la date de la demande d’homologation de type s’appliquent</w:t>
      </w:r>
      <w:r w:rsidRPr="00457CB2">
        <w:rPr>
          <w:b/>
          <w:bCs/>
          <w:lang w:val="fr-FR"/>
        </w:rPr>
        <w:t>.</w:t>
      </w:r>
      <w:r w:rsidR="00F02656">
        <w:rPr>
          <w:b/>
          <w:bCs/>
          <w:lang w:val="fr-FR"/>
        </w:rPr>
        <w:t> </w:t>
      </w:r>
      <w:r w:rsidRPr="00457CB2">
        <w:rPr>
          <w:b/>
          <w:bCs/>
          <w:lang w:val="fr-FR"/>
        </w:rPr>
        <w:t>»</w:t>
      </w:r>
      <w:r w:rsidRPr="00457CB2">
        <w:rPr>
          <w:bCs/>
          <w:lang w:val="fr-FR"/>
        </w:rPr>
        <w:t>.</w:t>
      </w:r>
    </w:p>
    <w:p w:rsidR="00E86730" w:rsidRPr="00457CB2" w:rsidRDefault="00E86730" w:rsidP="00E86730">
      <w:pPr>
        <w:pStyle w:val="SingleTxtG"/>
        <w:ind w:left="2268" w:right="1133" w:hanging="1134"/>
        <w:rPr>
          <w:bCs/>
        </w:rPr>
      </w:pPr>
      <w:r w:rsidRPr="00457CB2">
        <w:rPr>
          <w:i/>
          <w:iCs/>
          <w:lang w:val="fr-FR"/>
        </w:rPr>
        <w:t>Annexe 2, paragraphes 1.2.2.3, 1.2.3</w:t>
      </w:r>
      <w:r w:rsidRPr="00457CB2">
        <w:rPr>
          <w:lang w:val="fr-FR"/>
        </w:rPr>
        <w:t xml:space="preserve"> </w:t>
      </w:r>
      <w:r w:rsidRPr="00457CB2">
        <w:rPr>
          <w:i/>
          <w:iCs/>
          <w:lang w:val="fr-FR"/>
        </w:rPr>
        <w:t>et 1.2.4</w:t>
      </w:r>
      <w:r w:rsidRPr="00457CB2">
        <w:rPr>
          <w:lang w:val="fr-FR"/>
        </w:rPr>
        <w:t xml:space="preserve">, </w:t>
      </w:r>
      <w:r w:rsidR="006F3904">
        <w:rPr>
          <w:lang w:val="fr-FR"/>
        </w:rPr>
        <w:t>modifier comme suit </w:t>
      </w:r>
      <w:r w:rsidRPr="00457CB2">
        <w:rPr>
          <w:lang w:val="fr-FR"/>
        </w:rPr>
        <w:t>:</w:t>
      </w:r>
    </w:p>
    <w:p w:rsidR="00E86730" w:rsidRPr="00457CB2" w:rsidRDefault="006F3904" w:rsidP="00E86730">
      <w:pPr>
        <w:pStyle w:val="SingleTxtG"/>
        <w:ind w:left="2268" w:right="1133" w:hanging="1134"/>
        <w:rPr>
          <w:bCs/>
        </w:rPr>
      </w:pPr>
      <w:r w:rsidRPr="002C523A">
        <w:rPr>
          <w:spacing w:val="-4"/>
          <w:lang w:val="fr-FR"/>
        </w:rPr>
        <w:t>« </w:t>
      </w:r>
      <w:r w:rsidR="00E86730" w:rsidRPr="006F3904">
        <w:rPr>
          <w:strike/>
          <w:spacing w:val="-4"/>
          <w:lang w:val="fr-FR"/>
        </w:rPr>
        <w:t>1.2.2.3</w:t>
      </w:r>
      <w:r w:rsidR="00E86730" w:rsidRPr="006F3904">
        <w:rPr>
          <w:b/>
          <w:bCs/>
          <w:spacing w:val="-4"/>
          <w:lang w:val="fr-FR"/>
        </w:rPr>
        <w:t>1.2.3</w:t>
      </w:r>
      <w:r>
        <w:rPr>
          <w:lang w:val="fr-FR"/>
        </w:rPr>
        <w:tab/>
      </w:r>
      <w:r w:rsidR="00E86730" w:rsidRPr="00457CB2">
        <w:rPr>
          <w:lang w:val="fr-FR"/>
        </w:rPr>
        <w:t xml:space="preserve">Si les résultats des essais décrits ci-dessus ne sont pas conformes aux prescriptions, on peut modifier l’alignement du projecteur, à condition que l’axe du faisceau ne soit pas déplacé latéralement de plus de 0,5° vers la droite ou vers la gauche, ni de plus de 0,2° vers le haut </w:t>
      </w:r>
      <w:r w:rsidR="00E86730" w:rsidRPr="00457CB2">
        <w:rPr>
          <w:bCs/>
          <w:lang w:val="fr-FR"/>
        </w:rPr>
        <w:t>ou</w:t>
      </w:r>
      <w:r w:rsidR="00E86730" w:rsidRPr="00457CB2">
        <w:rPr>
          <w:lang w:val="fr-FR"/>
        </w:rPr>
        <w:t xml:space="preserve"> vers le bas.</w:t>
      </w:r>
    </w:p>
    <w:p w:rsidR="00E86730" w:rsidRPr="00457CB2" w:rsidRDefault="00E86730" w:rsidP="00E86730">
      <w:pPr>
        <w:pStyle w:val="SingleTxtG"/>
        <w:ind w:left="2268" w:right="1133" w:hanging="1134"/>
        <w:rPr>
          <w:bCs/>
        </w:rPr>
      </w:pPr>
      <w:r w:rsidRPr="00457CB2">
        <w:rPr>
          <w:strike/>
          <w:lang w:val="fr-FR"/>
        </w:rPr>
        <w:t>1.2.3</w:t>
      </w:r>
      <w:r w:rsidRPr="00457CB2">
        <w:rPr>
          <w:b/>
          <w:bCs/>
          <w:lang w:val="fr-FR"/>
        </w:rPr>
        <w:t>1.2.4</w:t>
      </w:r>
      <w:r w:rsidRPr="00457CB2">
        <w:rPr>
          <w:lang w:val="fr-FR"/>
        </w:rPr>
        <w:tab/>
        <w:t xml:space="preserve">Pour les systèmes d’éclairage avant actif (AFS) </w:t>
      </w:r>
      <w:r w:rsidR="00070090">
        <w:rPr>
          <w:lang w:val="fr-FR"/>
        </w:rPr>
        <w:t>correspondant au paragraphe </w:t>
      </w:r>
      <w:r w:rsidRPr="00457CB2">
        <w:rPr>
          <w:lang w:val="fr-FR"/>
        </w:rPr>
        <w:t>5.3 du présent Règlement</w:t>
      </w:r>
      <w:r w:rsidR="00EB76AF">
        <w:rPr>
          <w:lang w:val="fr-FR"/>
        </w:rPr>
        <w:t xml:space="preserve"> ONU</w:t>
      </w:r>
      <w:r w:rsidRPr="00457CB2">
        <w:rPr>
          <w:lang w:val="fr-FR"/>
        </w:rPr>
        <w:t>, si les résultats de l’essai décrit ci-dessus ne satisfont pas aux prescriptions, l’orientation du système peut être modifiée dans chaque classe, à condition que l’axe du faisceau ne soit pas dépl</w:t>
      </w:r>
      <w:r w:rsidR="00E70A26">
        <w:rPr>
          <w:lang w:val="fr-FR"/>
        </w:rPr>
        <w:t>acé latéralement de plus de 0,5</w:t>
      </w:r>
      <w:r w:rsidR="00E70A26" w:rsidRPr="00457CB2">
        <w:rPr>
          <w:lang w:val="fr-FR"/>
        </w:rPr>
        <w:t>°</w:t>
      </w:r>
      <w:r w:rsidR="00E70A26">
        <w:rPr>
          <w:lang w:val="fr-FR"/>
        </w:rPr>
        <w:t xml:space="preserve"> </w:t>
      </w:r>
      <w:r w:rsidRPr="00457CB2">
        <w:rPr>
          <w:lang w:val="fr-FR"/>
        </w:rPr>
        <w:t>vers la droite ou ve</w:t>
      </w:r>
      <w:r w:rsidR="007C715C">
        <w:rPr>
          <w:lang w:val="fr-FR"/>
        </w:rPr>
        <w:t>rs la gauche, ni de plus de 0,2</w:t>
      </w:r>
      <w:r w:rsidR="00E70A26" w:rsidRPr="00457CB2">
        <w:rPr>
          <w:lang w:val="fr-FR"/>
        </w:rPr>
        <w:t>°</w:t>
      </w:r>
      <w:r w:rsidR="00E70A26">
        <w:rPr>
          <w:lang w:val="fr-FR"/>
        </w:rPr>
        <w:t xml:space="preserve"> </w:t>
      </w:r>
      <w:r w:rsidRPr="00457CB2">
        <w:rPr>
          <w:lang w:val="fr-FR"/>
        </w:rPr>
        <w:t>vers le haut ou vers le bas, chacun indépendamment par rapport au réglage initial.</w:t>
      </w:r>
    </w:p>
    <w:p w:rsidR="00E86730" w:rsidRPr="00457CB2" w:rsidRDefault="00E86730" w:rsidP="00C67C97">
      <w:pPr>
        <w:pStyle w:val="SingleTxtG"/>
        <w:ind w:left="2268"/>
        <w:rPr>
          <w:bCs/>
        </w:rPr>
      </w:pPr>
      <w:r w:rsidRPr="00457CB2">
        <w:rPr>
          <w:lang w:val="fr-FR"/>
        </w:rPr>
        <w:t>Ces dispositions ne s’appliquent pas aux unités d’éclairage définies au paragraphe 5.3.3.1.1 du présent Règlement.</w:t>
      </w:r>
    </w:p>
    <w:p w:rsidR="00E86730" w:rsidRPr="00F02656" w:rsidRDefault="00E86730" w:rsidP="00E86730">
      <w:pPr>
        <w:pStyle w:val="SingleTxtG"/>
        <w:ind w:left="2268" w:right="1133" w:hanging="1134"/>
        <w:rPr>
          <w:bCs/>
          <w:spacing w:val="-2"/>
        </w:rPr>
      </w:pPr>
      <w:r w:rsidRPr="00F02656">
        <w:rPr>
          <w:strike/>
          <w:spacing w:val="-2"/>
          <w:lang w:val="fr-FR"/>
        </w:rPr>
        <w:t>1.2.4</w:t>
      </w:r>
      <w:r w:rsidRPr="00F02656">
        <w:rPr>
          <w:b/>
          <w:bCs/>
          <w:spacing w:val="-2"/>
          <w:lang w:val="fr-FR"/>
        </w:rPr>
        <w:t>1.2.5</w:t>
      </w:r>
      <w:r w:rsidRPr="00F02656">
        <w:rPr>
          <w:spacing w:val="-2"/>
          <w:lang w:val="fr-FR"/>
        </w:rPr>
        <w:tab/>
        <w:t>Dans le cas d’un feu fourni avec une source lumineuse remplaçable, si les résultats des essais décrits ci-dessus ne sont pas conformes aux prescriptions, il faut procéder à de nouveaux essais avec une autre source lumineuse étalon.</w:t>
      </w:r>
      <w:r w:rsidR="00C67C97" w:rsidRPr="00F02656">
        <w:rPr>
          <w:spacing w:val="-2"/>
          <w:lang w:val="fr-FR"/>
        </w:rPr>
        <w:t> </w:t>
      </w:r>
      <w:r w:rsidRPr="00F02656">
        <w:rPr>
          <w:spacing w:val="-2"/>
          <w:lang w:val="fr-FR"/>
        </w:rPr>
        <w:t>».</w:t>
      </w:r>
    </w:p>
    <w:p w:rsidR="00E86730" w:rsidRPr="00B53905" w:rsidRDefault="00C67C97" w:rsidP="00B53905">
      <w:pPr>
        <w:pStyle w:val="SingleTxtG"/>
        <w:rPr>
          <w:spacing w:val="-4"/>
        </w:rPr>
      </w:pPr>
      <w:r w:rsidRPr="00B53905">
        <w:rPr>
          <w:i/>
          <w:spacing w:val="-4"/>
          <w:lang w:val="fr-FR"/>
        </w:rPr>
        <w:t xml:space="preserve">Tableau 9, partie A, colonne </w:t>
      </w:r>
      <w:r w:rsidRPr="00B53905">
        <w:rPr>
          <w:spacing w:val="-4"/>
          <w:lang w:val="fr-FR"/>
        </w:rPr>
        <w:t>«</w:t>
      </w:r>
      <w:r w:rsidRPr="00B53905">
        <w:rPr>
          <w:i/>
          <w:spacing w:val="-4"/>
          <w:lang w:val="fr-FR"/>
        </w:rPr>
        <w:t> </w:t>
      </w:r>
      <w:r w:rsidR="00E86730" w:rsidRPr="00B53905">
        <w:rPr>
          <w:i/>
          <w:spacing w:val="-4"/>
          <w:lang w:val="fr-FR"/>
        </w:rPr>
        <w:t>Faisceau de croisement de classe C</w:t>
      </w:r>
      <w:r w:rsidRPr="00B53905">
        <w:rPr>
          <w:i/>
          <w:spacing w:val="-4"/>
          <w:lang w:val="fr-FR"/>
        </w:rPr>
        <w:t> </w:t>
      </w:r>
      <w:r w:rsidR="00E86730" w:rsidRPr="00B53905">
        <w:rPr>
          <w:spacing w:val="-4"/>
          <w:lang w:val="fr-FR"/>
        </w:rPr>
        <w:t>», modifier comme suit</w:t>
      </w:r>
      <w:r w:rsidRPr="00B53905">
        <w:rPr>
          <w:spacing w:val="-4"/>
          <w:lang w:val="fr-FR"/>
        </w:rPr>
        <w:t> </w:t>
      </w:r>
      <w:r w:rsidR="00E86730" w:rsidRPr="00B53905">
        <w:rPr>
          <w:spacing w:val="-4"/>
          <w:lang w:val="fr-FR"/>
        </w:rPr>
        <w:t>:</w:t>
      </w:r>
    </w:p>
    <w:p w:rsidR="00E86730" w:rsidRPr="00457CB2" w:rsidRDefault="00E86730" w:rsidP="001B4EE5">
      <w:pPr>
        <w:spacing w:after="120"/>
        <w:rPr>
          <w:lang w:val="en-GB"/>
        </w:rPr>
      </w:pPr>
      <w:r w:rsidRPr="00457CB2">
        <w:rPr>
          <w:lang w:val="en-GB"/>
        </w:rPr>
        <w:t>«</w:t>
      </w:r>
    </w:p>
    <w:tbl>
      <w:tblPr>
        <w:tblStyle w:val="TableGrid"/>
        <w:tblW w:w="9639" w:type="dxa"/>
        <w:tblInd w:w="28" w:type="dxa"/>
        <w:tblLayout w:type="fixed"/>
        <w:tblLook w:val="04A0" w:firstRow="1" w:lastRow="0" w:firstColumn="1" w:lastColumn="0" w:noHBand="0" w:noVBand="1"/>
      </w:tblPr>
      <w:tblGrid>
        <w:gridCol w:w="254"/>
        <w:gridCol w:w="368"/>
        <w:gridCol w:w="1788"/>
        <w:gridCol w:w="709"/>
        <w:gridCol w:w="567"/>
        <w:gridCol w:w="769"/>
        <w:gridCol w:w="614"/>
        <w:gridCol w:w="614"/>
        <w:gridCol w:w="538"/>
        <w:gridCol w:w="688"/>
        <w:gridCol w:w="689"/>
        <w:gridCol w:w="689"/>
        <w:gridCol w:w="627"/>
        <w:gridCol w:w="725"/>
      </w:tblGrid>
      <w:tr w:rsidR="00E86730" w:rsidRPr="00457CB2" w:rsidTr="007D75AB">
        <w:tc>
          <w:tcPr>
            <w:tcW w:w="2410" w:type="dxa"/>
            <w:gridSpan w:val="3"/>
            <w:vMerge w:val="restart"/>
            <w:tcMar>
              <w:top w:w="0" w:type="dxa"/>
              <w:left w:w="28" w:type="dxa"/>
              <w:bottom w:w="0" w:type="dxa"/>
              <w:right w:w="28" w:type="dxa"/>
            </w:tcMar>
            <w:vAlign w:val="center"/>
          </w:tcPr>
          <w:p w:rsidR="00E86730" w:rsidRPr="00BF0AB9" w:rsidRDefault="00E86730" w:rsidP="000734BA">
            <w:pPr>
              <w:spacing w:before="60" w:after="60"/>
              <w:ind w:left="57" w:right="57"/>
              <w:rPr>
                <w:i/>
                <w:sz w:val="14"/>
                <w:szCs w:val="14"/>
              </w:rPr>
            </w:pPr>
            <w:r w:rsidRPr="00BF0AB9">
              <w:rPr>
                <w:i/>
                <w:iCs/>
                <w:sz w:val="14"/>
                <w:szCs w:val="14"/>
                <w:lang w:val="fr-FR"/>
              </w:rPr>
              <w:t>Prescriptions exprimées en cd</w:t>
            </w:r>
          </w:p>
        </w:tc>
        <w:tc>
          <w:tcPr>
            <w:tcW w:w="2045" w:type="dxa"/>
            <w:gridSpan w:val="3"/>
            <w:tcMar>
              <w:top w:w="0" w:type="dxa"/>
              <w:left w:w="28" w:type="dxa"/>
              <w:bottom w:w="0" w:type="dxa"/>
              <w:right w:w="28" w:type="dxa"/>
            </w:tcMar>
            <w:vAlign w:val="center"/>
          </w:tcPr>
          <w:p w:rsidR="00E86730" w:rsidRPr="00BF0AB9" w:rsidRDefault="00E86730" w:rsidP="000734BA">
            <w:pPr>
              <w:spacing w:before="60" w:after="60"/>
              <w:ind w:left="57" w:right="57"/>
              <w:jc w:val="center"/>
              <w:rPr>
                <w:i/>
                <w:sz w:val="14"/>
                <w:szCs w:val="14"/>
              </w:rPr>
            </w:pPr>
            <w:r w:rsidRPr="00BF0AB9">
              <w:rPr>
                <w:i/>
                <w:iCs/>
                <w:sz w:val="14"/>
                <w:szCs w:val="14"/>
                <w:lang w:val="fr-FR"/>
              </w:rPr>
              <w:t>Position/degrés</w:t>
            </w:r>
          </w:p>
        </w:tc>
        <w:tc>
          <w:tcPr>
            <w:tcW w:w="5184" w:type="dxa"/>
            <w:gridSpan w:val="8"/>
            <w:tcMar>
              <w:top w:w="0" w:type="dxa"/>
              <w:left w:w="28" w:type="dxa"/>
              <w:bottom w:w="0" w:type="dxa"/>
              <w:right w:w="28" w:type="dxa"/>
            </w:tcMar>
            <w:vAlign w:val="center"/>
          </w:tcPr>
          <w:p w:rsidR="00E86730" w:rsidRPr="00BF0AB9" w:rsidRDefault="00E86730" w:rsidP="000734BA">
            <w:pPr>
              <w:spacing w:before="60" w:after="60"/>
              <w:ind w:left="57" w:right="57"/>
              <w:jc w:val="center"/>
              <w:rPr>
                <w:i/>
                <w:sz w:val="14"/>
                <w:szCs w:val="14"/>
              </w:rPr>
            </w:pPr>
            <w:r w:rsidRPr="00BF0AB9">
              <w:rPr>
                <w:i/>
                <w:iCs/>
                <w:sz w:val="14"/>
                <w:szCs w:val="14"/>
                <w:lang w:val="fr-FR"/>
              </w:rPr>
              <w:t>Faisceau de croisement</w:t>
            </w:r>
          </w:p>
        </w:tc>
      </w:tr>
      <w:tr w:rsidR="000734BA" w:rsidRPr="00457CB2" w:rsidTr="005008C7">
        <w:tc>
          <w:tcPr>
            <w:tcW w:w="2410" w:type="dxa"/>
            <w:gridSpan w:val="3"/>
            <w:vMerge/>
            <w:tcBorders>
              <w:bottom w:val="single" w:sz="4" w:space="0" w:color="auto"/>
            </w:tcBorders>
            <w:tcMar>
              <w:top w:w="0" w:type="dxa"/>
              <w:left w:w="28" w:type="dxa"/>
              <w:bottom w:w="0" w:type="dxa"/>
              <w:right w:w="28" w:type="dxa"/>
            </w:tcMar>
            <w:vAlign w:val="center"/>
          </w:tcPr>
          <w:p w:rsidR="00E86730" w:rsidRPr="00BF0AB9" w:rsidRDefault="00E86730" w:rsidP="000734BA">
            <w:pPr>
              <w:spacing w:before="60" w:after="60"/>
              <w:ind w:left="57" w:right="57"/>
              <w:rPr>
                <w:sz w:val="14"/>
                <w:szCs w:val="14"/>
              </w:rPr>
            </w:pPr>
          </w:p>
        </w:tc>
        <w:tc>
          <w:tcPr>
            <w:tcW w:w="1276" w:type="dxa"/>
            <w:gridSpan w:val="2"/>
            <w:tcBorders>
              <w:bottom w:val="single" w:sz="4" w:space="0" w:color="auto"/>
            </w:tcBorders>
            <w:tcMar>
              <w:top w:w="0" w:type="dxa"/>
              <w:left w:w="28" w:type="dxa"/>
              <w:bottom w:w="0" w:type="dxa"/>
              <w:right w:w="28" w:type="dxa"/>
            </w:tcMar>
            <w:vAlign w:val="center"/>
          </w:tcPr>
          <w:p w:rsidR="00E86730" w:rsidRPr="00BF0AB9" w:rsidRDefault="00E86730" w:rsidP="000734BA">
            <w:pPr>
              <w:spacing w:before="60" w:after="60"/>
              <w:ind w:left="57" w:right="57"/>
              <w:jc w:val="center"/>
              <w:rPr>
                <w:i/>
                <w:sz w:val="14"/>
                <w:szCs w:val="14"/>
              </w:rPr>
            </w:pPr>
            <w:r w:rsidRPr="00BF0AB9">
              <w:rPr>
                <w:i/>
                <w:iCs/>
                <w:sz w:val="14"/>
                <w:szCs w:val="14"/>
                <w:lang w:val="fr-FR"/>
              </w:rPr>
              <w:t>horizontale</w:t>
            </w:r>
          </w:p>
        </w:tc>
        <w:tc>
          <w:tcPr>
            <w:tcW w:w="769" w:type="dxa"/>
            <w:tcBorders>
              <w:bottom w:val="single" w:sz="4" w:space="0" w:color="auto"/>
            </w:tcBorders>
            <w:tcMar>
              <w:top w:w="0" w:type="dxa"/>
              <w:left w:w="28" w:type="dxa"/>
              <w:bottom w:w="0" w:type="dxa"/>
              <w:right w:w="28" w:type="dxa"/>
            </w:tcMar>
            <w:vAlign w:val="center"/>
          </w:tcPr>
          <w:p w:rsidR="00E86730" w:rsidRPr="00BF0AB9" w:rsidRDefault="00E86730" w:rsidP="000734BA">
            <w:pPr>
              <w:spacing w:before="60" w:after="60"/>
              <w:ind w:left="57" w:right="57"/>
              <w:jc w:val="center"/>
              <w:rPr>
                <w:i/>
                <w:sz w:val="14"/>
                <w:szCs w:val="14"/>
              </w:rPr>
            </w:pPr>
            <w:r w:rsidRPr="00BF0AB9">
              <w:rPr>
                <w:i/>
                <w:iCs/>
                <w:sz w:val="14"/>
                <w:szCs w:val="14"/>
                <w:lang w:val="fr-FR"/>
              </w:rPr>
              <w:t>verticale</w:t>
            </w:r>
          </w:p>
        </w:tc>
        <w:tc>
          <w:tcPr>
            <w:tcW w:w="1228" w:type="dxa"/>
            <w:gridSpan w:val="2"/>
            <w:tcBorders>
              <w:bottom w:val="single" w:sz="4" w:space="0" w:color="auto"/>
            </w:tcBorders>
            <w:tcMar>
              <w:top w:w="0" w:type="dxa"/>
              <w:left w:w="28" w:type="dxa"/>
              <w:bottom w:w="0" w:type="dxa"/>
              <w:right w:w="28" w:type="dxa"/>
            </w:tcMar>
            <w:vAlign w:val="center"/>
          </w:tcPr>
          <w:p w:rsidR="00E86730" w:rsidRPr="00BF0AB9" w:rsidRDefault="00E86730" w:rsidP="000734BA">
            <w:pPr>
              <w:spacing w:before="60" w:after="60"/>
              <w:ind w:left="57" w:right="57"/>
              <w:jc w:val="center"/>
              <w:rPr>
                <w:i/>
                <w:sz w:val="14"/>
                <w:szCs w:val="14"/>
              </w:rPr>
            </w:pPr>
            <w:r w:rsidRPr="00BF0AB9">
              <w:rPr>
                <w:i/>
                <w:iCs/>
                <w:sz w:val="14"/>
                <w:szCs w:val="14"/>
                <w:lang w:val="fr-FR"/>
              </w:rPr>
              <w:t>Classe C</w:t>
            </w:r>
          </w:p>
        </w:tc>
        <w:tc>
          <w:tcPr>
            <w:tcW w:w="1226" w:type="dxa"/>
            <w:gridSpan w:val="2"/>
            <w:tcBorders>
              <w:bottom w:val="single" w:sz="4" w:space="0" w:color="auto"/>
            </w:tcBorders>
            <w:tcMar>
              <w:top w:w="0" w:type="dxa"/>
              <w:left w:w="28" w:type="dxa"/>
              <w:bottom w:w="0" w:type="dxa"/>
              <w:right w:w="28" w:type="dxa"/>
            </w:tcMar>
            <w:vAlign w:val="center"/>
          </w:tcPr>
          <w:p w:rsidR="00E86730" w:rsidRPr="00BF0AB9" w:rsidRDefault="00E86730" w:rsidP="000734BA">
            <w:pPr>
              <w:spacing w:before="60" w:after="60"/>
              <w:ind w:left="57" w:right="57"/>
              <w:jc w:val="center"/>
              <w:rPr>
                <w:i/>
                <w:sz w:val="14"/>
                <w:szCs w:val="14"/>
              </w:rPr>
            </w:pPr>
            <w:r w:rsidRPr="00BF0AB9">
              <w:rPr>
                <w:i/>
                <w:iCs/>
                <w:sz w:val="14"/>
                <w:szCs w:val="14"/>
                <w:lang w:val="fr-FR"/>
              </w:rPr>
              <w:t>Classe V</w:t>
            </w:r>
          </w:p>
        </w:tc>
        <w:tc>
          <w:tcPr>
            <w:tcW w:w="1378" w:type="dxa"/>
            <w:gridSpan w:val="2"/>
            <w:tcBorders>
              <w:bottom w:val="single" w:sz="4" w:space="0" w:color="auto"/>
            </w:tcBorders>
            <w:tcMar>
              <w:top w:w="0" w:type="dxa"/>
              <w:left w:w="28" w:type="dxa"/>
              <w:bottom w:w="0" w:type="dxa"/>
              <w:right w:w="28" w:type="dxa"/>
            </w:tcMar>
            <w:vAlign w:val="center"/>
          </w:tcPr>
          <w:p w:rsidR="00E86730" w:rsidRPr="00BF0AB9" w:rsidRDefault="00E86730" w:rsidP="000734BA">
            <w:pPr>
              <w:spacing w:before="60" w:after="60"/>
              <w:ind w:left="57" w:right="57"/>
              <w:jc w:val="center"/>
              <w:rPr>
                <w:i/>
                <w:sz w:val="14"/>
                <w:szCs w:val="14"/>
              </w:rPr>
            </w:pPr>
            <w:r w:rsidRPr="00BF0AB9">
              <w:rPr>
                <w:i/>
                <w:iCs/>
                <w:sz w:val="14"/>
                <w:szCs w:val="14"/>
                <w:lang w:val="fr-FR"/>
              </w:rPr>
              <w:t>Classe E</w:t>
            </w:r>
          </w:p>
        </w:tc>
        <w:tc>
          <w:tcPr>
            <w:tcW w:w="1352" w:type="dxa"/>
            <w:gridSpan w:val="2"/>
            <w:tcBorders>
              <w:bottom w:val="single" w:sz="4" w:space="0" w:color="auto"/>
            </w:tcBorders>
            <w:tcMar>
              <w:top w:w="0" w:type="dxa"/>
              <w:left w:w="28" w:type="dxa"/>
              <w:bottom w:w="0" w:type="dxa"/>
              <w:right w:w="28" w:type="dxa"/>
            </w:tcMar>
            <w:vAlign w:val="center"/>
          </w:tcPr>
          <w:p w:rsidR="00E86730" w:rsidRPr="00BF0AB9" w:rsidRDefault="00E86730" w:rsidP="000734BA">
            <w:pPr>
              <w:spacing w:before="60" w:after="60"/>
              <w:ind w:left="57" w:right="57"/>
              <w:jc w:val="center"/>
              <w:rPr>
                <w:i/>
                <w:sz w:val="14"/>
                <w:szCs w:val="14"/>
              </w:rPr>
            </w:pPr>
            <w:r w:rsidRPr="00BF0AB9">
              <w:rPr>
                <w:i/>
                <w:iCs/>
                <w:sz w:val="14"/>
                <w:szCs w:val="14"/>
                <w:lang w:val="fr-FR"/>
              </w:rPr>
              <w:t>Classe W</w:t>
            </w:r>
          </w:p>
        </w:tc>
      </w:tr>
      <w:tr w:rsidR="000734BA" w:rsidRPr="00457CB2" w:rsidTr="00CB0F81">
        <w:tc>
          <w:tcPr>
            <w:tcW w:w="254" w:type="dxa"/>
            <w:tcBorders>
              <w:bottom w:val="single" w:sz="4" w:space="0" w:color="auto"/>
            </w:tcBorders>
            <w:tcMar>
              <w:top w:w="0" w:type="dxa"/>
              <w:left w:w="28" w:type="dxa"/>
              <w:bottom w:w="0" w:type="dxa"/>
              <w:right w:w="28" w:type="dxa"/>
            </w:tcMar>
            <w:vAlign w:val="center"/>
          </w:tcPr>
          <w:p w:rsidR="00E86730" w:rsidRPr="00BF0AB9" w:rsidRDefault="00E86730" w:rsidP="000734BA">
            <w:pPr>
              <w:spacing w:before="60" w:after="60"/>
              <w:ind w:left="57" w:right="57"/>
              <w:rPr>
                <w:sz w:val="14"/>
                <w:szCs w:val="14"/>
              </w:rPr>
            </w:pPr>
          </w:p>
        </w:tc>
        <w:tc>
          <w:tcPr>
            <w:tcW w:w="368" w:type="dxa"/>
            <w:tcBorders>
              <w:bottom w:val="single" w:sz="4" w:space="0" w:color="auto"/>
            </w:tcBorders>
            <w:tcMar>
              <w:top w:w="0" w:type="dxa"/>
              <w:left w:w="28" w:type="dxa"/>
              <w:bottom w:w="0" w:type="dxa"/>
              <w:right w:w="28" w:type="dxa"/>
            </w:tcMar>
            <w:vAlign w:val="center"/>
          </w:tcPr>
          <w:p w:rsidR="00E86730" w:rsidRPr="00BF0AB9" w:rsidRDefault="00E86730" w:rsidP="000734BA">
            <w:pPr>
              <w:spacing w:before="60" w:after="60"/>
              <w:ind w:left="57" w:right="57"/>
              <w:rPr>
                <w:i/>
                <w:sz w:val="14"/>
                <w:szCs w:val="14"/>
              </w:rPr>
            </w:pPr>
            <w:r w:rsidRPr="00BF0AB9">
              <w:rPr>
                <w:i/>
                <w:iCs/>
                <w:sz w:val="14"/>
                <w:szCs w:val="14"/>
                <w:lang w:val="fr-FR"/>
              </w:rPr>
              <w:t>N</w:t>
            </w:r>
            <w:r w:rsidRPr="00BF0AB9">
              <w:rPr>
                <w:i/>
                <w:iCs/>
                <w:sz w:val="14"/>
                <w:szCs w:val="14"/>
                <w:vertAlign w:val="superscript"/>
                <w:lang w:val="fr-FR"/>
              </w:rPr>
              <w:t>o</w:t>
            </w:r>
          </w:p>
        </w:tc>
        <w:tc>
          <w:tcPr>
            <w:tcW w:w="1788" w:type="dxa"/>
            <w:tcBorders>
              <w:bottom w:val="single" w:sz="4" w:space="0" w:color="auto"/>
            </w:tcBorders>
            <w:tcMar>
              <w:top w:w="0" w:type="dxa"/>
              <w:left w:w="28" w:type="dxa"/>
              <w:bottom w:w="0" w:type="dxa"/>
              <w:right w:w="28" w:type="dxa"/>
            </w:tcMar>
            <w:vAlign w:val="center"/>
          </w:tcPr>
          <w:p w:rsidR="00E86730" w:rsidRPr="00BF0AB9" w:rsidRDefault="00E86730" w:rsidP="005008C7">
            <w:pPr>
              <w:spacing w:before="60" w:after="60"/>
              <w:ind w:left="23" w:right="23"/>
              <w:rPr>
                <w:i/>
                <w:sz w:val="14"/>
                <w:szCs w:val="14"/>
              </w:rPr>
            </w:pPr>
            <w:r w:rsidRPr="00BF0AB9">
              <w:rPr>
                <w:i/>
                <w:iCs/>
                <w:sz w:val="14"/>
                <w:szCs w:val="14"/>
                <w:lang w:val="fr-FR"/>
              </w:rPr>
              <w:t>Élément</w:t>
            </w:r>
          </w:p>
        </w:tc>
        <w:tc>
          <w:tcPr>
            <w:tcW w:w="709"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À/de</w:t>
            </w:r>
          </w:p>
        </w:tc>
        <w:tc>
          <w:tcPr>
            <w:tcW w:w="567"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vers</w:t>
            </w:r>
          </w:p>
        </w:tc>
        <w:tc>
          <w:tcPr>
            <w:tcW w:w="769"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à</w:t>
            </w:r>
          </w:p>
        </w:tc>
        <w:tc>
          <w:tcPr>
            <w:tcW w:w="614"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min.</w:t>
            </w:r>
          </w:p>
        </w:tc>
        <w:tc>
          <w:tcPr>
            <w:tcW w:w="614"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max.</w:t>
            </w:r>
          </w:p>
        </w:tc>
        <w:tc>
          <w:tcPr>
            <w:tcW w:w="538"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min.</w:t>
            </w:r>
          </w:p>
        </w:tc>
        <w:tc>
          <w:tcPr>
            <w:tcW w:w="688"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max.</w:t>
            </w:r>
          </w:p>
        </w:tc>
        <w:tc>
          <w:tcPr>
            <w:tcW w:w="689"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min.</w:t>
            </w:r>
          </w:p>
        </w:tc>
        <w:tc>
          <w:tcPr>
            <w:tcW w:w="689"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max.</w:t>
            </w:r>
          </w:p>
        </w:tc>
        <w:tc>
          <w:tcPr>
            <w:tcW w:w="627"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min.</w:t>
            </w:r>
          </w:p>
        </w:tc>
        <w:tc>
          <w:tcPr>
            <w:tcW w:w="725" w:type="dxa"/>
            <w:tcBorders>
              <w:bottom w:val="single" w:sz="4" w:space="0" w:color="auto"/>
            </w:tcBorders>
            <w:tcMar>
              <w:top w:w="0" w:type="dxa"/>
              <w:left w:w="28" w:type="dxa"/>
              <w:bottom w:w="0" w:type="dxa"/>
              <w:right w:w="28" w:type="dxa"/>
            </w:tcMar>
            <w:vAlign w:val="bottom"/>
          </w:tcPr>
          <w:p w:rsidR="00E86730" w:rsidRPr="00BF0AB9" w:rsidRDefault="00E86730" w:rsidP="005008C7">
            <w:pPr>
              <w:spacing w:before="60" w:after="60"/>
              <w:ind w:left="23" w:right="23"/>
              <w:jc w:val="right"/>
              <w:rPr>
                <w:i/>
                <w:sz w:val="14"/>
                <w:szCs w:val="14"/>
              </w:rPr>
            </w:pPr>
            <w:r w:rsidRPr="00BF0AB9">
              <w:rPr>
                <w:i/>
                <w:iCs/>
                <w:sz w:val="14"/>
                <w:szCs w:val="14"/>
                <w:lang w:val="fr-FR"/>
              </w:rPr>
              <w:t>max.</w:t>
            </w:r>
          </w:p>
        </w:tc>
      </w:tr>
      <w:tr w:rsidR="000734BA" w:rsidRPr="00457CB2" w:rsidTr="005008C7">
        <w:tc>
          <w:tcPr>
            <w:tcW w:w="254" w:type="dxa"/>
            <w:vMerge w:val="restart"/>
            <w:tcBorders>
              <w:top w:val="single" w:sz="4" w:space="0" w:color="auto"/>
            </w:tcBorders>
            <w:tcMar>
              <w:top w:w="0" w:type="dxa"/>
              <w:left w:w="28" w:type="dxa"/>
              <w:bottom w:w="0" w:type="dxa"/>
              <w:right w:w="28" w:type="dxa"/>
            </w:tcMar>
            <w:textDirection w:val="btLr"/>
            <w:vAlign w:val="center"/>
          </w:tcPr>
          <w:p w:rsidR="00E86730" w:rsidRPr="00B93775" w:rsidRDefault="00E86730" w:rsidP="007C715C">
            <w:pPr>
              <w:spacing w:line="240" w:lineRule="auto"/>
              <w:jc w:val="center"/>
              <w:rPr>
                <w:sz w:val="18"/>
                <w:szCs w:val="18"/>
              </w:rPr>
            </w:pPr>
            <w:r w:rsidRPr="00B93775">
              <w:rPr>
                <w:sz w:val="18"/>
                <w:szCs w:val="18"/>
                <w:lang w:val="fr-FR"/>
              </w:rPr>
              <w:t>Partie A</w:t>
            </w:r>
          </w:p>
        </w:tc>
        <w:tc>
          <w:tcPr>
            <w:tcW w:w="368" w:type="dxa"/>
            <w:tcBorders>
              <w:top w:val="single" w:sz="4" w:space="0" w:color="auto"/>
            </w:tcBorders>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1</w:t>
            </w:r>
          </w:p>
        </w:tc>
        <w:tc>
          <w:tcPr>
            <w:tcW w:w="1788"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B50L</w:t>
            </w:r>
          </w:p>
        </w:tc>
        <w:tc>
          <w:tcPr>
            <w:tcW w:w="709"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L 3,43</w:t>
            </w:r>
          </w:p>
        </w:tc>
        <w:tc>
          <w:tcPr>
            <w:tcW w:w="567"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U 0,57</w:t>
            </w:r>
          </w:p>
        </w:tc>
        <w:tc>
          <w:tcPr>
            <w:tcW w:w="614"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50</w:t>
            </w:r>
            <w:r w:rsidRPr="00B93775">
              <w:rPr>
                <w:b/>
                <w:bCs/>
                <w:sz w:val="18"/>
                <w:szCs w:val="18"/>
                <w:vertAlign w:val="superscript"/>
                <w:lang w:val="fr-FR"/>
              </w:rPr>
              <w:t>4</w:t>
            </w:r>
          </w:p>
        </w:tc>
        <w:tc>
          <w:tcPr>
            <w:tcW w:w="614" w:type="dxa"/>
            <w:tcBorders>
              <w:top w:val="single" w:sz="4" w:space="0" w:color="auto"/>
            </w:tcBorders>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350</w:t>
            </w:r>
          </w:p>
        </w:tc>
        <w:tc>
          <w:tcPr>
            <w:tcW w:w="538"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50</w:t>
            </w:r>
          </w:p>
        </w:tc>
        <w:tc>
          <w:tcPr>
            <w:tcW w:w="688"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350</w:t>
            </w:r>
          </w:p>
        </w:tc>
        <w:tc>
          <w:tcPr>
            <w:tcW w:w="689"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50</w:t>
            </w:r>
          </w:p>
        </w:tc>
        <w:tc>
          <w:tcPr>
            <w:tcW w:w="689"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625</w:t>
            </w:r>
            <w:r w:rsidRPr="00B93775">
              <w:rPr>
                <w:sz w:val="18"/>
                <w:szCs w:val="18"/>
                <w:vertAlign w:val="superscript"/>
                <w:lang w:val="fr-FR"/>
              </w:rPr>
              <w:t>7</w:t>
            </w:r>
          </w:p>
        </w:tc>
        <w:tc>
          <w:tcPr>
            <w:tcW w:w="627"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50</w:t>
            </w:r>
          </w:p>
        </w:tc>
        <w:tc>
          <w:tcPr>
            <w:tcW w:w="725" w:type="dxa"/>
            <w:tcBorders>
              <w:top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625</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3</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BR</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R 2,50</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U 1,00</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50</w:t>
            </w:r>
            <w:r w:rsidRPr="00B93775">
              <w:rPr>
                <w:b/>
                <w:bCs/>
                <w:sz w:val="18"/>
                <w:szCs w:val="18"/>
                <w:vertAlign w:val="superscript"/>
                <w:lang w:val="fr-FR"/>
              </w:rPr>
              <w:t>4</w:t>
            </w:r>
          </w:p>
        </w:tc>
        <w:tc>
          <w:tcPr>
            <w:tcW w:w="614" w:type="dxa"/>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1 750</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50</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880</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50</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1 750</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50</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2 650</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4</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Segment BRR</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R 8,00</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R 20</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U 0,57</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50</w:t>
            </w:r>
            <w:r w:rsidRPr="00B93775">
              <w:rPr>
                <w:b/>
                <w:bCs/>
                <w:sz w:val="18"/>
                <w:szCs w:val="18"/>
                <w:vertAlign w:val="superscript"/>
                <w:lang w:val="fr-FR"/>
              </w:rPr>
              <w:t>4</w:t>
            </w:r>
          </w:p>
        </w:tc>
        <w:tc>
          <w:tcPr>
            <w:tcW w:w="614" w:type="dxa"/>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3 550</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880</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3 550</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5 300</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5</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Segment BLL</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L 8,00</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L 20</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U 0,57</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50</w:t>
            </w:r>
            <w:r w:rsidRPr="00B93775">
              <w:rPr>
                <w:b/>
                <w:bCs/>
                <w:sz w:val="18"/>
                <w:szCs w:val="18"/>
                <w:vertAlign w:val="superscript"/>
                <w:lang w:val="fr-FR"/>
              </w:rPr>
              <w:t>4</w:t>
            </w:r>
          </w:p>
        </w:tc>
        <w:tc>
          <w:tcPr>
            <w:tcW w:w="614" w:type="dxa"/>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625</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880</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880</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880</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6</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P</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L 7,00</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H</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63</w:t>
            </w:r>
          </w:p>
        </w:tc>
        <w:tc>
          <w:tcPr>
            <w:tcW w:w="614" w:type="dxa"/>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63</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7</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Zone III</w:t>
            </w:r>
          </w:p>
        </w:tc>
        <w:tc>
          <w:tcPr>
            <w:tcW w:w="2045" w:type="dxa"/>
            <w:gridSpan w:val="3"/>
            <w:tcMar>
              <w:top w:w="0" w:type="dxa"/>
              <w:left w:w="28" w:type="dxa"/>
              <w:bottom w:w="0" w:type="dxa"/>
              <w:right w:w="28" w:type="dxa"/>
            </w:tcMar>
            <w:vAlign w:val="bottom"/>
          </w:tcPr>
          <w:p w:rsidR="00E86730" w:rsidRPr="00B93775" w:rsidRDefault="00E86730" w:rsidP="007B2119">
            <w:pPr>
              <w:spacing w:before="60" w:after="60"/>
              <w:ind w:left="23" w:right="23"/>
              <w:jc w:val="center"/>
              <w:rPr>
                <w:sz w:val="18"/>
                <w:szCs w:val="18"/>
              </w:rPr>
            </w:pPr>
            <w:r w:rsidRPr="00B93775">
              <w:rPr>
                <w:sz w:val="18"/>
                <w:szCs w:val="18"/>
                <w:lang w:val="fr-FR"/>
              </w:rPr>
              <w:t>Comme indiqué dans le tableau 11</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614" w:type="dxa"/>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625</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625</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880</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880</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8a</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S50+S50LL</w:t>
            </w:r>
            <w:r w:rsidR="00F02656">
              <w:rPr>
                <w:sz w:val="18"/>
                <w:szCs w:val="18"/>
                <w:lang w:val="fr-FR"/>
              </w:rPr>
              <w:t xml:space="preserve"> </w:t>
            </w:r>
            <w:r w:rsidRPr="00B93775">
              <w:rPr>
                <w:sz w:val="18"/>
                <w:szCs w:val="18"/>
                <w:lang w:val="fr-FR"/>
              </w:rPr>
              <w:t>+S50RR</w:t>
            </w:r>
            <w:r w:rsidRPr="00B93775">
              <w:rPr>
                <w:sz w:val="18"/>
                <w:szCs w:val="18"/>
                <w:vertAlign w:val="superscript"/>
                <w:lang w:val="fr-FR"/>
              </w:rPr>
              <w:t>5</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U 4,00</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190</w:t>
            </w:r>
            <w:r w:rsidRPr="00B93775">
              <w:rPr>
                <w:b/>
                <w:bCs/>
                <w:sz w:val="18"/>
                <w:szCs w:val="18"/>
                <w:vertAlign w:val="superscript"/>
                <w:lang w:val="fr-FR"/>
              </w:rPr>
              <w:t>6</w:t>
            </w:r>
          </w:p>
        </w:tc>
        <w:tc>
          <w:tcPr>
            <w:tcW w:w="614" w:type="dxa"/>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190</w:t>
            </w:r>
            <w:r w:rsidRPr="00B93775">
              <w:rPr>
                <w:sz w:val="18"/>
                <w:szCs w:val="18"/>
                <w:vertAlign w:val="superscript"/>
                <w:lang w:val="fr-FR"/>
              </w:rPr>
              <w:t>6</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190</w:t>
            </w:r>
            <w:r w:rsidRPr="00B93775">
              <w:rPr>
                <w:sz w:val="18"/>
                <w:szCs w:val="18"/>
                <w:vertAlign w:val="superscript"/>
                <w:lang w:val="fr-FR"/>
              </w:rPr>
              <w:t>6</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9a</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S100+S100LL</w:t>
            </w:r>
            <w:r w:rsidR="00F02656">
              <w:rPr>
                <w:sz w:val="18"/>
                <w:szCs w:val="18"/>
                <w:lang w:val="fr-FR"/>
              </w:rPr>
              <w:t xml:space="preserve"> </w:t>
            </w:r>
            <w:r w:rsidRPr="00B93775">
              <w:rPr>
                <w:sz w:val="18"/>
                <w:szCs w:val="18"/>
                <w:lang w:val="fr-FR"/>
              </w:rPr>
              <w:t>+S100RR</w:t>
            </w:r>
            <w:r w:rsidRPr="00B93775">
              <w:rPr>
                <w:sz w:val="18"/>
                <w:szCs w:val="18"/>
                <w:vertAlign w:val="superscript"/>
                <w:lang w:val="fr-FR"/>
              </w:rPr>
              <w:t>5</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U 2,00</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375</w:t>
            </w:r>
            <w:r w:rsidRPr="00B93775">
              <w:rPr>
                <w:b/>
                <w:bCs/>
                <w:sz w:val="18"/>
                <w:szCs w:val="18"/>
                <w:vertAlign w:val="superscript"/>
                <w:lang w:val="fr-FR"/>
              </w:rPr>
              <w:t>6</w:t>
            </w:r>
          </w:p>
        </w:tc>
        <w:tc>
          <w:tcPr>
            <w:tcW w:w="614" w:type="dxa"/>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375</w:t>
            </w:r>
            <w:r w:rsidRPr="00B93775">
              <w:rPr>
                <w:sz w:val="18"/>
                <w:szCs w:val="18"/>
                <w:vertAlign w:val="superscript"/>
                <w:lang w:val="fr-FR"/>
              </w:rPr>
              <w:t>6</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375</w:t>
            </w:r>
            <w:r w:rsidRPr="00B93775">
              <w:rPr>
                <w:sz w:val="18"/>
                <w:szCs w:val="18"/>
                <w:vertAlign w:val="superscript"/>
                <w:lang w:val="fr-FR"/>
              </w:rPr>
              <w:t>6</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10</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50 R</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R 1,72</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D 0,86</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614" w:type="dxa"/>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5 100</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11</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75 R</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R 1,15</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D 0,57</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10 100</w:t>
            </w:r>
          </w:p>
        </w:tc>
        <w:tc>
          <w:tcPr>
            <w:tcW w:w="614" w:type="dxa"/>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15 200</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20 300</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12</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50 V</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V</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D 0,86</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5 100</w:t>
            </w:r>
          </w:p>
        </w:tc>
        <w:tc>
          <w:tcPr>
            <w:tcW w:w="614" w:type="dxa"/>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5 100</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10 100</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10 100</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13</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50 L</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L 3,43</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D 0,86</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3 550</w:t>
            </w:r>
          </w:p>
        </w:tc>
        <w:tc>
          <w:tcPr>
            <w:tcW w:w="614" w:type="dxa"/>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13 200</w:t>
            </w:r>
            <w:r w:rsidRPr="00B93775">
              <w:rPr>
                <w:b/>
                <w:bCs/>
                <w:sz w:val="18"/>
                <w:szCs w:val="18"/>
                <w:vertAlign w:val="superscript"/>
                <w:lang w:val="fr-FR"/>
              </w:rPr>
              <w:t>8</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3 550</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13 200</w:t>
            </w:r>
            <w:r w:rsidRPr="00B93775">
              <w:rPr>
                <w:sz w:val="18"/>
                <w:szCs w:val="18"/>
                <w:vertAlign w:val="superscript"/>
                <w:lang w:val="fr-FR"/>
              </w:rPr>
              <w:t>8</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6 800</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6 800</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26 400</w:t>
            </w:r>
            <w:r w:rsidRPr="00B93775">
              <w:rPr>
                <w:sz w:val="18"/>
                <w:szCs w:val="18"/>
                <w:vertAlign w:val="superscript"/>
                <w:lang w:val="fr-FR"/>
              </w:rPr>
              <w:t>8</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14</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25 LL</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L 16,00</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D 1,72</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1 180</w:t>
            </w:r>
          </w:p>
        </w:tc>
        <w:tc>
          <w:tcPr>
            <w:tcW w:w="614" w:type="dxa"/>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845</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1 180</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3 400</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15</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25 RR</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R 11,00</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D 1,72</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1 180</w:t>
            </w:r>
          </w:p>
        </w:tc>
        <w:tc>
          <w:tcPr>
            <w:tcW w:w="614" w:type="dxa"/>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845</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1 180</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3 400</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r>
      <w:tr w:rsidR="000734BA" w:rsidRPr="00457CB2" w:rsidTr="005008C7">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16</w:t>
            </w:r>
          </w:p>
        </w:tc>
        <w:tc>
          <w:tcPr>
            <w:tcW w:w="17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Segment 20 et au-dessous</w:t>
            </w:r>
          </w:p>
        </w:tc>
        <w:tc>
          <w:tcPr>
            <w:tcW w:w="70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L 3,50</w:t>
            </w:r>
          </w:p>
        </w:tc>
        <w:tc>
          <w:tcPr>
            <w:tcW w:w="56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V</w:t>
            </w:r>
          </w:p>
        </w:tc>
        <w:tc>
          <w:tcPr>
            <w:tcW w:w="76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D 2,00</w:t>
            </w:r>
          </w:p>
        </w:tc>
        <w:tc>
          <w:tcPr>
            <w:tcW w:w="614" w:type="dxa"/>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614" w:type="dxa"/>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53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8"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27"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25" w:type="dxa"/>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17 600</w:t>
            </w:r>
            <w:r w:rsidRPr="00B93775">
              <w:rPr>
                <w:sz w:val="18"/>
                <w:szCs w:val="18"/>
                <w:vertAlign w:val="superscript"/>
                <w:lang w:val="fr-FR"/>
              </w:rPr>
              <w:t>2</w:t>
            </w:r>
          </w:p>
        </w:tc>
      </w:tr>
      <w:tr w:rsidR="000734BA" w:rsidRPr="00457CB2" w:rsidTr="00431C30">
        <w:tc>
          <w:tcPr>
            <w:tcW w:w="254" w:type="dxa"/>
            <w:vMerge/>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Borders>
              <w:bottom w:val="single" w:sz="4" w:space="0" w:color="auto"/>
            </w:tcBorders>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17</w:t>
            </w:r>
          </w:p>
        </w:tc>
        <w:tc>
          <w:tcPr>
            <w:tcW w:w="1788"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Segment 10 et au-dessous</w:t>
            </w:r>
          </w:p>
        </w:tc>
        <w:tc>
          <w:tcPr>
            <w:tcW w:w="709"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L 4,50</w:t>
            </w:r>
          </w:p>
        </w:tc>
        <w:tc>
          <w:tcPr>
            <w:tcW w:w="567"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R 2,00</w:t>
            </w:r>
          </w:p>
        </w:tc>
        <w:tc>
          <w:tcPr>
            <w:tcW w:w="769"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D 4,00</w:t>
            </w:r>
          </w:p>
        </w:tc>
        <w:tc>
          <w:tcPr>
            <w:tcW w:w="614"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sz w:val="18"/>
                <w:szCs w:val="18"/>
                <w:lang w:val="fr-FR"/>
              </w:rPr>
              <w:t>-</w:t>
            </w:r>
          </w:p>
        </w:tc>
        <w:tc>
          <w:tcPr>
            <w:tcW w:w="614" w:type="dxa"/>
            <w:tcBorders>
              <w:bottom w:val="single" w:sz="4" w:space="0" w:color="auto"/>
            </w:tcBorders>
            <w:vAlign w:val="bottom"/>
          </w:tcPr>
          <w:p w:rsidR="00E86730" w:rsidRPr="005008C7" w:rsidRDefault="00E86730" w:rsidP="005008C7">
            <w:pPr>
              <w:spacing w:before="60" w:after="60"/>
              <w:ind w:left="23" w:right="23"/>
              <w:jc w:val="right"/>
              <w:rPr>
                <w:rFonts w:ascii="Times New Roman Gras" w:hAnsi="Times New Roman Gras"/>
                <w:b/>
                <w:spacing w:val="-4"/>
                <w:sz w:val="18"/>
                <w:szCs w:val="18"/>
              </w:rPr>
            </w:pPr>
            <w:r w:rsidRPr="005008C7">
              <w:rPr>
                <w:rFonts w:ascii="Times New Roman Gras" w:hAnsi="Times New Roman Gras"/>
                <w:b/>
                <w:bCs/>
                <w:spacing w:val="-4"/>
                <w:sz w:val="18"/>
                <w:szCs w:val="18"/>
                <w:lang w:val="fr-FR"/>
              </w:rPr>
              <w:t>12 300</w:t>
            </w:r>
            <w:r w:rsidRPr="005008C7">
              <w:rPr>
                <w:rFonts w:ascii="Times New Roman Gras" w:hAnsi="Times New Roman Gras"/>
                <w:b/>
                <w:bCs/>
                <w:spacing w:val="-4"/>
                <w:sz w:val="18"/>
                <w:szCs w:val="18"/>
                <w:vertAlign w:val="superscript"/>
                <w:lang w:val="fr-FR"/>
              </w:rPr>
              <w:t>1</w:t>
            </w:r>
          </w:p>
        </w:tc>
        <w:tc>
          <w:tcPr>
            <w:tcW w:w="538"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8"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b/>
                <w:bCs/>
                <w:sz w:val="18"/>
                <w:szCs w:val="18"/>
                <w:lang w:val="fr-FR"/>
              </w:rPr>
              <w:t>12 300</w:t>
            </w:r>
            <w:r w:rsidRPr="00B93775">
              <w:rPr>
                <w:b/>
                <w:bCs/>
                <w:sz w:val="18"/>
                <w:szCs w:val="18"/>
                <w:vertAlign w:val="superscript"/>
                <w:lang w:val="fr-FR"/>
              </w:rPr>
              <w:t>1</w:t>
            </w:r>
          </w:p>
        </w:tc>
        <w:tc>
          <w:tcPr>
            <w:tcW w:w="689"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89"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12 300</w:t>
            </w:r>
            <w:r w:rsidRPr="00B93775">
              <w:rPr>
                <w:sz w:val="18"/>
                <w:szCs w:val="18"/>
                <w:vertAlign w:val="superscript"/>
                <w:lang w:val="fr-FR"/>
              </w:rPr>
              <w:t>1</w:t>
            </w:r>
          </w:p>
        </w:tc>
        <w:tc>
          <w:tcPr>
            <w:tcW w:w="627"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25"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7 100</w:t>
            </w:r>
            <w:r w:rsidRPr="00B93775">
              <w:rPr>
                <w:sz w:val="18"/>
                <w:szCs w:val="18"/>
                <w:vertAlign w:val="superscript"/>
                <w:lang w:val="fr-FR"/>
              </w:rPr>
              <w:t>2</w:t>
            </w:r>
          </w:p>
        </w:tc>
      </w:tr>
      <w:tr w:rsidR="000734BA" w:rsidRPr="00457CB2" w:rsidTr="00CB0F81">
        <w:tc>
          <w:tcPr>
            <w:tcW w:w="254" w:type="dxa"/>
            <w:vMerge/>
            <w:tcBorders>
              <w:bottom w:val="single" w:sz="4" w:space="0" w:color="auto"/>
            </w:tcBorders>
            <w:tcMar>
              <w:top w:w="0" w:type="dxa"/>
              <w:left w:w="28" w:type="dxa"/>
              <w:bottom w:w="0" w:type="dxa"/>
              <w:right w:w="28" w:type="dxa"/>
            </w:tcMar>
            <w:vAlign w:val="center"/>
          </w:tcPr>
          <w:p w:rsidR="00E86730" w:rsidRPr="00B93775" w:rsidRDefault="00E86730" w:rsidP="000734BA">
            <w:pPr>
              <w:spacing w:before="60" w:after="60"/>
              <w:ind w:left="57" w:right="57"/>
              <w:jc w:val="center"/>
              <w:rPr>
                <w:sz w:val="18"/>
                <w:szCs w:val="18"/>
              </w:rPr>
            </w:pPr>
          </w:p>
        </w:tc>
        <w:tc>
          <w:tcPr>
            <w:tcW w:w="368" w:type="dxa"/>
            <w:tcBorders>
              <w:bottom w:val="single" w:sz="4" w:space="0" w:color="auto"/>
            </w:tcBorders>
            <w:tcMar>
              <w:top w:w="0" w:type="dxa"/>
              <w:left w:w="28" w:type="dxa"/>
              <w:bottom w:w="0" w:type="dxa"/>
              <w:right w:w="28" w:type="dxa"/>
            </w:tcMar>
            <w:vAlign w:val="bottom"/>
          </w:tcPr>
          <w:p w:rsidR="00E86730" w:rsidRPr="00B93775" w:rsidRDefault="00E86730" w:rsidP="002F13C9">
            <w:pPr>
              <w:spacing w:before="60" w:after="60"/>
              <w:ind w:left="57" w:right="57"/>
              <w:jc w:val="right"/>
              <w:rPr>
                <w:sz w:val="18"/>
                <w:szCs w:val="18"/>
              </w:rPr>
            </w:pPr>
            <w:r w:rsidRPr="00B93775">
              <w:rPr>
                <w:sz w:val="18"/>
                <w:szCs w:val="18"/>
                <w:lang w:val="fr-FR"/>
              </w:rPr>
              <w:t>18</w:t>
            </w:r>
          </w:p>
        </w:tc>
        <w:tc>
          <w:tcPr>
            <w:tcW w:w="1788"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I</w:t>
            </w:r>
            <w:r w:rsidRPr="00B93775">
              <w:rPr>
                <w:sz w:val="18"/>
                <w:szCs w:val="18"/>
                <w:vertAlign w:val="subscript"/>
                <w:lang w:val="fr-FR"/>
              </w:rPr>
              <w:t>max</w:t>
            </w:r>
            <w:r w:rsidRPr="00B93775">
              <w:rPr>
                <w:sz w:val="18"/>
                <w:szCs w:val="18"/>
                <w:vertAlign w:val="superscript"/>
                <w:lang w:val="fr-FR"/>
              </w:rPr>
              <w:t>3</w:t>
            </w:r>
          </w:p>
        </w:tc>
        <w:tc>
          <w:tcPr>
            <w:tcW w:w="709"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567"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769"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w:t>
            </w:r>
          </w:p>
        </w:tc>
        <w:tc>
          <w:tcPr>
            <w:tcW w:w="614"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16 900</w:t>
            </w:r>
          </w:p>
        </w:tc>
        <w:tc>
          <w:tcPr>
            <w:tcW w:w="614" w:type="dxa"/>
            <w:tcBorders>
              <w:bottom w:val="single" w:sz="4" w:space="0" w:color="auto"/>
            </w:tcBorders>
            <w:vAlign w:val="bottom"/>
          </w:tcPr>
          <w:p w:rsidR="00E86730" w:rsidRPr="00B93775" w:rsidRDefault="00E86730" w:rsidP="005008C7">
            <w:pPr>
              <w:spacing w:before="60" w:after="60"/>
              <w:ind w:left="23" w:right="23"/>
              <w:jc w:val="right"/>
              <w:rPr>
                <w:b/>
                <w:sz w:val="18"/>
                <w:szCs w:val="18"/>
              </w:rPr>
            </w:pPr>
            <w:r w:rsidRPr="00B93775">
              <w:rPr>
                <w:b/>
                <w:bCs/>
                <w:sz w:val="18"/>
                <w:szCs w:val="18"/>
                <w:lang w:val="fr-FR"/>
              </w:rPr>
              <w:t>44 100</w:t>
            </w:r>
          </w:p>
        </w:tc>
        <w:tc>
          <w:tcPr>
            <w:tcW w:w="538"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8 400</w:t>
            </w:r>
          </w:p>
        </w:tc>
        <w:tc>
          <w:tcPr>
            <w:tcW w:w="688"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44 100</w:t>
            </w:r>
          </w:p>
        </w:tc>
        <w:tc>
          <w:tcPr>
            <w:tcW w:w="689"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16 900</w:t>
            </w:r>
          </w:p>
        </w:tc>
        <w:tc>
          <w:tcPr>
            <w:tcW w:w="689" w:type="dxa"/>
            <w:tcBorders>
              <w:bottom w:val="single" w:sz="4" w:space="0" w:color="auto"/>
            </w:tcBorders>
            <w:tcMar>
              <w:top w:w="0" w:type="dxa"/>
              <w:left w:w="28" w:type="dxa"/>
              <w:bottom w:w="0" w:type="dxa"/>
              <w:right w:w="28" w:type="dxa"/>
            </w:tcMar>
            <w:vAlign w:val="bottom"/>
          </w:tcPr>
          <w:p w:rsidR="00E86730" w:rsidRPr="005008C7" w:rsidRDefault="00E86730" w:rsidP="005008C7">
            <w:pPr>
              <w:spacing w:before="60" w:after="60"/>
              <w:ind w:left="23" w:right="23"/>
              <w:jc w:val="right"/>
              <w:rPr>
                <w:spacing w:val="-4"/>
                <w:sz w:val="18"/>
                <w:szCs w:val="18"/>
              </w:rPr>
            </w:pPr>
            <w:r w:rsidRPr="005008C7">
              <w:rPr>
                <w:spacing w:val="-4"/>
                <w:sz w:val="18"/>
                <w:szCs w:val="18"/>
                <w:lang w:val="fr-FR"/>
              </w:rPr>
              <w:t>79 300</w:t>
            </w:r>
            <w:r w:rsidRPr="005008C7">
              <w:rPr>
                <w:spacing w:val="-4"/>
                <w:sz w:val="18"/>
                <w:szCs w:val="18"/>
                <w:vertAlign w:val="superscript"/>
                <w:lang w:val="fr-FR"/>
              </w:rPr>
              <w:t>7</w:t>
            </w:r>
          </w:p>
        </w:tc>
        <w:tc>
          <w:tcPr>
            <w:tcW w:w="627"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29 530</w:t>
            </w:r>
          </w:p>
        </w:tc>
        <w:tc>
          <w:tcPr>
            <w:tcW w:w="725" w:type="dxa"/>
            <w:tcBorders>
              <w:bottom w:val="single" w:sz="4" w:space="0" w:color="auto"/>
            </w:tcBorders>
            <w:tcMar>
              <w:top w:w="0" w:type="dxa"/>
              <w:left w:w="28" w:type="dxa"/>
              <w:bottom w:w="0" w:type="dxa"/>
              <w:right w:w="28" w:type="dxa"/>
            </w:tcMar>
            <w:vAlign w:val="bottom"/>
          </w:tcPr>
          <w:p w:rsidR="00E86730" w:rsidRPr="00B93775" w:rsidRDefault="00E86730" w:rsidP="005008C7">
            <w:pPr>
              <w:spacing w:before="60" w:after="60"/>
              <w:ind w:left="23" w:right="23"/>
              <w:jc w:val="right"/>
              <w:rPr>
                <w:sz w:val="18"/>
                <w:szCs w:val="18"/>
              </w:rPr>
            </w:pPr>
            <w:r w:rsidRPr="00B93775">
              <w:rPr>
                <w:sz w:val="18"/>
                <w:szCs w:val="18"/>
                <w:lang w:val="fr-FR"/>
              </w:rPr>
              <w:t>70 500</w:t>
            </w:r>
            <w:r w:rsidRPr="00B93775">
              <w:rPr>
                <w:sz w:val="18"/>
                <w:szCs w:val="18"/>
                <w:vertAlign w:val="superscript"/>
                <w:lang w:val="fr-FR"/>
              </w:rPr>
              <w:t>2</w:t>
            </w:r>
          </w:p>
        </w:tc>
      </w:tr>
    </w:tbl>
    <w:p w:rsidR="00E86730" w:rsidRPr="00331FDB" w:rsidRDefault="00331FDB" w:rsidP="007B2119">
      <w:pPr>
        <w:pStyle w:val="SingleTxtG"/>
        <w:spacing w:before="120"/>
        <w:ind w:right="0"/>
        <w:jc w:val="right"/>
      </w:pPr>
      <w:r w:rsidRPr="00331FDB">
        <w:t>. </w:t>
      </w:r>
      <w:r w:rsidR="00E86730" w:rsidRPr="00331FDB">
        <w:t>»</w:t>
      </w:r>
      <w:r w:rsidRPr="00331FDB">
        <w:t>.</w:t>
      </w:r>
    </w:p>
    <w:p w:rsidR="00E86730" w:rsidRPr="00457CB2" w:rsidRDefault="00331FDB" w:rsidP="00331FDB">
      <w:pPr>
        <w:pStyle w:val="HChG"/>
      </w:pPr>
      <w:r>
        <w:rPr>
          <w:lang w:val="fr-FR"/>
        </w:rPr>
        <w:tab/>
      </w:r>
      <w:r w:rsidR="00E86730" w:rsidRPr="00457CB2">
        <w:rPr>
          <w:lang w:val="fr-FR"/>
        </w:rPr>
        <w:t>II.</w:t>
      </w:r>
      <w:r w:rsidR="00E86730" w:rsidRPr="00457CB2">
        <w:rPr>
          <w:lang w:val="fr-FR"/>
        </w:rPr>
        <w:tab/>
        <w:t>Justification</w:t>
      </w:r>
    </w:p>
    <w:p w:rsidR="00E86730" w:rsidRPr="00B53905" w:rsidRDefault="00E86730" w:rsidP="00E75573">
      <w:pPr>
        <w:pStyle w:val="SingleTxtG"/>
        <w:spacing w:line="220" w:lineRule="atLeast"/>
        <w:rPr>
          <w:i/>
        </w:rPr>
      </w:pPr>
      <w:r w:rsidRPr="00B53905">
        <w:rPr>
          <w:i/>
          <w:lang w:val="fr-FR"/>
        </w:rPr>
        <w:t>Paragraphe 2.1</w:t>
      </w:r>
    </w:p>
    <w:p w:rsidR="00E86730" w:rsidRPr="00457CB2" w:rsidRDefault="00E86730" w:rsidP="00E75573">
      <w:pPr>
        <w:pStyle w:val="SingleTxtG"/>
        <w:spacing w:line="220" w:lineRule="atLeast"/>
      </w:pPr>
      <w:r w:rsidRPr="00457CB2">
        <w:rPr>
          <w:lang w:val="fr-FR"/>
        </w:rPr>
        <w:t>1.</w:t>
      </w:r>
      <w:r w:rsidRPr="00457CB2">
        <w:rPr>
          <w:lang w:val="fr-FR"/>
        </w:rPr>
        <w:tab/>
        <w:t>Bien que le libellé «</w:t>
      </w:r>
      <w:r w:rsidR="002351FB">
        <w:rPr>
          <w:lang w:val="fr-FR"/>
        </w:rPr>
        <w:t> </w:t>
      </w:r>
      <w:r w:rsidRPr="00457CB2">
        <w:rPr>
          <w:lang w:val="fr-FR"/>
        </w:rPr>
        <w:t>sauf indication contraire</w:t>
      </w:r>
      <w:r w:rsidR="002351FB">
        <w:rPr>
          <w:lang w:val="fr-FR"/>
        </w:rPr>
        <w:t> </w:t>
      </w:r>
      <w:r w:rsidRPr="00457CB2">
        <w:rPr>
          <w:lang w:val="fr-FR"/>
        </w:rPr>
        <w:t xml:space="preserve">» figure déjà dans le texte, le groupe de travail informel a conclu que, par souci de clarté, il serait opportun de préciser les </w:t>
      </w:r>
      <w:r w:rsidR="00EB76AF">
        <w:rPr>
          <w:lang w:val="fr-FR"/>
        </w:rPr>
        <w:t>R</w:t>
      </w:r>
      <w:r w:rsidRPr="00457CB2">
        <w:rPr>
          <w:lang w:val="fr-FR"/>
        </w:rPr>
        <w:t>èglements ONU concernant les autres catégories de véhicules dans le paragraphe de définition.</w:t>
      </w:r>
    </w:p>
    <w:p w:rsidR="00E86730" w:rsidRPr="00457CB2" w:rsidRDefault="00E86730" w:rsidP="00E75573">
      <w:pPr>
        <w:pStyle w:val="SingleTxtG"/>
        <w:spacing w:line="220" w:lineRule="atLeast"/>
        <w:rPr>
          <w:bCs/>
          <w:i/>
        </w:rPr>
      </w:pPr>
      <w:r w:rsidRPr="00457CB2">
        <w:rPr>
          <w:i/>
          <w:iCs/>
          <w:lang w:val="fr-FR"/>
        </w:rPr>
        <w:t>Annexe 2, paragraphes 1.2.2.3, 1.2.3</w:t>
      </w:r>
      <w:r w:rsidRPr="00457CB2">
        <w:rPr>
          <w:lang w:val="fr-FR"/>
        </w:rPr>
        <w:t xml:space="preserve"> </w:t>
      </w:r>
      <w:r w:rsidRPr="00457CB2">
        <w:rPr>
          <w:i/>
          <w:iCs/>
          <w:lang w:val="fr-FR"/>
        </w:rPr>
        <w:t>et 1.2.4</w:t>
      </w:r>
    </w:p>
    <w:p w:rsidR="00E86730" w:rsidRPr="00457CB2" w:rsidRDefault="00E86730" w:rsidP="00E75573">
      <w:pPr>
        <w:pStyle w:val="SingleTxtG"/>
        <w:spacing w:line="220" w:lineRule="atLeast"/>
        <w:rPr>
          <w:bCs/>
        </w:rPr>
      </w:pPr>
      <w:r w:rsidRPr="00457CB2">
        <w:rPr>
          <w:lang w:val="fr-FR"/>
        </w:rPr>
        <w:t>2.</w:t>
      </w:r>
      <w:r w:rsidRPr="00457CB2">
        <w:rPr>
          <w:lang w:val="fr-FR"/>
        </w:rPr>
        <w:tab/>
        <w:t>Le groupe de travail informel recommande d’harmoniser les dispositions de vérification de la conformité de la production concernant les angles de réorientation autorisés pour les projecteurs des classes A et B (figurant dans le Règlement ONU n</w:t>
      </w:r>
      <w:r w:rsidRPr="00457CB2">
        <w:rPr>
          <w:vertAlign w:val="superscript"/>
          <w:lang w:val="fr-FR"/>
        </w:rPr>
        <w:t>o</w:t>
      </w:r>
      <w:r w:rsidR="002351FB">
        <w:rPr>
          <w:lang w:val="fr-FR"/>
        </w:rPr>
        <w:t> </w:t>
      </w:r>
      <w:r w:rsidRPr="00457CB2">
        <w:rPr>
          <w:lang w:val="fr-FR"/>
        </w:rPr>
        <w:t>112, voir le tableau ci-dessous) avec les dispositions applicables à toutes les autres classes et aux systèmes d’éclairage avant actifs (AFS).</w:t>
      </w:r>
    </w:p>
    <w:p w:rsidR="00E86730" w:rsidRPr="00457CB2" w:rsidRDefault="00E86730" w:rsidP="00331FDB">
      <w:pPr>
        <w:pStyle w:val="Heading1"/>
        <w:spacing w:after="120"/>
        <w:ind w:left="0"/>
        <w:rPr>
          <w:lang w:val="fr-FR"/>
        </w:rPr>
      </w:pPr>
      <w:r w:rsidRPr="00457CB2">
        <w:rPr>
          <w:lang w:val="fr-FR"/>
        </w:rPr>
        <w:t>Tableau</w:t>
      </w:r>
      <w:r w:rsidR="00331FDB">
        <w:rPr>
          <w:lang w:val="fr-FR"/>
        </w:rPr>
        <w:t xml:space="preserve"> </w:t>
      </w:r>
      <w:r w:rsidR="00331FDB">
        <w:rPr>
          <w:lang w:val="fr-FR"/>
        </w:rPr>
        <w:br/>
      </w:r>
      <w:r w:rsidRPr="00457CB2">
        <w:rPr>
          <w:lang w:val="fr-FR"/>
        </w:rPr>
        <w:t xml:space="preserve">Dispositions relatives aux mesures permettant de vérifier la conformité de la production </w:t>
      </w:r>
      <w:r w:rsidR="00331FDB">
        <w:rPr>
          <w:lang w:val="fr-FR"/>
        </w:rPr>
        <w:br/>
      </w:r>
      <w:r w:rsidRPr="00457CB2">
        <w:rPr>
          <w:lang w:val="fr-FR"/>
        </w:rPr>
        <w:t>(exemple pour la circulation à droite)</w:t>
      </w:r>
    </w:p>
    <w:tbl>
      <w:tblPr>
        <w:tblStyle w:val="Grigliatabella1"/>
        <w:tblW w:w="9637" w:type="dxa"/>
        <w:tblInd w:w="0" w:type="dxa"/>
        <w:tblLayout w:type="fixed"/>
        <w:tblCellMar>
          <w:left w:w="0" w:type="dxa"/>
          <w:right w:w="0" w:type="dxa"/>
        </w:tblCellMar>
        <w:tblLook w:val="04A0" w:firstRow="1" w:lastRow="0" w:firstColumn="1" w:lastColumn="0" w:noHBand="0" w:noVBand="1"/>
      </w:tblPr>
      <w:tblGrid>
        <w:gridCol w:w="1565"/>
        <w:gridCol w:w="1559"/>
        <w:gridCol w:w="1559"/>
        <w:gridCol w:w="1731"/>
        <w:gridCol w:w="1617"/>
        <w:gridCol w:w="1606"/>
      </w:tblGrid>
      <w:tr w:rsidR="00E86730" w:rsidRPr="00C86538" w:rsidTr="00431C30">
        <w:tc>
          <w:tcPr>
            <w:tcW w:w="1565" w:type="dxa"/>
            <w:tcBorders>
              <w:top w:val="single" w:sz="4" w:space="0" w:color="auto"/>
              <w:left w:val="single" w:sz="4" w:space="0" w:color="auto"/>
              <w:bottom w:val="single" w:sz="4" w:space="0" w:color="auto"/>
              <w:right w:val="single" w:sz="4" w:space="0" w:color="auto"/>
            </w:tcBorders>
            <w:vAlign w:val="bottom"/>
          </w:tcPr>
          <w:p w:rsidR="00E86730" w:rsidRPr="00C86538" w:rsidRDefault="00E86730" w:rsidP="00C67C97">
            <w:pPr>
              <w:spacing w:before="60" w:after="60"/>
              <w:ind w:left="57" w:right="57"/>
              <w:rPr>
                <w:b/>
                <w:i/>
                <w:sz w:val="14"/>
                <w:szCs w:val="14"/>
              </w:rPr>
            </w:pPr>
            <w:r w:rsidRPr="00C86538">
              <w:rPr>
                <w:b/>
                <w:bCs/>
                <w:i/>
                <w:iCs/>
                <w:sz w:val="14"/>
                <w:szCs w:val="14"/>
                <w:lang w:val="fr-FR"/>
              </w:rPr>
              <w:t>Règlement ONU n</w:t>
            </w:r>
            <w:r w:rsidRPr="00C86538">
              <w:rPr>
                <w:b/>
                <w:bCs/>
                <w:i/>
                <w:iCs/>
                <w:sz w:val="14"/>
                <w:szCs w:val="14"/>
                <w:vertAlign w:val="superscript"/>
                <w:lang w:val="fr-FR"/>
              </w:rPr>
              <w:t>o</w:t>
            </w:r>
          </w:p>
        </w:tc>
        <w:tc>
          <w:tcPr>
            <w:tcW w:w="1559" w:type="dxa"/>
            <w:tcBorders>
              <w:top w:val="single" w:sz="4" w:space="0" w:color="auto"/>
              <w:left w:val="single" w:sz="4" w:space="0" w:color="auto"/>
              <w:bottom w:val="single" w:sz="4" w:space="0" w:color="auto"/>
              <w:right w:val="single" w:sz="4" w:space="0" w:color="auto"/>
            </w:tcBorders>
            <w:vAlign w:val="bottom"/>
            <w:hideMark/>
          </w:tcPr>
          <w:p w:rsidR="00E86730" w:rsidRPr="00C86538" w:rsidRDefault="00E86730" w:rsidP="00C67C97">
            <w:pPr>
              <w:spacing w:before="60" w:after="60"/>
              <w:ind w:left="57" w:right="57"/>
              <w:rPr>
                <w:b/>
                <w:i/>
                <w:sz w:val="14"/>
                <w:szCs w:val="14"/>
              </w:rPr>
            </w:pPr>
            <w:r w:rsidRPr="00C86538">
              <w:rPr>
                <w:b/>
                <w:bCs/>
                <w:i/>
                <w:iCs/>
                <w:sz w:val="14"/>
                <w:szCs w:val="14"/>
                <w:lang w:val="fr-FR"/>
              </w:rPr>
              <w:t>98</w:t>
            </w:r>
          </w:p>
        </w:tc>
        <w:tc>
          <w:tcPr>
            <w:tcW w:w="1559" w:type="dxa"/>
            <w:tcBorders>
              <w:top w:val="single" w:sz="4" w:space="0" w:color="auto"/>
              <w:left w:val="single" w:sz="4" w:space="0" w:color="auto"/>
              <w:bottom w:val="single" w:sz="4" w:space="0" w:color="auto"/>
              <w:right w:val="single" w:sz="4" w:space="0" w:color="auto"/>
            </w:tcBorders>
            <w:vAlign w:val="bottom"/>
            <w:hideMark/>
          </w:tcPr>
          <w:p w:rsidR="00E86730" w:rsidRPr="00C86538" w:rsidRDefault="00E86730" w:rsidP="00C67C97">
            <w:pPr>
              <w:spacing w:before="60" w:after="60"/>
              <w:ind w:left="57" w:right="57"/>
              <w:rPr>
                <w:b/>
                <w:i/>
                <w:sz w:val="14"/>
                <w:szCs w:val="14"/>
              </w:rPr>
            </w:pPr>
            <w:r w:rsidRPr="00C86538">
              <w:rPr>
                <w:b/>
                <w:bCs/>
                <w:i/>
                <w:iCs/>
                <w:sz w:val="14"/>
                <w:szCs w:val="14"/>
                <w:lang w:val="fr-FR"/>
              </w:rPr>
              <w:t>112</w:t>
            </w:r>
          </w:p>
        </w:tc>
        <w:tc>
          <w:tcPr>
            <w:tcW w:w="1731" w:type="dxa"/>
            <w:tcBorders>
              <w:top w:val="single" w:sz="4" w:space="0" w:color="auto"/>
              <w:left w:val="single" w:sz="4" w:space="0" w:color="auto"/>
              <w:bottom w:val="single" w:sz="4" w:space="0" w:color="auto"/>
              <w:right w:val="single" w:sz="4" w:space="0" w:color="auto"/>
            </w:tcBorders>
            <w:vAlign w:val="bottom"/>
            <w:hideMark/>
          </w:tcPr>
          <w:p w:rsidR="00E86730" w:rsidRPr="00C86538" w:rsidRDefault="00E86730" w:rsidP="00C67C97">
            <w:pPr>
              <w:spacing w:before="60" w:after="60"/>
              <w:ind w:left="57" w:right="57"/>
              <w:rPr>
                <w:b/>
                <w:i/>
                <w:sz w:val="14"/>
                <w:szCs w:val="14"/>
              </w:rPr>
            </w:pPr>
            <w:r w:rsidRPr="00C86538">
              <w:rPr>
                <w:b/>
                <w:bCs/>
                <w:i/>
                <w:iCs/>
                <w:sz w:val="14"/>
                <w:szCs w:val="14"/>
                <w:lang w:val="fr-FR"/>
              </w:rPr>
              <w:t>113</w:t>
            </w:r>
          </w:p>
        </w:tc>
        <w:tc>
          <w:tcPr>
            <w:tcW w:w="1617" w:type="dxa"/>
            <w:tcBorders>
              <w:top w:val="single" w:sz="4" w:space="0" w:color="auto"/>
              <w:left w:val="single" w:sz="4" w:space="0" w:color="auto"/>
              <w:bottom w:val="single" w:sz="4" w:space="0" w:color="auto"/>
              <w:right w:val="single" w:sz="4" w:space="0" w:color="auto"/>
            </w:tcBorders>
            <w:vAlign w:val="bottom"/>
            <w:hideMark/>
          </w:tcPr>
          <w:p w:rsidR="00E86730" w:rsidRPr="00C86538" w:rsidRDefault="00E86730" w:rsidP="00C67C97">
            <w:pPr>
              <w:spacing w:before="60" w:after="60"/>
              <w:ind w:left="57" w:right="57"/>
              <w:rPr>
                <w:b/>
                <w:i/>
                <w:sz w:val="14"/>
                <w:szCs w:val="14"/>
              </w:rPr>
            </w:pPr>
            <w:r w:rsidRPr="00C86538">
              <w:rPr>
                <w:b/>
                <w:bCs/>
                <w:i/>
                <w:iCs/>
                <w:sz w:val="14"/>
                <w:szCs w:val="14"/>
                <w:lang w:val="fr-FR"/>
              </w:rPr>
              <w:t>123</w:t>
            </w:r>
          </w:p>
        </w:tc>
        <w:tc>
          <w:tcPr>
            <w:tcW w:w="1606" w:type="dxa"/>
            <w:tcBorders>
              <w:top w:val="single" w:sz="4" w:space="0" w:color="auto"/>
              <w:left w:val="single" w:sz="4" w:space="0" w:color="auto"/>
              <w:bottom w:val="single" w:sz="4" w:space="0" w:color="auto"/>
              <w:right w:val="single" w:sz="4" w:space="0" w:color="auto"/>
            </w:tcBorders>
            <w:vAlign w:val="bottom"/>
            <w:hideMark/>
          </w:tcPr>
          <w:p w:rsidR="00E86730" w:rsidRPr="00C86538" w:rsidRDefault="00E86730" w:rsidP="00C86538">
            <w:pPr>
              <w:spacing w:before="60" w:after="60"/>
              <w:ind w:left="57" w:right="57"/>
              <w:rPr>
                <w:b/>
                <w:i/>
                <w:sz w:val="14"/>
                <w:szCs w:val="14"/>
                <w:lang w:val="fr-CH"/>
              </w:rPr>
            </w:pPr>
            <w:r w:rsidRPr="00C86538">
              <w:rPr>
                <w:b/>
                <w:i/>
                <w:sz w:val="14"/>
                <w:szCs w:val="14"/>
                <w:lang w:val="fr-CH"/>
              </w:rPr>
              <w:t>Proposition</w:t>
            </w:r>
            <w:r w:rsidR="00C86538">
              <w:rPr>
                <w:b/>
                <w:i/>
                <w:sz w:val="14"/>
                <w:szCs w:val="14"/>
                <w:lang w:val="fr-CH"/>
              </w:rPr>
              <w:t xml:space="preserve"> </w:t>
            </w:r>
            <w:r w:rsidRPr="00C86538">
              <w:rPr>
                <w:b/>
                <w:bCs/>
                <w:i/>
                <w:iCs/>
                <w:sz w:val="14"/>
                <w:szCs w:val="14"/>
                <w:lang w:val="fr-FR"/>
              </w:rPr>
              <w:t xml:space="preserve">pour </w:t>
            </w:r>
            <w:r w:rsidR="00C86538">
              <w:rPr>
                <w:b/>
                <w:bCs/>
                <w:i/>
                <w:iCs/>
                <w:sz w:val="14"/>
                <w:szCs w:val="14"/>
                <w:lang w:val="fr-FR"/>
              </w:rPr>
              <w:br/>
            </w:r>
            <w:r w:rsidRPr="00C86538">
              <w:rPr>
                <w:b/>
                <w:bCs/>
                <w:i/>
                <w:iCs/>
                <w:sz w:val="14"/>
                <w:szCs w:val="14"/>
                <w:lang w:val="fr-FR"/>
              </w:rPr>
              <w:t xml:space="preserve">toutes les catégories </w:t>
            </w:r>
            <w:r w:rsidR="00C86538">
              <w:rPr>
                <w:b/>
                <w:bCs/>
                <w:i/>
                <w:iCs/>
                <w:sz w:val="14"/>
                <w:szCs w:val="14"/>
                <w:lang w:val="fr-FR"/>
              </w:rPr>
              <w:br/>
            </w:r>
            <w:r w:rsidRPr="00C86538">
              <w:rPr>
                <w:b/>
                <w:bCs/>
                <w:i/>
                <w:iCs/>
                <w:sz w:val="14"/>
                <w:szCs w:val="14"/>
                <w:lang w:val="fr-FR"/>
              </w:rPr>
              <w:t xml:space="preserve">de projecteurs </w:t>
            </w:r>
            <w:r w:rsidR="00C86538">
              <w:rPr>
                <w:b/>
                <w:bCs/>
                <w:i/>
                <w:iCs/>
                <w:sz w:val="14"/>
                <w:szCs w:val="14"/>
                <w:lang w:val="fr-FR"/>
              </w:rPr>
              <w:br/>
            </w:r>
            <w:r w:rsidRPr="00C86538">
              <w:rPr>
                <w:b/>
                <w:bCs/>
                <w:i/>
                <w:iCs/>
                <w:sz w:val="14"/>
                <w:szCs w:val="14"/>
                <w:lang w:val="fr-FR"/>
              </w:rPr>
              <w:t>et de systèmes AFS</w:t>
            </w:r>
          </w:p>
        </w:tc>
      </w:tr>
      <w:tr w:rsidR="00E86730" w:rsidRPr="00E86730" w:rsidTr="00431C30">
        <w:tc>
          <w:tcPr>
            <w:tcW w:w="1565" w:type="dxa"/>
            <w:tcBorders>
              <w:top w:val="single" w:sz="4" w:space="0" w:color="auto"/>
              <w:left w:val="single" w:sz="4" w:space="0" w:color="auto"/>
              <w:bottom w:val="single" w:sz="4" w:space="0" w:color="auto"/>
              <w:right w:val="single" w:sz="4" w:space="0" w:color="auto"/>
            </w:tcBorders>
            <w:hideMark/>
          </w:tcPr>
          <w:p w:rsidR="00E86730" w:rsidRPr="00C86538" w:rsidRDefault="00E86730" w:rsidP="006A2A1F">
            <w:pPr>
              <w:spacing w:before="60" w:after="60"/>
              <w:ind w:left="57" w:right="57"/>
              <w:rPr>
                <w:sz w:val="18"/>
                <w:szCs w:val="18"/>
                <w:lang w:val="fr-CH"/>
              </w:rPr>
            </w:pPr>
            <w:r w:rsidRPr="00E86730">
              <w:rPr>
                <w:sz w:val="18"/>
                <w:szCs w:val="18"/>
                <w:lang w:val="fr-FR"/>
              </w:rPr>
              <w:t>verticalement</w:t>
            </w:r>
          </w:p>
        </w:tc>
        <w:tc>
          <w:tcPr>
            <w:tcW w:w="1559" w:type="dxa"/>
            <w:tcBorders>
              <w:top w:val="single" w:sz="4" w:space="0" w:color="auto"/>
              <w:left w:val="single" w:sz="4" w:space="0" w:color="auto"/>
              <w:bottom w:val="single" w:sz="4" w:space="0" w:color="auto"/>
              <w:right w:val="single" w:sz="4" w:space="0" w:color="auto"/>
            </w:tcBorders>
            <w:hideMark/>
          </w:tcPr>
          <w:p w:rsidR="00E86730" w:rsidRPr="00E86730" w:rsidRDefault="00E86730" w:rsidP="00292870">
            <w:pPr>
              <w:spacing w:before="60" w:after="60"/>
              <w:ind w:left="57" w:right="57"/>
              <w:rPr>
                <w:sz w:val="18"/>
                <w:szCs w:val="18"/>
                <w:lang w:val="fr-CH"/>
              </w:rPr>
            </w:pPr>
            <w:r w:rsidRPr="00E86730">
              <w:rPr>
                <w:sz w:val="18"/>
                <w:szCs w:val="18"/>
                <w:lang w:val="fr-FR"/>
              </w:rPr>
              <w:t>pas plus de 0,2° vers le haut ou vers le bas</w:t>
            </w:r>
          </w:p>
        </w:tc>
        <w:tc>
          <w:tcPr>
            <w:tcW w:w="1559" w:type="dxa"/>
            <w:tcBorders>
              <w:top w:val="single" w:sz="4" w:space="0" w:color="auto"/>
              <w:left w:val="single" w:sz="4" w:space="0" w:color="auto"/>
              <w:bottom w:val="single" w:sz="4" w:space="0" w:color="auto"/>
              <w:right w:val="single" w:sz="4" w:space="0" w:color="auto"/>
            </w:tcBorders>
            <w:hideMark/>
          </w:tcPr>
          <w:p w:rsidR="00E86730" w:rsidRPr="00C86538" w:rsidRDefault="00E86730" w:rsidP="006A2A1F">
            <w:pPr>
              <w:spacing w:before="60" w:after="60"/>
              <w:ind w:left="57" w:right="57"/>
              <w:rPr>
                <w:sz w:val="18"/>
                <w:szCs w:val="18"/>
                <w:lang w:val="fr-CH"/>
              </w:rPr>
            </w:pPr>
            <w:r w:rsidRPr="00E86730">
              <w:rPr>
                <w:sz w:val="18"/>
                <w:szCs w:val="18"/>
                <w:lang w:val="fr-FR"/>
              </w:rPr>
              <w:t>-</w:t>
            </w:r>
          </w:p>
        </w:tc>
        <w:tc>
          <w:tcPr>
            <w:tcW w:w="1731" w:type="dxa"/>
            <w:tcBorders>
              <w:top w:val="single" w:sz="4" w:space="0" w:color="auto"/>
              <w:left w:val="single" w:sz="4" w:space="0" w:color="auto"/>
              <w:bottom w:val="single" w:sz="4" w:space="0" w:color="auto"/>
              <w:right w:val="single" w:sz="4" w:space="0" w:color="auto"/>
            </w:tcBorders>
            <w:hideMark/>
          </w:tcPr>
          <w:p w:rsidR="00E86730" w:rsidRPr="00E86730" w:rsidRDefault="00E86730" w:rsidP="00292870">
            <w:pPr>
              <w:spacing w:before="60" w:after="60"/>
              <w:ind w:left="57" w:right="57"/>
              <w:rPr>
                <w:sz w:val="18"/>
                <w:szCs w:val="18"/>
                <w:lang w:val="fr-CH"/>
              </w:rPr>
            </w:pPr>
            <w:r w:rsidRPr="00E86730">
              <w:rPr>
                <w:sz w:val="18"/>
                <w:szCs w:val="18"/>
                <w:lang w:val="fr-FR"/>
              </w:rPr>
              <w:t>pas plus de 0,2° vers le haut ou vers le bas</w:t>
            </w:r>
          </w:p>
        </w:tc>
        <w:tc>
          <w:tcPr>
            <w:tcW w:w="1617" w:type="dxa"/>
            <w:tcBorders>
              <w:top w:val="single" w:sz="4" w:space="0" w:color="auto"/>
              <w:left w:val="single" w:sz="4" w:space="0" w:color="auto"/>
              <w:bottom w:val="single" w:sz="4" w:space="0" w:color="auto"/>
              <w:right w:val="single" w:sz="4" w:space="0" w:color="auto"/>
            </w:tcBorders>
            <w:hideMark/>
          </w:tcPr>
          <w:p w:rsidR="00E86730" w:rsidRPr="00E86730" w:rsidRDefault="00E86730" w:rsidP="00292870">
            <w:pPr>
              <w:spacing w:before="60" w:after="60"/>
              <w:ind w:left="57" w:right="57"/>
              <w:rPr>
                <w:sz w:val="18"/>
                <w:szCs w:val="18"/>
                <w:lang w:val="fr-CH"/>
              </w:rPr>
            </w:pPr>
            <w:r w:rsidRPr="00E86730">
              <w:rPr>
                <w:sz w:val="18"/>
                <w:szCs w:val="18"/>
                <w:lang w:val="fr-FR"/>
              </w:rPr>
              <w:t xml:space="preserve">pas plus de 0,2° </w:t>
            </w:r>
            <w:r w:rsidR="0087079E">
              <w:rPr>
                <w:sz w:val="18"/>
                <w:szCs w:val="18"/>
                <w:lang w:val="fr-FR"/>
              </w:rPr>
              <w:br/>
            </w:r>
            <w:r w:rsidRPr="00E86730">
              <w:rPr>
                <w:sz w:val="18"/>
                <w:szCs w:val="18"/>
                <w:lang w:val="fr-FR"/>
              </w:rPr>
              <w:t>vers le haut ou vers le bas</w:t>
            </w:r>
          </w:p>
        </w:tc>
        <w:tc>
          <w:tcPr>
            <w:tcW w:w="1606" w:type="dxa"/>
            <w:tcBorders>
              <w:top w:val="single" w:sz="4" w:space="0" w:color="auto"/>
              <w:left w:val="single" w:sz="4" w:space="0" w:color="auto"/>
              <w:bottom w:val="single" w:sz="4" w:space="0" w:color="auto"/>
              <w:right w:val="single" w:sz="4" w:space="0" w:color="auto"/>
            </w:tcBorders>
            <w:hideMark/>
          </w:tcPr>
          <w:p w:rsidR="00E86730" w:rsidRPr="00E86730" w:rsidRDefault="00E86730" w:rsidP="00292870">
            <w:pPr>
              <w:spacing w:before="60" w:after="60"/>
              <w:ind w:left="57" w:right="57"/>
              <w:rPr>
                <w:sz w:val="18"/>
                <w:szCs w:val="18"/>
                <w:lang w:val="fr-CH"/>
              </w:rPr>
            </w:pPr>
            <w:r w:rsidRPr="00E86730">
              <w:rPr>
                <w:sz w:val="18"/>
                <w:szCs w:val="18"/>
                <w:lang w:val="fr-FR"/>
              </w:rPr>
              <w:t xml:space="preserve">pas plus de 0,2° vers le haut </w:t>
            </w:r>
            <w:r w:rsidR="00CC0258">
              <w:rPr>
                <w:sz w:val="18"/>
                <w:szCs w:val="18"/>
                <w:lang w:val="fr-FR"/>
              </w:rPr>
              <w:br/>
            </w:r>
            <w:r w:rsidRPr="00E86730">
              <w:rPr>
                <w:sz w:val="18"/>
                <w:szCs w:val="18"/>
                <w:lang w:val="fr-FR"/>
              </w:rPr>
              <w:t>ou vers le bas</w:t>
            </w:r>
          </w:p>
        </w:tc>
      </w:tr>
      <w:tr w:rsidR="00E86730" w:rsidRPr="00E86730" w:rsidTr="00431C30">
        <w:tc>
          <w:tcPr>
            <w:tcW w:w="1565" w:type="dxa"/>
            <w:tcBorders>
              <w:top w:val="single" w:sz="4" w:space="0" w:color="auto"/>
              <w:left w:val="single" w:sz="4" w:space="0" w:color="auto"/>
              <w:bottom w:val="single" w:sz="4" w:space="0" w:color="auto"/>
              <w:right w:val="single" w:sz="4" w:space="0" w:color="auto"/>
            </w:tcBorders>
            <w:hideMark/>
          </w:tcPr>
          <w:p w:rsidR="00E86730" w:rsidRPr="00E86730" w:rsidRDefault="00E86730" w:rsidP="006A2A1F">
            <w:pPr>
              <w:spacing w:before="60" w:after="60"/>
              <w:ind w:left="57" w:right="57"/>
              <w:rPr>
                <w:sz w:val="18"/>
                <w:szCs w:val="18"/>
              </w:rPr>
            </w:pPr>
            <w:r w:rsidRPr="00E86730">
              <w:rPr>
                <w:sz w:val="18"/>
                <w:szCs w:val="18"/>
                <w:lang w:val="fr-FR"/>
              </w:rPr>
              <w:t>horizontalement</w:t>
            </w:r>
          </w:p>
        </w:tc>
        <w:tc>
          <w:tcPr>
            <w:tcW w:w="1559" w:type="dxa"/>
            <w:tcBorders>
              <w:top w:val="single" w:sz="4" w:space="0" w:color="auto"/>
              <w:left w:val="single" w:sz="4" w:space="0" w:color="auto"/>
              <w:bottom w:val="single" w:sz="4" w:space="0" w:color="auto"/>
              <w:right w:val="single" w:sz="4" w:space="0" w:color="auto"/>
            </w:tcBorders>
            <w:hideMark/>
          </w:tcPr>
          <w:p w:rsidR="00E86730" w:rsidRPr="0087079E" w:rsidRDefault="00E86730" w:rsidP="0087079E">
            <w:pPr>
              <w:spacing w:before="60" w:after="60"/>
              <w:ind w:left="57" w:right="57"/>
              <w:rPr>
                <w:sz w:val="18"/>
                <w:szCs w:val="18"/>
                <w:lang w:val="fr-CH"/>
              </w:rPr>
            </w:pPr>
            <w:r w:rsidRPr="00E86730">
              <w:rPr>
                <w:sz w:val="18"/>
                <w:szCs w:val="18"/>
                <w:lang w:val="fr-FR"/>
              </w:rPr>
              <w:t xml:space="preserve">pas plus de 0,5° vers la gauche </w:t>
            </w:r>
            <w:r w:rsidR="0087079E">
              <w:rPr>
                <w:sz w:val="18"/>
                <w:szCs w:val="18"/>
                <w:lang w:val="fr-FR"/>
              </w:rPr>
              <w:br/>
            </w:r>
            <w:r w:rsidRPr="00E86730">
              <w:rPr>
                <w:sz w:val="18"/>
                <w:szCs w:val="18"/>
                <w:lang w:val="fr-FR"/>
              </w:rPr>
              <w:t>ou</w:t>
            </w:r>
            <w:r w:rsidR="0087079E">
              <w:rPr>
                <w:sz w:val="18"/>
                <w:szCs w:val="18"/>
                <w:lang w:val="fr-FR"/>
              </w:rPr>
              <w:t xml:space="preserve"> </w:t>
            </w:r>
            <w:r w:rsidRPr="00E86730">
              <w:rPr>
                <w:sz w:val="18"/>
                <w:szCs w:val="18"/>
                <w:lang w:val="fr-FR"/>
              </w:rPr>
              <w:t>vers la droite</w:t>
            </w:r>
          </w:p>
        </w:tc>
        <w:tc>
          <w:tcPr>
            <w:tcW w:w="1559" w:type="dxa"/>
            <w:tcBorders>
              <w:top w:val="single" w:sz="4" w:space="0" w:color="auto"/>
              <w:left w:val="single" w:sz="4" w:space="0" w:color="auto"/>
              <w:bottom w:val="single" w:sz="4" w:space="0" w:color="auto"/>
              <w:right w:val="single" w:sz="4" w:space="0" w:color="auto"/>
            </w:tcBorders>
            <w:hideMark/>
          </w:tcPr>
          <w:p w:rsidR="00E86730" w:rsidRPr="00292870" w:rsidRDefault="00E86730" w:rsidP="00292870">
            <w:pPr>
              <w:spacing w:before="60" w:after="60"/>
              <w:ind w:left="57" w:right="57"/>
              <w:rPr>
                <w:sz w:val="18"/>
                <w:szCs w:val="18"/>
                <w:lang w:val="fr-CH"/>
              </w:rPr>
            </w:pPr>
            <w:r w:rsidRPr="00E86730">
              <w:rPr>
                <w:sz w:val="18"/>
                <w:szCs w:val="18"/>
                <w:lang w:val="fr-FR"/>
              </w:rPr>
              <w:t xml:space="preserve">pas plus de 1,0° vers la gauche </w:t>
            </w:r>
            <w:r w:rsidR="0087079E">
              <w:rPr>
                <w:sz w:val="18"/>
                <w:szCs w:val="18"/>
                <w:lang w:val="fr-FR"/>
              </w:rPr>
              <w:br/>
            </w:r>
            <w:r w:rsidRPr="00E86730">
              <w:rPr>
                <w:sz w:val="18"/>
                <w:szCs w:val="18"/>
                <w:lang w:val="fr-FR"/>
              </w:rPr>
              <w:t>ou</w:t>
            </w:r>
            <w:r w:rsidR="00292870">
              <w:rPr>
                <w:sz w:val="18"/>
                <w:szCs w:val="18"/>
                <w:lang w:val="fr-FR"/>
              </w:rPr>
              <w:t xml:space="preserve"> </w:t>
            </w:r>
            <w:r w:rsidRPr="00E86730">
              <w:rPr>
                <w:sz w:val="18"/>
                <w:szCs w:val="18"/>
                <w:lang w:val="fr-FR"/>
              </w:rPr>
              <w:t>vers la droite</w:t>
            </w:r>
          </w:p>
        </w:tc>
        <w:tc>
          <w:tcPr>
            <w:tcW w:w="1731" w:type="dxa"/>
            <w:tcBorders>
              <w:top w:val="single" w:sz="4" w:space="0" w:color="auto"/>
              <w:left w:val="single" w:sz="4" w:space="0" w:color="auto"/>
              <w:bottom w:val="single" w:sz="4" w:space="0" w:color="auto"/>
              <w:right w:val="single" w:sz="4" w:space="0" w:color="auto"/>
            </w:tcBorders>
            <w:hideMark/>
          </w:tcPr>
          <w:p w:rsidR="00E86730" w:rsidRPr="00292870" w:rsidRDefault="00E86730" w:rsidP="00292870">
            <w:pPr>
              <w:spacing w:before="60" w:after="60"/>
              <w:ind w:left="57" w:right="57"/>
              <w:rPr>
                <w:sz w:val="18"/>
                <w:szCs w:val="18"/>
                <w:lang w:val="fr-CH"/>
              </w:rPr>
            </w:pPr>
            <w:r w:rsidRPr="00E86730">
              <w:rPr>
                <w:sz w:val="18"/>
                <w:szCs w:val="18"/>
                <w:lang w:val="fr-FR"/>
              </w:rPr>
              <w:t>pas plus de 0,5° vers la gauche ou</w:t>
            </w:r>
            <w:r w:rsidR="00292870">
              <w:rPr>
                <w:sz w:val="18"/>
                <w:szCs w:val="18"/>
                <w:lang w:val="fr-FR"/>
              </w:rPr>
              <w:t xml:space="preserve"> </w:t>
            </w:r>
            <w:r w:rsidRPr="00E86730">
              <w:rPr>
                <w:sz w:val="18"/>
                <w:szCs w:val="18"/>
                <w:lang w:val="fr-FR"/>
              </w:rPr>
              <w:t>vers la droite</w:t>
            </w:r>
          </w:p>
        </w:tc>
        <w:tc>
          <w:tcPr>
            <w:tcW w:w="1617" w:type="dxa"/>
            <w:tcBorders>
              <w:top w:val="single" w:sz="4" w:space="0" w:color="auto"/>
              <w:left w:val="single" w:sz="4" w:space="0" w:color="auto"/>
              <w:bottom w:val="single" w:sz="4" w:space="0" w:color="auto"/>
              <w:right w:val="single" w:sz="4" w:space="0" w:color="auto"/>
            </w:tcBorders>
            <w:hideMark/>
          </w:tcPr>
          <w:p w:rsidR="00E86730" w:rsidRPr="00292870" w:rsidRDefault="00E86730" w:rsidP="00292870">
            <w:pPr>
              <w:spacing w:before="60" w:after="60"/>
              <w:ind w:left="57" w:right="57"/>
              <w:rPr>
                <w:sz w:val="18"/>
                <w:szCs w:val="18"/>
                <w:lang w:val="fr-CH"/>
              </w:rPr>
            </w:pPr>
            <w:r w:rsidRPr="00E86730">
              <w:rPr>
                <w:sz w:val="18"/>
                <w:szCs w:val="18"/>
                <w:lang w:val="fr-FR"/>
              </w:rPr>
              <w:t>pas plus de 0,5° vers la gauche ou</w:t>
            </w:r>
            <w:r w:rsidR="00292870">
              <w:rPr>
                <w:sz w:val="18"/>
                <w:szCs w:val="18"/>
                <w:lang w:val="fr-FR"/>
              </w:rPr>
              <w:t xml:space="preserve"> </w:t>
            </w:r>
            <w:r w:rsidRPr="00E86730">
              <w:rPr>
                <w:sz w:val="18"/>
                <w:szCs w:val="18"/>
                <w:lang w:val="fr-FR"/>
              </w:rPr>
              <w:t>vers la droite</w:t>
            </w:r>
          </w:p>
        </w:tc>
        <w:tc>
          <w:tcPr>
            <w:tcW w:w="1606" w:type="dxa"/>
            <w:tcBorders>
              <w:top w:val="single" w:sz="4" w:space="0" w:color="auto"/>
              <w:left w:val="single" w:sz="4" w:space="0" w:color="auto"/>
              <w:bottom w:val="single" w:sz="4" w:space="0" w:color="auto"/>
              <w:right w:val="single" w:sz="4" w:space="0" w:color="auto"/>
            </w:tcBorders>
            <w:hideMark/>
          </w:tcPr>
          <w:p w:rsidR="00E86730" w:rsidRPr="00292870" w:rsidRDefault="00E86730" w:rsidP="00292870">
            <w:pPr>
              <w:spacing w:before="60" w:after="60"/>
              <w:ind w:left="57" w:right="57"/>
              <w:rPr>
                <w:sz w:val="18"/>
                <w:szCs w:val="18"/>
                <w:lang w:val="fr-CH"/>
              </w:rPr>
            </w:pPr>
            <w:r w:rsidRPr="00E86730">
              <w:rPr>
                <w:sz w:val="18"/>
                <w:szCs w:val="18"/>
                <w:lang w:val="fr-FR"/>
              </w:rPr>
              <w:t xml:space="preserve">pas plus de 0,5° vers la gauche </w:t>
            </w:r>
            <w:r w:rsidR="00292870">
              <w:rPr>
                <w:sz w:val="18"/>
                <w:szCs w:val="18"/>
                <w:lang w:val="fr-FR"/>
              </w:rPr>
              <w:br/>
            </w:r>
            <w:r w:rsidRPr="00E86730">
              <w:rPr>
                <w:sz w:val="18"/>
                <w:szCs w:val="18"/>
                <w:lang w:val="fr-FR"/>
              </w:rPr>
              <w:t>ou</w:t>
            </w:r>
            <w:r w:rsidR="00292870">
              <w:rPr>
                <w:sz w:val="18"/>
                <w:szCs w:val="18"/>
                <w:lang w:val="fr-FR"/>
              </w:rPr>
              <w:t xml:space="preserve"> </w:t>
            </w:r>
            <w:r w:rsidRPr="00E86730">
              <w:rPr>
                <w:sz w:val="18"/>
                <w:szCs w:val="18"/>
                <w:lang w:val="fr-FR"/>
              </w:rPr>
              <w:t>vers la droite</w:t>
            </w:r>
          </w:p>
        </w:tc>
      </w:tr>
      <w:tr w:rsidR="00E86730" w:rsidRPr="00E86730" w:rsidTr="00431C30">
        <w:tc>
          <w:tcPr>
            <w:tcW w:w="1565" w:type="dxa"/>
            <w:tcBorders>
              <w:top w:val="single" w:sz="4" w:space="0" w:color="auto"/>
              <w:left w:val="single" w:sz="4" w:space="0" w:color="auto"/>
              <w:bottom w:val="single" w:sz="4" w:space="0" w:color="auto"/>
              <w:right w:val="single" w:sz="4" w:space="0" w:color="auto"/>
            </w:tcBorders>
            <w:hideMark/>
          </w:tcPr>
          <w:p w:rsidR="00E86730" w:rsidRPr="00E86730" w:rsidRDefault="00E86730" w:rsidP="006A2A1F">
            <w:pPr>
              <w:spacing w:before="60" w:after="60"/>
              <w:ind w:left="57" w:right="57"/>
              <w:rPr>
                <w:sz w:val="18"/>
                <w:szCs w:val="18"/>
              </w:rPr>
            </w:pPr>
            <w:r w:rsidRPr="00E86730">
              <w:rPr>
                <w:sz w:val="18"/>
                <w:szCs w:val="18"/>
                <w:lang w:val="fr-FR"/>
              </w:rPr>
              <w:t>voir paragraphe</w:t>
            </w:r>
          </w:p>
        </w:tc>
        <w:tc>
          <w:tcPr>
            <w:tcW w:w="1559" w:type="dxa"/>
            <w:tcBorders>
              <w:top w:val="single" w:sz="4" w:space="0" w:color="auto"/>
              <w:left w:val="single" w:sz="4" w:space="0" w:color="auto"/>
              <w:bottom w:val="single" w:sz="4" w:space="0" w:color="auto"/>
              <w:right w:val="single" w:sz="4" w:space="0" w:color="auto"/>
            </w:tcBorders>
            <w:hideMark/>
          </w:tcPr>
          <w:p w:rsidR="00E86730" w:rsidRPr="00E86730" w:rsidRDefault="00E86730" w:rsidP="006A2A1F">
            <w:pPr>
              <w:spacing w:before="60" w:after="60"/>
              <w:ind w:left="57" w:right="57"/>
              <w:rPr>
                <w:sz w:val="18"/>
                <w:szCs w:val="18"/>
              </w:rPr>
            </w:pPr>
            <w:r w:rsidRPr="00E86730">
              <w:rPr>
                <w:sz w:val="18"/>
                <w:szCs w:val="18"/>
                <w:lang w:val="fr-FR"/>
              </w:rPr>
              <w:t>Annexe 8, 1.2.3</w:t>
            </w:r>
          </w:p>
        </w:tc>
        <w:tc>
          <w:tcPr>
            <w:tcW w:w="1559" w:type="dxa"/>
            <w:tcBorders>
              <w:top w:val="single" w:sz="4" w:space="0" w:color="auto"/>
              <w:left w:val="single" w:sz="4" w:space="0" w:color="auto"/>
              <w:bottom w:val="single" w:sz="4" w:space="0" w:color="auto"/>
              <w:right w:val="single" w:sz="4" w:space="0" w:color="auto"/>
            </w:tcBorders>
            <w:hideMark/>
          </w:tcPr>
          <w:p w:rsidR="00E86730" w:rsidRPr="00E86730" w:rsidRDefault="00E86730" w:rsidP="00725E9B">
            <w:pPr>
              <w:spacing w:before="60" w:after="60"/>
              <w:ind w:left="57" w:right="57"/>
              <w:rPr>
                <w:sz w:val="18"/>
                <w:szCs w:val="18"/>
              </w:rPr>
            </w:pPr>
            <w:r w:rsidRPr="00E86730">
              <w:rPr>
                <w:sz w:val="18"/>
                <w:szCs w:val="18"/>
                <w:lang w:val="fr-FR"/>
              </w:rPr>
              <w:t>Annexe 5,</w:t>
            </w:r>
            <w:r w:rsidR="00725E9B">
              <w:rPr>
                <w:sz w:val="18"/>
                <w:szCs w:val="18"/>
                <w:lang w:val="fr-FR"/>
              </w:rPr>
              <w:t xml:space="preserve"> </w:t>
            </w:r>
            <w:r w:rsidRPr="00E86730">
              <w:rPr>
                <w:sz w:val="18"/>
                <w:szCs w:val="18"/>
                <w:lang w:val="fr-FR"/>
              </w:rPr>
              <w:t>1.2.3</w:t>
            </w:r>
          </w:p>
        </w:tc>
        <w:tc>
          <w:tcPr>
            <w:tcW w:w="1731" w:type="dxa"/>
            <w:tcBorders>
              <w:top w:val="single" w:sz="4" w:space="0" w:color="auto"/>
              <w:left w:val="single" w:sz="4" w:space="0" w:color="auto"/>
              <w:bottom w:val="single" w:sz="4" w:space="0" w:color="auto"/>
              <w:right w:val="single" w:sz="4" w:space="0" w:color="auto"/>
            </w:tcBorders>
            <w:hideMark/>
          </w:tcPr>
          <w:p w:rsidR="00E86730" w:rsidRPr="00E86730" w:rsidRDefault="00E86730" w:rsidP="00725E9B">
            <w:pPr>
              <w:spacing w:before="60" w:after="60"/>
              <w:ind w:left="57" w:right="57"/>
              <w:rPr>
                <w:sz w:val="18"/>
                <w:szCs w:val="18"/>
              </w:rPr>
            </w:pPr>
            <w:r w:rsidRPr="00E86730">
              <w:rPr>
                <w:sz w:val="18"/>
                <w:szCs w:val="18"/>
                <w:lang w:val="fr-FR"/>
              </w:rPr>
              <w:t>Annexe 5,</w:t>
            </w:r>
            <w:r w:rsidR="00725E9B">
              <w:rPr>
                <w:sz w:val="18"/>
                <w:szCs w:val="18"/>
                <w:lang w:val="fr-FR"/>
              </w:rPr>
              <w:t xml:space="preserve"> </w:t>
            </w:r>
            <w:r w:rsidRPr="00E86730">
              <w:rPr>
                <w:sz w:val="18"/>
                <w:szCs w:val="18"/>
                <w:lang w:val="fr-FR"/>
              </w:rPr>
              <w:t>1.2.5</w:t>
            </w:r>
          </w:p>
        </w:tc>
        <w:tc>
          <w:tcPr>
            <w:tcW w:w="1617" w:type="dxa"/>
            <w:tcBorders>
              <w:top w:val="single" w:sz="4" w:space="0" w:color="auto"/>
              <w:left w:val="single" w:sz="4" w:space="0" w:color="auto"/>
              <w:bottom w:val="single" w:sz="4" w:space="0" w:color="auto"/>
              <w:right w:val="single" w:sz="4" w:space="0" w:color="auto"/>
            </w:tcBorders>
            <w:hideMark/>
          </w:tcPr>
          <w:p w:rsidR="00E86730" w:rsidRPr="00E86730" w:rsidRDefault="00E86730" w:rsidP="00725E9B">
            <w:pPr>
              <w:spacing w:before="60" w:after="60"/>
              <w:ind w:left="57" w:right="57"/>
              <w:rPr>
                <w:sz w:val="18"/>
                <w:szCs w:val="18"/>
              </w:rPr>
            </w:pPr>
            <w:r w:rsidRPr="00E86730">
              <w:rPr>
                <w:sz w:val="18"/>
                <w:szCs w:val="18"/>
                <w:lang w:val="fr-FR"/>
              </w:rPr>
              <w:t>Annexe 5,</w:t>
            </w:r>
            <w:r w:rsidR="00725E9B">
              <w:rPr>
                <w:sz w:val="18"/>
                <w:szCs w:val="18"/>
                <w:lang w:val="fr-FR"/>
              </w:rPr>
              <w:t xml:space="preserve"> </w:t>
            </w:r>
            <w:r w:rsidRPr="00E86730">
              <w:rPr>
                <w:sz w:val="18"/>
                <w:szCs w:val="18"/>
                <w:lang w:val="fr-FR"/>
              </w:rPr>
              <w:t>1.2.2</w:t>
            </w:r>
          </w:p>
        </w:tc>
        <w:tc>
          <w:tcPr>
            <w:tcW w:w="1606" w:type="dxa"/>
            <w:tcBorders>
              <w:top w:val="single" w:sz="4" w:space="0" w:color="auto"/>
              <w:left w:val="single" w:sz="4" w:space="0" w:color="auto"/>
              <w:bottom w:val="single" w:sz="4" w:space="0" w:color="auto"/>
              <w:right w:val="single" w:sz="4" w:space="0" w:color="auto"/>
            </w:tcBorders>
            <w:hideMark/>
          </w:tcPr>
          <w:p w:rsidR="00E86730" w:rsidRPr="00292870" w:rsidRDefault="00E86730" w:rsidP="006A2A1F">
            <w:pPr>
              <w:spacing w:before="60" w:after="60"/>
              <w:ind w:left="57" w:right="57"/>
              <w:rPr>
                <w:sz w:val="18"/>
                <w:szCs w:val="18"/>
                <w:lang w:val="fr-CH"/>
              </w:rPr>
            </w:pPr>
            <w:r w:rsidRPr="00E86730">
              <w:rPr>
                <w:sz w:val="18"/>
                <w:szCs w:val="18"/>
                <w:lang w:val="fr-FR"/>
              </w:rPr>
              <w:t xml:space="preserve">Annexe 2, 1.2.3 </w:t>
            </w:r>
            <w:r w:rsidR="00292870">
              <w:rPr>
                <w:sz w:val="18"/>
                <w:szCs w:val="18"/>
                <w:lang w:val="fr-FR"/>
              </w:rPr>
              <w:br/>
            </w:r>
            <w:r w:rsidRPr="00E86730">
              <w:rPr>
                <w:sz w:val="18"/>
                <w:szCs w:val="18"/>
                <w:lang w:val="fr-FR"/>
              </w:rPr>
              <w:t>et 1.2.4</w:t>
            </w:r>
          </w:p>
        </w:tc>
      </w:tr>
    </w:tbl>
    <w:p w:rsidR="00E86730" w:rsidRPr="00B53905" w:rsidRDefault="00E86730" w:rsidP="00E75573">
      <w:pPr>
        <w:pStyle w:val="SingleTxtG"/>
        <w:spacing w:before="240" w:line="220" w:lineRule="atLeast"/>
        <w:rPr>
          <w:bCs/>
          <w:i/>
        </w:rPr>
      </w:pPr>
      <w:r w:rsidRPr="00B53905">
        <w:rPr>
          <w:i/>
          <w:lang w:val="fr-FR"/>
        </w:rPr>
        <w:t>Tableau 9</w:t>
      </w:r>
    </w:p>
    <w:p w:rsidR="00E86730" w:rsidRPr="00457CB2" w:rsidRDefault="00E86730" w:rsidP="00E75573">
      <w:pPr>
        <w:pStyle w:val="SingleTxtG"/>
        <w:spacing w:line="220" w:lineRule="atLeast"/>
        <w:rPr>
          <w:bCs/>
        </w:rPr>
      </w:pPr>
      <w:r w:rsidRPr="00457CB2">
        <w:rPr>
          <w:lang w:val="fr-FR"/>
        </w:rPr>
        <w:t>3.</w:t>
      </w:r>
      <w:r w:rsidRPr="00457CB2">
        <w:rPr>
          <w:lang w:val="fr-FR"/>
        </w:rPr>
        <w:tab/>
        <w:t>Les valeurs indiquées dans la colonne du faisceau de croisement de classe C ont été prises dans le Règlement ONU n</w:t>
      </w:r>
      <w:r w:rsidRPr="00457CB2">
        <w:rPr>
          <w:vertAlign w:val="superscript"/>
          <w:lang w:val="fr-FR"/>
        </w:rPr>
        <w:t>o</w:t>
      </w:r>
      <w:r w:rsidRPr="00457CB2">
        <w:rPr>
          <w:lang w:val="fr-FR"/>
        </w:rPr>
        <w:t xml:space="preserve"> 123. Au cours de l’examen du tableau, le groupe de travail informel a également vérifié toutes les notes de bas de page.</w:t>
      </w:r>
    </w:p>
    <w:p w:rsidR="00E86730" w:rsidRPr="00B53905" w:rsidRDefault="00E86730" w:rsidP="00E75573">
      <w:pPr>
        <w:pStyle w:val="SingleTxtG"/>
        <w:keepNext/>
        <w:spacing w:line="220" w:lineRule="atLeast"/>
        <w:rPr>
          <w:bCs/>
          <w:i/>
        </w:rPr>
      </w:pPr>
      <w:r w:rsidRPr="00B53905">
        <w:rPr>
          <w:i/>
          <w:lang w:val="fr-FR"/>
        </w:rPr>
        <w:t>Généralités</w:t>
      </w:r>
    </w:p>
    <w:p w:rsidR="00F9573C" w:rsidRPr="00E75573" w:rsidRDefault="00E86730" w:rsidP="00E75573">
      <w:pPr>
        <w:pStyle w:val="SingleTxtG"/>
        <w:spacing w:line="220" w:lineRule="atLeast"/>
        <w:rPr>
          <w:spacing w:val="-4"/>
          <w:lang w:val="fr-FR"/>
        </w:rPr>
      </w:pPr>
      <w:r w:rsidRPr="00E75573">
        <w:rPr>
          <w:spacing w:val="-4"/>
          <w:lang w:val="fr-FR"/>
        </w:rPr>
        <w:t>4.</w:t>
      </w:r>
      <w:r w:rsidRPr="00E75573">
        <w:rPr>
          <w:spacing w:val="-4"/>
          <w:lang w:val="fr-FR"/>
        </w:rPr>
        <w:tab/>
        <w:t>Si elle est adoptée par le Groupe de travail de l’éclairage et de la signalisation lumineuse (GRE) à sa quatre-vingtième session, en octobre 2018, cette proposition pourrait être transmise, sous la forme d’un document informel, à la session de novembre 2018 du Forum mondial de l’harmonisation des Règlements concernant les véhicules (WP.29) pour qu’il l’examine en même temps que la proposition officielle concernant le Règlement RID. De cette manière, en novembre 2018, le WP.29 aura la possibilité d’adopter un meilleur texte dès le début.</w:t>
      </w:r>
    </w:p>
    <w:p w:rsidR="00E86730" w:rsidRPr="00E86730" w:rsidRDefault="00E86730" w:rsidP="00E86730">
      <w:pPr>
        <w:pStyle w:val="SingleTxtG"/>
        <w:spacing w:before="240" w:after="0"/>
        <w:jc w:val="center"/>
        <w:rPr>
          <w:u w:val="single"/>
        </w:rPr>
      </w:pPr>
      <w:r>
        <w:rPr>
          <w:u w:val="single"/>
        </w:rPr>
        <w:tab/>
      </w:r>
      <w:r>
        <w:rPr>
          <w:u w:val="single"/>
        </w:rPr>
        <w:tab/>
      </w:r>
      <w:r>
        <w:rPr>
          <w:u w:val="single"/>
        </w:rPr>
        <w:tab/>
      </w:r>
    </w:p>
    <w:sectPr w:rsidR="00E86730" w:rsidRPr="00E86730" w:rsidSect="00BF17E5">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9E6" w:rsidRDefault="001D39E6" w:rsidP="00F95C08">
      <w:pPr>
        <w:spacing w:line="240" w:lineRule="auto"/>
      </w:pPr>
    </w:p>
  </w:endnote>
  <w:endnote w:type="continuationSeparator" w:id="0">
    <w:p w:rsidR="001D39E6" w:rsidRPr="00AC3823" w:rsidRDefault="001D39E6" w:rsidP="00AC3823">
      <w:pPr>
        <w:pStyle w:val="Footer"/>
      </w:pPr>
    </w:p>
  </w:endnote>
  <w:endnote w:type="continuationNotice" w:id="1">
    <w:p w:rsidR="001D39E6" w:rsidRDefault="001D39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Gras">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7E5" w:rsidRPr="00BF17E5" w:rsidRDefault="00BF17E5" w:rsidP="00BF17E5">
    <w:pPr>
      <w:pStyle w:val="Footer"/>
      <w:tabs>
        <w:tab w:val="right" w:pos="9638"/>
      </w:tabs>
    </w:pPr>
    <w:r w:rsidRPr="00BF17E5">
      <w:rPr>
        <w:b/>
        <w:sz w:val="18"/>
      </w:rPr>
      <w:fldChar w:fldCharType="begin"/>
    </w:r>
    <w:r w:rsidRPr="00BF17E5">
      <w:rPr>
        <w:b/>
        <w:sz w:val="18"/>
      </w:rPr>
      <w:instrText xml:space="preserve"> PAGE  \* MERGEFORMAT </w:instrText>
    </w:r>
    <w:r w:rsidRPr="00BF17E5">
      <w:rPr>
        <w:b/>
        <w:sz w:val="18"/>
      </w:rPr>
      <w:fldChar w:fldCharType="separate"/>
    </w:r>
    <w:r w:rsidRPr="00BF17E5">
      <w:rPr>
        <w:b/>
        <w:noProof/>
        <w:sz w:val="18"/>
      </w:rPr>
      <w:t>2</w:t>
    </w:r>
    <w:r w:rsidRPr="00BF17E5">
      <w:rPr>
        <w:b/>
        <w:sz w:val="18"/>
      </w:rPr>
      <w:fldChar w:fldCharType="end"/>
    </w:r>
    <w:r>
      <w:rPr>
        <w:b/>
        <w:sz w:val="18"/>
      </w:rPr>
      <w:tab/>
    </w:r>
    <w:r>
      <w:t>GE.18-13207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7E5" w:rsidRPr="00BF17E5" w:rsidRDefault="00BF17E5" w:rsidP="00BF17E5">
    <w:pPr>
      <w:pStyle w:val="Footer"/>
      <w:tabs>
        <w:tab w:val="right" w:pos="9638"/>
      </w:tabs>
      <w:rPr>
        <w:b/>
        <w:sz w:val="18"/>
      </w:rPr>
    </w:pPr>
    <w:r>
      <w:t>GE.18-13207</w:t>
    </w:r>
    <w:r>
      <w:tab/>
    </w:r>
    <w:r w:rsidRPr="00BF17E5">
      <w:rPr>
        <w:b/>
        <w:sz w:val="18"/>
      </w:rPr>
      <w:fldChar w:fldCharType="begin"/>
    </w:r>
    <w:r w:rsidRPr="00BF17E5">
      <w:rPr>
        <w:b/>
        <w:sz w:val="18"/>
      </w:rPr>
      <w:instrText xml:space="preserve"> PAGE  \* MERGEFORMAT </w:instrText>
    </w:r>
    <w:r w:rsidRPr="00BF17E5">
      <w:rPr>
        <w:b/>
        <w:sz w:val="18"/>
      </w:rPr>
      <w:fldChar w:fldCharType="separate"/>
    </w:r>
    <w:r w:rsidRPr="00BF17E5">
      <w:rPr>
        <w:b/>
        <w:noProof/>
        <w:sz w:val="18"/>
      </w:rPr>
      <w:t>3</w:t>
    </w:r>
    <w:r w:rsidRPr="00BF17E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BF17E5" w:rsidRDefault="00BF17E5" w:rsidP="00BF17E5">
    <w:pPr>
      <w:pStyle w:val="Footer"/>
      <w:spacing w:before="120"/>
      <w:rPr>
        <w:sz w:val="20"/>
      </w:rPr>
    </w:pPr>
    <w:r>
      <w:rPr>
        <w:sz w:val="20"/>
      </w:rPr>
      <w:t>GE.</w:t>
    </w:r>
    <w:r w:rsidR="007F20FA">
      <w:rPr>
        <w:noProof/>
        <w:lang w:eastAsia="fr-CH"/>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18-13207  (F)    040918    070918</w:t>
    </w:r>
    <w:r>
      <w:rPr>
        <w:sz w:val="20"/>
      </w:rPr>
      <w:br/>
    </w:r>
    <w:r w:rsidRPr="00BF17E5">
      <w:rPr>
        <w:rFonts w:ascii="C39T30Lfz" w:hAnsi="C39T30Lfz"/>
        <w:sz w:val="56"/>
      </w:rPr>
      <w:t></w:t>
    </w:r>
    <w:r w:rsidRPr="00BF17E5">
      <w:rPr>
        <w:rFonts w:ascii="C39T30Lfz" w:hAnsi="C39T30Lfz"/>
        <w:sz w:val="56"/>
      </w:rPr>
      <w:t></w:t>
    </w:r>
    <w:r w:rsidRPr="00BF17E5">
      <w:rPr>
        <w:rFonts w:ascii="C39T30Lfz" w:hAnsi="C39T30Lfz"/>
        <w:sz w:val="56"/>
      </w:rPr>
      <w:t></w:t>
    </w:r>
    <w:r w:rsidRPr="00BF17E5">
      <w:rPr>
        <w:rFonts w:ascii="C39T30Lfz" w:hAnsi="C39T30Lfz"/>
        <w:sz w:val="56"/>
      </w:rPr>
      <w:t></w:t>
    </w:r>
    <w:r w:rsidRPr="00BF17E5">
      <w:rPr>
        <w:rFonts w:ascii="C39T30Lfz" w:hAnsi="C39T30Lfz"/>
        <w:sz w:val="56"/>
      </w:rPr>
      <w:t></w:t>
    </w:r>
    <w:r w:rsidRPr="00BF17E5">
      <w:rPr>
        <w:rFonts w:ascii="C39T30Lfz" w:hAnsi="C39T30Lfz"/>
        <w:sz w:val="56"/>
      </w:rPr>
      <w:t></w:t>
    </w:r>
    <w:r w:rsidRPr="00BF17E5">
      <w:rPr>
        <w:rFonts w:ascii="C39T30Lfz" w:hAnsi="C39T30Lfz"/>
        <w:sz w:val="56"/>
      </w:rPr>
      <w:t></w:t>
    </w:r>
    <w:r w:rsidRPr="00BF17E5">
      <w:rPr>
        <w:rFonts w:ascii="C39T30Lfz" w:hAnsi="C39T30Lfz"/>
        <w:sz w:val="56"/>
      </w:rPr>
      <w:t></w:t>
    </w:r>
    <w:r w:rsidRPr="00BF17E5">
      <w:rPr>
        <w:rFonts w:ascii="C39T30Lfz" w:hAnsi="C39T30Lfz"/>
        <w:sz w:val="56"/>
      </w:rPr>
      <w:t></w:t>
    </w:r>
    <w:r>
      <w:rPr>
        <w:noProof/>
        <w:sz w:val="20"/>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E/2018/37&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37&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9E6" w:rsidRPr="00AC3823" w:rsidRDefault="001D39E6" w:rsidP="00AC3823">
      <w:pPr>
        <w:pStyle w:val="Footer"/>
        <w:tabs>
          <w:tab w:val="right" w:pos="2155"/>
        </w:tabs>
        <w:spacing w:after="80" w:line="240" w:lineRule="atLeast"/>
        <w:ind w:left="680"/>
        <w:rPr>
          <w:u w:val="single"/>
        </w:rPr>
      </w:pPr>
      <w:r>
        <w:rPr>
          <w:u w:val="single"/>
        </w:rPr>
        <w:tab/>
      </w:r>
    </w:p>
  </w:footnote>
  <w:footnote w:type="continuationSeparator" w:id="0">
    <w:p w:rsidR="001D39E6" w:rsidRPr="00AC3823" w:rsidRDefault="001D39E6" w:rsidP="00AC3823">
      <w:pPr>
        <w:pStyle w:val="Footer"/>
        <w:tabs>
          <w:tab w:val="right" w:pos="2155"/>
        </w:tabs>
        <w:spacing w:after="80" w:line="240" w:lineRule="atLeast"/>
        <w:ind w:left="680"/>
        <w:rPr>
          <w:u w:val="single"/>
        </w:rPr>
      </w:pPr>
      <w:r>
        <w:rPr>
          <w:u w:val="single"/>
        </w:rPr>
        <w:tab/>
      </w:r>
    </w:p>
  </w:footnote>
  <w:footnote w:type="continuationNotice" w:id="1">
    <w:p w:rsidR="001D39E6" w:rsidRPr="00AC3823" w:rsidRDefault="001D39E6">
      <w:pPr>
        <w:spacing w:line="240" w:lineRule="auto"/>
        <w:rPr>
          <w:sz w:val="2"/>
          <w:szCs w:val="2"/>
        </w:rPr>
      </w:pPr>
    </w:p>
  </w:footnote>
  <w:footnote w:id="2">
    <w:p w:rsidR="00712FA2" w:rsidRPr="00712FA2" w:rsidRDefault="00712FA2">
      <w:pPr>
        <w:pStyle w:val="FootnoteText"/>
      </w:pPr>
      <w:r>
        <w:rPr>
          <w:rStyle w:val="FootnoteReference"/>
        </w:rPr>
        <w:tab/>
      </w:r>
      <w:r w:rsidRPr="00712FA2">
        <w:rPr>
          <w:rStyle w:val="FootnoteReference"/>
          <w:sz w:val="20"/>
          <w:vertAlign w:val="baseline"/>
        </w:rPr>
        <w:t>*</w:t>
      </w:r>
      <w:r>
        <w:rPr>
          <w:rStyle w:val="FootnoteReference"/>
          <w:sz w:val="20"/>
          <w:vertAlign w:val="baseline"/>
        </w:rPr>
        <w:tab/>
      </w:r>
      <w:r>
        <w:rPr>
          <w:lang w:val="fr-FR"/>
        </w:rPr>
        <w:t>Conformément au programme de travail du Comité des transports intérieurs pour la période 2018-2019 (ECE/TRANS/274, par. 123, et ECE/TRANS/2018/21/Add.1, module 3.1),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7E5" w:rsidRPr="00BF17E5" w:rsidRDefault="007748DB">
    <w:pPr>
      <w:pStyle w:val="Header"/>
    </w:pPr>
    <w:fldSimple w:instr=" TITLE  \* MERGEFORMAT ">
      <w:r>
        <w:t>ECE/TRANS/WP.29/GRE/2018/37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7E5" w:rsidRPr="00BF17E5" w:rsidRDefault="007748DB" w:rsidP="00BF17E5">
    <w:pPr>
      <w:pStyle w:val="Header"/>
      <w:jc w:val="right"/>
    </w:pPr>
    <w:fldSimple w:instr=" TITLE  \* MERGEFORMAT ">
      <w:r>
        <w:t>ECE/TRANS/WP.29/GRE/2018/37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E6"/>
    <w:rsid w:val="00017F94"/>
    <w:rsid w:val="00023842"/>
    <w:rsid w:val="000334F9"/>
    <w:rsid w:val="00045FEB"/>
    <w:rsid w:val="00070090"/>
    <w:rsid w:val="000734BA"/>
    <w:rsid w:val="00077025"/>
    <w:rsid w:val="0007796D"/>
    <w:rsid w:val="000B7790"/>
    <w:rsid w:val="00100C28"/>
    <w:rsid w:val="00111F2F"/>
    <w:rsid w:val="0014365E"/>
    <w:rsid w:val="00143C66"/>
    <w:rsid w:val="001442CC"/>
    <w:rsid w:val="00176178"/>
    <w:rsid w:val="001A22D4"/>
    <w:rsid w:val="001B4EE5"/>
    <w:rsid w:val="001B5B20"/>
    <w:rsid w:val="001B74D0"/>
    <w:rsid w:val="001D39E6"/>
    <w:rsid w:val="001E4366"/>
    <w:rsid w:val="001F525A"/>
    <w:rsid w:val="00223272"/>
    <w:rsid w:val="002351FB"/>
    <w:rsid w:val="0024779E"/>
    <w:rsid w:val="00257168"/>
    <w:rsid w:val="002744B8"/>
    <w:rsid w:val="002832AC"/>
    <w:rsid w:val="00292870"/>
    <w:rsid w:val="002C523A"/>
    <w:rsid w:val="002D7C93"/>
    <w:rsid w:val="002F13C9"/>
    <w:rsid w:val="002F7CC8"/>
    <w:rsid w:val="00305801"/>
    <w:rsid w:val="00331FDB"/>
    <w:rsid w:val="003419FA"/>
    <w:rsid w:val="003916DE"/>
    <w:rsid w:val="00421996"/>
    <w:rsid w:val="00431C30"/>
    <w:rsid w:val="00441C3B"/>
    <w:rsid w:val="00446FE5"/>
    <w:rsid w:val="00452396"/>
    <w:rsid w:val="004837D8"/>
    <w:rsid w:val="004E2EED"/>
    <w:rsid w:val="004E468C"/>
    <w:rsid w:val="005008C7"/>
    <w:rsid w:val="005505B7"/>
    <w:rsid w:val="00557900"/>
    <w:rsid w:val="00573BE5"/>
    <w:rsid w:val="00586ED3"/>
    <w:rsid w:val="00596AA9"/>
    <w:rsid w:val="006236B7"/>
    <w:rsid w:val="006479ED"/>
    <w:rsid w:val="006A2A1F"/>
    <w:rsid w:val="006F3904"/>
    <w:rsid w:val="00712FA2"/>
    <w:rsid w:val="0071601D"/>
    <w:rsid w:val="007216B1"/>
    <w:rsid w:val="007218F9"/>
    <w:rsid w:val="00725E9B"/>
    <w:rsid w:val="007748DB"/>
    <w:rsid w:val="007A62E6"/>
    <w:rsid w:val="007B2119"/>
    <w:rsid w:val="007C715C"/>
    <w:rsid w:val="007D75AB"/>
    <w:rsid w:val="007F20FA"/>
    <w:rsid w:val="0080684C"/>
    <w:rsid w:val="0087079E"/>
    <w:rsid w:val="00871C75"/>
    <w:rsid w:val="008776DC"/>
    <w:rsid w:val="00884D0F"/>
    <w:rsid w:val="009446C0"/>
    <w:rsid w:val="009705C8"/>
    <w:rsid w:val="009875EB"/>
    <w:rsid w:val="009C1CF4"/>
    <w:rsid w:val="009F6B74"/>
    <w:rsid w:val="009F7EA6"/>
    <w:rsid w:val="00A3029F"/>
    <w:rsid w:val="00A30353"/>
    <w:rsid w:val="00A30DD4"/>
    <w:rsid w:val="00AC3823"/>
    <w:rsid w:val="00AC6E9F"/>
    <w:rsid w:val="00AE19E2"/>
    <w:rsid w:val="00AE323C"/>
    <w:rsid w:val="00AF0CB5"/>
    <w:rsid w:val="00B00181"/>
    <w:rsid w:val="00B00B0D"/>
    <w:rsid w:val="00B45F2E"/>
    <w:rsid w:val="00B53905"/>
    <w:rsid w:val="00B66824"/>
    <w:rsid w:val="00B765F7"/>
    <w:rsid w:val="00B93775"/>
    <w:rsid w:val="00BA0CA9"/>
    <w:rsid w:val="00BF0AB9"/>
    <w:rsid w:val="00BF17E5"/>
    <w:rsid w:val="00C00446"/>
    <w:rsid w:val="00C02897"/>
    <w:rsid w:val="00C67C97"/>
    <w:rsid w:val="00C86538"/>
    <w:rsid w:val="00C922A9"/>
    <w:rsid w:val="00C97039"/>
    <w:rsid w:val="00CB0F81"/>
    <w:rsid w:val="00CC0258"/>
    <w:rsid w:val="00CD302C"/>
    <w:rsid w:val="00D126CD"/>
    <w:rsid w:val="00D3439C"/>
    <w:rsid w:val="00DB1831"/>
    <w:rsid w:val="00DD3BFD"/>
    <w:rsid w:val="00DF6678"/>
    <w:rsid w:val="00E0299A"/>
    <w:rsid w:val="00E102CC"/>
    <w:rsid w:val="00E442D1"/>
    <w:rsid w:val="00E70A26"/>
    <w:rsid w:val="00E75573"/>
    <w:rsid w:val="00E85C74"/>
    <w:rsid w:val="00E86730"/>
    <w:rsid w:val="00EA6547"/>
    <w:rsid w:val="00EB76AF"/>
    <w:rsid w:val="00EF2E22"/>
    <w:rsid w:val="00F019F2"/>
    <w:rsid w:val="00F02656"/>
    <w:rsid w:val="00F35BAF"/>
    <w:rsid w:val="00F660DF"/>
    <w:rsid w:val="00F94664"/>
    <w:rsid w:val="00F9573C"/>
    <w:rsid w:val="00F95C08"/>
    <w:rsid w:val="00FE29E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124AECC-C458-4BD5-ACE5-AF7BD0E5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uiPriority w:val="59"/>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PP,5_G_6"/>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PP Char,5_G_6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E86730"/>
    <w:rPr>
      <w:rFonts w:ascii="Times New Roman" w:eastAsiaTheme="minorHAnsi" w:hAnsi="Times New Roman" w:cs="Times New Roman"/>
      <w:sz w:val="20"/>
      <w:szCs w:val="20"/>
      <w:lang w:eastAsia="en-US"/>
    </w:rPr>
  </w:style>
  <w:style w:type="character" w:customStyle="1" w:styleId="HChGChar">
    <w:name w:val="_ H _Ch_G Char"/>
    <w:link w:val="HChG"/>
    <w:rsid w:val="00E86730"/>
    <w:rPr>
      <w:rFonts w:ascii="Times New Roman" w:eastAsiaTheme="minorHAnsi" w:hAnsi="Times New Roman" w:cs="Times New Roman"/>
      <w:b/>
      <w:sz w:val="28"/>
      <w:szCs w:val="20"/>
      <w:lang w:eastAsia="en-US"/>
    </w:rPr>
  </w:style>
  <w:style w:type="character" w:customStyle="1" w:styleId="H1GChar">
    <w:name w:val="_ H_1_G Char"/>
    <w:link w:val="H1G"/>
    <w:rsid w:val="00E86730"/>
    <w:rPr>
      <w:rFonts w:ascii="Times New Roman" w:eastAsiaTheme="minorHAnsi" w:hAnsi="Times New Roman" w:cs="Times New Roman"/>
      <w:b/>
      <w:sz w:val="24"/>
      <w:szCs w:val="20"/>
      <w:lang w:eastAsia="en-US"/>
    </w:rPr>
  </w:style>
  <w:style w:type="paragraph" w:customStyle="1" w:styleId="para">
    <w:name w:val="para"/>
    <w:basedOn w:val="SingleTxtG"/>
    <w:link w:val="paraChar"/>
    <w:qFormat/>
    <w:rsid w:val="00E86730"/>
    <w:pPr>
      <w:kinsoku/>
      <w:overflowPunct/>
      <w:autoSpaceDE/>
      <w:autoSpaceDN/>
      <w:adjustRightInd/>
      <w:snapToGrid/>
      <w:ind w:left="2268" w:hanging="1134"/>
    </w:pPr>
    <w:rPr>
      <w:rFonts w:eastAsia="Times New Roman"/>
    </w:rPr>
  </w:style>
  <w:style w:type="character" w:customStyle="1" w:styleId="paraChar">
    <w:name w:val="para Char"/>
    <w:link w:val="para"/>
    <w:rsid w:val="00E86730"/>
    <w:rPr>
      <w:rFonts w:ascii="Times New Roman" w:hAnsi="Times New Roman" w:cs="Times New Roman"/>
      <w:sz w:val="20"/>
      <w:szCs w:val="20"/>
      <w:lang w:eastAsia="en-US"/>
    </w:rPr>
  </w:style>
  <w:style w:type="paragraph" w:customStyle="1" w:styleId="endnotetable">
    <w:name w:val="endnote table"/>
    <w:basedOn w:val="Normal"/>
    <w:link w:val="endnotetableChar"/>
    <w:rsid w:val="00E86730"/>
    <w:pPr>
      <w:kinsoku/>
      <w:overflowPunct/>
      <w:autoSpaceDE/>
      <w:autoSpaceDN/>
      <w:adjustRightInd/>
      <w:snapToGrid/>
      <w:spacing w:line="220" w:lineRule="exact"/>
      <w:ind w:left="1134" w:right="1134" w:firstLine="170"/>
    </w:pPr>
    <w:rPr>
      <w:rFonts w:eastAsia="Times New Roman"/>
      <w:sz w:val="18"/>
      <w:szCs w:val="18"/>
      <w:lang w:val="it-IT"/>
    </w:rPr>
  </w:style>
  <w:style w:type="character" w:customStyle="1" w:styleId="endnotetableChar">
    <w:name w:val="endnote table Char"/>
    <w:link w:val="endnotetable"/>
    <w:rsid w:val="00E86730"/>
    <w:rPr>
      <w:rFonts w:ascii="Times New Roman" w:hAnsi="Times New Roman" w:cs="Times New Roman"/>
      <w:sz w:val="18"/>
      <w:szCs w:val="18"/>
      <w:lang w:val="it-IT" w:eastAsia="en-US"/>
    </w:rPr>
  </w:style>
  <w:style w:type="table" w:customStyle="1" w:styleId="Grigliatabella1">
    <w:name w:val="Griglia tabella1"/>
    <w:basedOn w:val="TableNormal"/>
    <w:next w:val="TableGrid"/>
    <w:uiPriority w:val="59"/>
    <w:rsid w:val="00E86730"/>
    <w:pPr>
      <w:spacing w:after="0" w:line="240" w:lineRule="auto"/>
    </w:pPr>
    <w:rPr>
      <w:rFonts w:ascii="Calibri" w:eastAsia="Calibri"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5447</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ECE/TRANS/WP.29/GRE/2018/37</vt:lpstr>
      <vt:lpstr>ECE/TRANS/WP.29/GRE/2018/37</vt:lpstr>
      <vt:lpstr>Tableau  Dispositions relatives aux mesures permettant de vérifier la conformité</vt:lpstr>
    </vt:vector>
  </TitlesOfParts>
  <Company>DCM</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ECE/TRANS/WP.29/GRE/2018/37</dc:title>
  <dc:subject/>
  <dc:creator>Maud DARICHE</dc:creator>
  <cp:keywords/>
  <cp:lastModifiedBy>Benedicte Boudol</cp:lastModifiedBy>
  <cp:revision>2</cp:revision>
  <cp:lastPrinted>2018-09-07T13:58:00Z</cp:lastPrinted>
  <dcterms:created xsi:type="dcterms:W3CDTF">2018-09-11T12:04:00Z</dcterms:created>
  <dcterms:modified xsi:type="dcterms:W3CDTF">2018-09-11T12:04:00Z</dcterms:modified>
</cp:coreProperties>
</file>