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C97039">
        <w:trPr>
          <w:trHeight w:hRule="exact" w:val="851"/>
        </w:trPr>
        <w:tc>
          <w:tcPr>
            <w:tcW w:w="1276" w:type="dxa"/>
            <w:tcBorders>
              <w:bottom w:val="single" w:sz="4" w:space="0" w:color="auto"/>
            </w:tcBorders>
          </w:tcPr>
          <w:p w:rsidR="00F35BAF" w:rsidRPr="00DB58B5" w:rsidRDefault="00F35BAF" w:rsidP="005643A8">
            <w:bookmarkStart w:id="0" w:name="_GoBack"/>
            <w:bookmarkEnd w:id="0"/>
          </w:p>
        </w:tc>
        <w:tc>
          <w:tcPr>
            <w:tcW w:w="2268" w:type="dxa"/>
            <w:tcBorders>
              <w:bottom w:val="single" w:sz="4" w:space="0" w:color="auto"/>
            </w:tcBorders>
            <w:vAlign w:val="bottom"/>
          </w:tcPr>
          <w:p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5643A8" w:rsidP="005643A8">
            <w:pPr>
              <w:jc w:val="right"/>
            </w:pPr>
            <w:r w:rsidRPr="005643A8">
              <w:rPr>
                <w:sz w:val="40"/>
              </w:rPr>
              <w:t>ECE</w:t>
            </w:r>
            <w:r>
              <w:t>/TRANS/WP.29/GRE/2018/35</w:t>
            </w:r>
          </w:p>
        </w:tc>
      </w:tr>
      <w:tr w:rsidR="00F35BAF" w:rsidRPr="00DB58B5" w:rsidTr="00C97039">
        <w:trPr>
          <w:trHeight w:hRule="exact" w:val="2835"/>
        </w:trPr>
        <w:tc>
          <w:tcPr>
            <w:tcW w:w="1276" w:type="dxa"/>
            <w:tcBorders>
              <w:top w:val="single" w:sz="4" w:space="0" w:color="auto"/>
              <w:bottom w:val="single" w:sz="12" w:space="0" w:color="auto"/>
            </w:tcBorders>
          </w:tcPr>
          <w:p w:rsidR="00F35BAF" w:rsidRPr="00DB58B5" w:rsidRDefault="00F35BAF" w:rsidP="00C97039">
            <w:pPr>
              <w:spacing w:before="120"/>
              <w:jc w:val="center"/>
            </w:pPr>
            <w:r>
              <w:rPr>
                <w:noProof/>
                <w:lang w:eastAsia="fr-CH"/>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5643A8" w:rsidP="00C97039">
            <w:pPr>
              <w:spacing w:before="240"/>
            </w:pPr>
            <w:r>
              <w:t>Distr. générale</w:t>
            </w:r>
          </w:p>
          <w:p w:rsidR="005643A8" w:rsidRDefault="0074683A" w:rsidP="005643A8">
            <w:pPr>
              <w:spacing w:line="240" w:lineRule="exact"/>
            </w:pPr>
            <w:r>
              <w:t>9</w:t>
            </w:r>
            <w:r w:rsidR="005643A8">
              <w:t xml:space="preserve"> août 2018</w:t>
            </w:r>
          </w:p>
          <w:p w:rsidR="005643A8" w:rsidRDefault="005643A8" w:rsidP="005643A8">
            <w:pPr>
              <w:spacing w:line="240" w:lineRule="exact"/>
            </w:pPr>
            <w:r>
              <w:t>Français</w:t>
            </w:r>
          </w:p>
          <w:p w:rsidR="005643A8" w:rsidRPr="00DB58B5" w:rsidRDefault="005643A8" w:rsidP="005643A8">
            <w:pPr>
              <w:spacing w:line="240" w:lineRule="exact"/>
            </w:pPr>
            <w:r>
              <w:t>Original : anglais</w:t>
            </w:r>
          </w:p>
        </w:tc>
      </w:tr>
    </w:tbl>
    <w:p w:rsidR="007F20FA" w:rsidRPr="000312C0" w:rsidRDefault="007F20FA" w:rsidP="007F20FA">
      <w:pPr>
        <w:spacing w:before="120"/>
        <w:rPr>
          <w:b/>
          <w:sz w:val="28"/>
          <w:szCs w:val="28"/>
        </w:rPr>
      </w:pPr>
      <w:r w:rsidRPr="000312C0">
        <w:rPr>
          <w:b/>
          <w:sz w:val="28"/>
          <w:szCs w:val="28"/>
        </w:rPr>
        <w:t>Commission économique pour l’Europe</w:t>
      </w:r>
    </w:p>
    <w:p w:rsidR="007F20FA" w:rsidRDefault="007F20FA" w:rsidP="007F20FA">
      <w:pPr>
        <w:spacing w:before="120"/>
        <w:rPr>
          <w:sz w:val="28"/>
          <w:szCs w:val="28"/>
        </w:rPr>
      </w:pPr>
      <w:r w:rsidRPr="00685843">
        <w:rPr>
          <w:sz w:val="28"/>
          <w:szCs w:val="28"/>
        </w:rPr>
        <w:t>Comité des transports intérieurs</w:t>
      </w:r>
    </w:p>
    <w:p w:rsidR="005643A8" w:rsidRDefault="005643A8"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rsidR="005643A8" w:rsidRDefault="005643A8" w:rsidP="00257168">
      <w:pPr>
        <w:spacing w:before="120" w:after="120" w:line="240" w:lineRule="exact"/>
        <w:rPr>
          <w:b/>
        </w:rPr>
      </w:pPr>
      <w:r>
        <w:rPr>
          <w:b/>
        </w:rPr>
        <w:t>Groupe de travail de l’éclairage et de la signalisation lumineuse</w:t>
      </w:r>
    </w:p>
    <w:p w:rsidR="005643A8" w:rsidRDefault="005643A8" w:rsidP="00257168">
      <w:pPr>
        <w:spacing w:before="120" w:line="240" w:lineRule="exact"/>
        <w:rPr>
          <w:b/>
        </w:rPr>
      </w:pPr>
      <w:r w:rsidRPr="001556AE">
        <w:rPr>
          <w:rFonts w:eastAsia="Times New Roman"/>
          <w:b/>
        </w:rPr>
        <w:t>Quatre-vingtième</w:t>
      </w:r>
      <w:r>
        <w:rPr>
          <w:b/>
        </w:rPr>
        <w:t xml:space="preserve"> session</w:t>
      </w:r>
    </w:p>
    <w:p w:rsidR="005643A8" w:rsidRDefault="005643A8" w:rsidP="00257168">
      <w:pPr>
        <w:spacing w:line="240" w:lineRule="exact"/>
      </w:pPr>
      <w:r>
        <w:t xml:space="preserve">Genève, </w:t>
      </w:r>
      <w:r w:rsidRPr="005643A8">
        <w:rPr>
          <w:bCs/>
        </w:rPr>
        <w:t>23-26</w:t>
      </w:r>
      <w:r>
        <w:rPr>
          <w:bCs/>
        </w:rPr>
        <w:t> </w:t>
      </w:r>
      <w:r w:rsidRPr="005643A8">
        <w:rPr>
          <w:bCs/>
        </w:rPr>
        <w:t>octobre 2018</w:t>
      </w:r>
    </w:p>
    <w:p w:rsidR="005643A8" w:rsidRDefault="005643A8" w:rsidP="00257168">
      <w:pPr>
        <w:spacing w:line="240" w:lineRule="exact"/>
      </w:pPr>
      <w:r>
        <w:t>Point 4 de l’ordre du jour provisoire</w:t>
      </w:r>
    </w:p>
    <w:p w:rsidR="005643A8" w:rsidRPr="0019552F" w:rsidRDefault="005643A8" w:rsidP="005643A8">
      <w:pPr>
        <w:kinsoku/>
        <w:overflowPunct/>
        <w:autoSpaceDE/>
        <w:autoSpaceDN/>
        <w:adjustRightInd/>
        <w:snapToGrid/>
        <w:ind w:right="1134"/>
        <w:rPr>
          <w:rFonts w:eastAsia="Times New Roman"/>
          <w:b/>
          <w:bCs/>
        </w:rPr>
      </w:pPr>
      <w:r w:rsidRPr="0019552F">
        <w:rPr>
          <w:rFonts w:eastAsia="Times New Roman"/>
          <w:b/>
          <w:bCs/>
        </w:rPr>
        <w:t xml:space="preserve">Simplification des Règlements ONU relatifs à l’éclairage </w:t>
      </w:r>
      <w:r>
        <w:rPr>
          <w:rFonts w:eastAsia="Times New Roman"/>
          <w:b/>
          <w:bCs/>
        </w:rPr>
        <w:br/>
      </w:r>
      <w:r w:rsidRPr="0019552F">
        <w:rPr>
          <w:rFonts w:eastAsia="Times New Roman"/>
          <w:b/>
          <w:bCs/>
        </w:rPr>
        <w:t>et</w:t>
      </w:r>
      <w:r>
        <w:rPr>
          <w:rFonts w:eastAsia="Times New Roman"/>
          <w:b/>
          <w:bCs/>
        </w:rPr>
        <w:t xml:space="preserve"> à la signalisation lumineuse</w:t>
      </w:r>
    </w:p>
    <w:p w:rsidR="005643A8" w:rsidRPr="0019552F" w:rsidRDefault="005643A8" w:rsidP="005643A8">
      <w:pPr>
        <w:pStyle w:val="HChG"/>
      </w:pPr>
      <w:r>
        <w:tab/>
      </w:r>
      <w:r>
        <w:tab/>
      </w:r>
      <w:r w:rsidRPr="0019552F">
        <w:t xml:space="preserve">Proposition de complément [3] à la série 02 d’amendements au Règlement ONU </w:t>
      </w:r>
      <w:r w:rsidRPr="002D76F4">
        <w:rPr>
          <w:rFonts w:eastAsia="MS Mincho"/>
          <w:szCs w:val="22"/>
        </w:rPr>
        <w:t>n</w:t>
      </w:r>
      <w:r w:rsidRPr="002D76F4">
        <w:rPr>
          <w:rFonts w:eastAsia="MS Mincho"/>
          <w:szCs w:val="22"/>
          <w:vertAlign w:val="superscript"/>
        </w:rPr>
        <w:t>o</w:t>
      </w:r>
      <w:r>
        <w:t> 53</w:t>
      </w:r>
    </w:p>
    <w:p w:rsidR="005643A8" w:rsidRPr="0019552F" w:rsidRDefault="005643A8" w:rsidP="005643A8">
      <w:pPr>
        <w:pStyle w:val="H1G"/>
      </w:pPr>
      <w:r>
        <w:tab/>
      </w:r>
      <w:r>
        <w:tab/>
      </w:r>
      <w:r w:rsidRPr="000045B2">
        <w:t xml:space="preserve">Communication du groupe de travail informel de la simplification </w:t>
      </w:r>
      <w:r>
        <w:br/>
      </w:r>
      <w:r w:rsidRPr="000045B2">
        <w:t>des Règlements relatifs à l’éclairage et à la signalisation lumineuse</w:t>
      </w:r>
      <w:r w:rsidRPr="005643A8">
        <w:rPr>
          <w:rStyle w:val="FootnoteReference"/>
          <w:b w:val="0"/>
          <w:sz w:val="20"/>
          <w:vertAlign w:val="baseline"/>
        </w:rPr>
        <w:footnoteReference w:customMarkFollows="1" w:id="2"/>
        <w:t>*</w:t>
      </w:r>
    </w:p>
    <w:p w:rsidR="005643A8" w:rsidRDefault="005643A8" w:rsidP="005643A8">
      <w:pPr>
        <w:pStyle w:val="SingleTxtG"/>
        <w:ind w:firstLine="567"/>
      </w:pPr>
      <w:r w:rsidRPr="000045B2">
        <w:t>Le texte ci-après, établi par le groupe de travail informel de la simplification des Règlements relatifs à l’éclairage et à la signalisation lumineuse,</w:t>
      </w:r>
      <w:r>
        <w:t xml:space="preserve"> sur la base d’une proposition initiale de l’expert de </w:t>
      </w:r>
      <w:r w:rsidRPr="000045B2">
        <w:t xml:space="preserve">l’Association internationale des constructeurs de motocycles </w:t>
      </w:r>
      <w:r w:rsidRPr="0019552F">
        <w:t xml:space="preserve">(IMMA), </w:t>
      </w:r>
      <w:r w:rsidRPr="000045B2">
        <w:t>vise à corriger</w:t>
      </w:r>
      <w:r>
        <w:t xml:space="preserve"> les définitions modifiées dans le Règlement ONU </w:t>
      </w:r>
      <w:r w:rsidRPr="002D76F4">
        <w:rPr>
          <w:rFonts w:eastAsia="MS Mincho"/>
          <w:szCs w:val="22"/>
        </w:rPr>
        <w:t>n</w:t>
      </w:r>
      <w:r w:rsidRPr="002D76F4">
        <w:rPr>
          <w:rFonts w:eastAsia="MS Mincho"/>
          <w:szCs w:val="22"/>
          <w:vertAlign w:val="superscript"/>
        </w:rPr>
        <w:t>o</w:t>
      </w:r>
      <w:r>
        <w:t xml:space="preserve"> 53 qui ont été adoptées lors de la soixante-dix-neuvième session du </w:t>
      </w:r>
      <w:r w:rsidRPr="00481A8E">
        <w:t xml:space="preserve">Groupe de travail de </w:t>
      </w:r>
      <w:r w:rsidRPr="0074683A">
        <w:rPr>
          <w:spacing w:val="-2"/>
        </w:rPr>
        <w:t>l’éclairage et de la signalisation lumineuse (GRE) (ECE/TRANS</w:t>
      </w:r>
      <w:r w:rsidRPr="0019552F">
        <w:t xml:space="preserve">/WP.29/GRE/79, </w:t>
      </w:r>
      <w:r>
        <w:t>a</w:t>
      </w:r>
      <w:r w:rsidRPr="0019552F">
        <w:t>nnex</w:t>
      </w:r>
      <w:r w:rsidRPr="00481A8E">
        <w:t>e</w:t>
      </w:r>
      <w:r w:rsidRPr="0019552F">
        <w:t xml:space="preserve"> VI, part</w:t>
      </w:r>
      <w:r>
        <w:t>ie</w:t>
      </w:r>
      <w:r w:rsidRPr="0019552F">
        <w:t xml:space="preserve"> A).</w:t>
      </w:r>
    </w:p>
    <w:p w:rsidR="005643A8" w:rsidRPr="005643A8" w:rsidRDefault="005643A8" w:rsidP="005643A8">
      <w:pPr>
        <w:pStyle w:val="HChG"/>
      </w:pPr>
      <w:r>
        <w:br w:type="page"/>
      </w:r>
      <w:r w:rsidRPr="0019552F">
        <w:lastRenderedPageBreak/>
        <w:tab/>
      </w:r>
      <w:r w:rsidRPr="005643A8">
        <w:t>I.</w:t>
      </w:r>
      <w:r w:rsidRPr="005643A8">
        <w:tab/>
        <w:t>Proposition</w:t>
      </w:r>
    </w:p>
    <w:p w:rsidR="005643A8" w:rsidRPr="005643A8" w:rsidRDefault="005643A8" w:rsidP="005643A8">
      <w:pPr>
        <w:pStyle w:val="SingleTxtG"/>
      </w:pPr>
      <w:r w:rsidRPr="005643A8">
        <w:rPr>
          <w:i/>
        </w:rPr>
        <w:t>Paragraphe 2</w:t>
      </w:r>
      <w:r w:rsidRPr="005643A8">
        <w:t>,</w:t>
      </w:r>
      <w:r w:rsidRPr="005643A8">
        <w:rPr>
          <w:i/>
        </w:rPr>
        <w:t xml:space="preserve"> </w:t>
      </w:r>
      <w:r w:rsidRPr="005643A8">
        <w:t>modifier comme suit :</w:t>
      </w:r>
    </w:p>
    <w:p w:rsidR="005643A8" w:rsidRPr="005643A8" w:rsidRDefault="005643A8" w:rsidP="005643A8">
      <w:pPr>
        <w:pStyle w:val="SingleTxtG"/>
      </w:pPr>
      <w:r>
        <w:t>« </w:t>
      </w:r>
      <w:r w:rsidRPr="005643A8">
        <w:t>…</w:t>
      </w:r>
    </w:p>
    <w:p w:rsidR="005643A8" w:rsidRPr="001556AE" w:rsidRDefault="005643A8" w:rsidP="005643A8">
      <w:pPr>
        <w:kinsoku/>
        <w:overflowPunct/>
        <w:autoSpaceDE/>
        <w:autoSpaceDN/>
        <w:adjustRightInd/>
        <w:snapToGrid/>
        <w:spacing w:after="120"/>
        <w:ind w:left="2268" w:right="1134" w:hanging="1134"/>
        <w:jc w:val="both"/>
        <w:rPr>
          <w:rFonts w:eastAsia="Times New Roman"/>
          <w:strike/>
        </w:rPr>
      </w:pPr>
      <w:r w:rsidRPr="001556AE">
        <w:rPr>
          <w:rFonts w:eastAsia="Times New Roman"/>
          <w:strike/>
        </w:rPr>
        <w:t>2.20</w:t>
      </w:r>
      <w:r w:rsidRPr="001556AE">
        <w:rPr>
          <w:rFonts w:eastAsia="Times New Roman"/>
          <w:strike/>
        </w:rPr>
        <w:tab/>
      </w:r>
      <w:r w:rsidR="006358CC">
        <w:rPr>
          <w:rFonts w:eastAsia="Times New Roman"/>
          <w:strike/>
        </w:rPr>
        <w:t>“</w:t>
      </w:r>
      <w:r w:rsidRPr="001556AE">
        <w:rPr>
          <w:rFonts w:eastAsia="Times New Roman"/>
          <w:i/>
          <w:strike/>
        </w:rPr>
        <w:t>Dispositif</w:t>
      </w:r>
      <w:r w:rsidR="006358CC">
        <w:rPr>
          <w:rFonts w:eastAsia="Times New Roman"/>
          <w:strike/>
        </w:rPr>
        <w:t>”</w:t>
      </w:r>
      <w:r w:rsidRPr="001556AE">
        <w:rPr>
          <w:rFonts w:eastAsia="Times New Roman"/>
          <w:strike/>
        </w:rPr>
        <w:t>, un élément ou une combinaison d’éléments servant à remplir une ou plusieurs fonctions</w:t>
      </w:r>
      <w:r w:rsidR="006358CC">
        <w:rPr>
          <w:rFonts w:eastAsia="Times New Roman"/>
          <w:strike/>
        </w:rPr>
        <w:t> </w:t>
      </w:r>
      <w:r w:rsidRPr="001556AE">
        <w:rPr>
          <w:rFonts w:eastAsia="Times New Roman"/>
          <w:strike/>
        </w:rPr>
        <w:t>;</w:t>
      </w:r>
    </w:p>
    <w:p w:rsidR="005643A8" w:rsidRPr="001556AE" w:rsidRDefault="005643A8" w:rsidP="005643A8">
      <w:pPr>
        <w:kinsoku/>
        <w:overflowPunct/>
        <w:autoSpaceDE/>
        <w:autoSpaceDN/>
        <w:adjustRightInd/>
        <w:snapToGrid/>
        <w:spacing w:after="120"/>
        <w:ind w:left="2268" w:right="1134" w:hanging="1134"/>
        <w:jc w:val="both"/>
        <w:rPr>
          <w:rFonts w:eastAsia="Times New Roman"/>
          <w:bCs/>
        </w:rPr>
      </w:pPr>
      <w:r w:rsidRPr="001556AE">
        <w:rPr>
          <w:rFonts w:eastAsia="Times New Roman"/>
          <w:bCs/>
          <w:strike/>
        </w:rPr>
        <w:t>2.21</w:t>
      </w:r>
      <w:r>
        <w:rPr>
          <w:rFonts w:eastAsia="Times New Roman"/>
          <w:bCs/>
        </w:rPr>
        <w:t xml:space="preserve"> </w:t>
      </w:r>
      <w:r w:rsidRPr="001556AE">
        <w:rPr>
          <w:rFonts w:eastAsia="Times New Roman"/>
          <w:b/>
          <w:bCs/>
        </w:rPr>
        <w:t>2.10</w:t>
      </w:r>
      <w:r w:rsidRPr="001556AE">
        <w:rPr>
          <w:rFonts w:eastAsia="Times New Roman"/>
          <w:bCs/>
        </w:rPr>
        <w:tab/>
      </w:r>
      <w:r>
        <w:rPr>
          <w:rFonts w:eastAsia="Times New Roman"/>
          <w:bCs/>
        </w:rPr>
        <w:t>“</w:t>
      </w:r>
      <w:r w:rsidRPr="001556AE">
        <w:rPr>
          <w:rFonts w:eastAsia="Times New Roman"/>
          <w:bCs/>
          <w:i/>
        </w:rPr>
        <w:t>Couleur de la lumière émise par un dispositif</w:t>
      </w:r>
      <w:r>
        <w:rPr>
          <w:rFonts w:eastAsia="Times New Roman"/>
          <w:bCs/>
        </w:rPr>
        <w:t>”. L</w:t>
      </w:r>
      <w:r w:rsidRPr="001556AE">
        <w:rPr>
          <w:rFonts w:eastAsia="Times New Roman"/>
          <w:bCs/>
        </w:rPr>
        <w:t xml:space="preserve">es définitions de la couleur de la lumière émise qui figurent dans le Règlement </w:t>
      </w:r>
      <w:r>
        <w:rPr>
          <w:rFonts w:eastAsia="Times New Roman"/>
          <w:bCs/>
        </w:rPr>
        <w:t xml:space="preserve">ONU </w:t>
      </w:r>
      <w:r w:rsidRPr="001556AE">
        <w:rPr>
          <w:rFonts w:eastAsia="MS Mincho"/>
          <w:bCs/>
        </w:rPr>
        <w:t>n</w:t>
      </w:r>
      <w:r w:rsidRPr="001556AE">
        <w:rPr>
          <w:rFonts w:eastAsia="MS Mincho"/>
          <w:bCs/>
          <w:vertAlign w:val="superscript"/>
        </w:rPr>
        <w:t>o</w:t>
      </w:r>
      <w:r w:rsidRPr="001556AE">
        <w:rPr>
          <w:rFonts w:eastAsia="Times New Roman"/>
          <w:bCs/>
        </w:rPr>
        <w:t> 48 et ses séries d’amendements en vigueur à la date de la demande d’homologation de type s’appliquent au présent Règlement</w:t>
      </w:r>
      <w:r>
        <w:rPr>
          <w:rFonts w:eastAsia="Times New Roman"/>
          <w:bCs/>
        </w:rPr>
        <w:t> </w:t>
      </w:r>
      <w:r w:rsidRPr="001556AE">
        <w:rPr>
          <w:rFonts w:eastAsia="Times New Roman"/>
          <w:bCs/>
        </w:rPr>
        <w:t>;</w:t>
      </w:r>
    </w:p>
    <w:p w:rsidR="005643A8" w:rsidRPr="001556AE" w:rsidRDefault="005643A8" w:rsidP="005643A8">
      <w:pPr>
        <w:kinsoku/>
        <w:overflowPunct/>
        <w:autoSpaceDE/>
        <w:autoSpaceDN/>
        <w:adjustRightInd/>
        <w:snapToGrid/>
        <w:spacing w:after="120"/>
        <w:ind w:left="2268" w:right="1134" w:hanging="1134"/>
        <w:jc w:val="both"/>
        <w:rPr>
          <w:rFonts w:eastAsia="Times New Roman"/>
          <w:bCs/>
        </w:rPr>
      </w:pPr>
      <w:r w:rsidRPr="001556AE">
        <w:rPr>
          <w:rFonts w:eastAsia="Times New Roman"/>
          <w:bCs/>
          <w:strike/>
        </w:rPr>
        <w:t>2.22</w:t>
      </w:r>
      <w:r>
        <w:rPr>
          <w:rFonts w:eastAsia="Times New Roman"/>
          <w:bCs/>
        </w:rPr>
        <w:t xml:space="preserve"> </w:t>
      </w:r>
      <w:r w:rsidRPr="001556AE">
        <w:rPr>
          <w:rFonts w:eastAsia="Times New Roman"/>
          <w:b/>
          <w:bCs/>
        </w:rPr>
        <w:t>2.1</w:t>
      </w:r>
      <w:r>
        <w:rPr>
          <w:rFonts w:eastAsia="Times New Roman"/>
          <w:b/>
          <w:bCs/>
        </w:rPr>
        <w:t>1</w:t>
      </w:r>
      <w:r w:rsidRPr="001556AE">
        <w:rPr>
          <w:rFonts w:eastAsia="Times New Roman"/>
          <w:bCs/>
        </w:rPr>
        <w:tab/>
      </w:r>
      <w:r w:rsidR="006358CC">
        <w:rPr>
          <w:rFonts w:eastAsia="Times New Roman"/>
          <w:bCs/>
        </w:rPr>
        <w:t>“</w:t>
      </w:r>
      <w:r w:rsidRPr="001556AE">
        <w:rPr>
          <w:rFonts w:eastAsia="Times New Roman"/>
          <w:bCs/>
          <w:i/>
        </w:rPr>
        <w:t>Masse totale en charge</w:t>
      </w:r>
      <w:r w:rsidR="006358CC">
        <w:rPr>
          <w:rFonts w:eastAsia="Times New Roman"/>
          <w:bCs/>
        </w:rPr>
        <w:t>” ou “masse maximale”</w:t>
      </w:r>
      <w:r w:rsidRPr="001556AE">
        <w:rPr>
          <w:rFonts w:eastAsia="Times New Roman"/>
          <w:bCs/>
        </w:rPr>
        <w:t>, la masse maximale techniquement admissible déclarée par le constructeur</w:t>
      </w:r>
      <w:r w:rsidR="006358CC">
        <w:rPr>
          <w:rFonts w:eastAsia="Times New Roman"/>
          <w:bCs/>
        </w:rPr>
        <w:t> </w:t>
      </w:r>
      <w:r w:rsidRPr="001556AE">
        <w:rPr>
          <w:rFonts w:eastAsia="Times New Roman"/>
          <w:bCs/>
        </w:rPr>
        <w:t>;</w:t>
      </w:r>
    </w:p>
    <w:p w:rsidR="005643A8" w:rsidRPr="001556AE" w:rsidRDefault="005643A8" w:rsidP="005643A8">
      <w:pPr>
        <w:kinsoku/>
        <w:overflowPunct/>
        <w:autoSpaceDE/>
        <w:autoSpaceDN/>
        <w:adjustRightInd/>
        <w:snapToGrid/>
        <w:spacing w:after="120"/>
        <w:ind w:left="2268" w:right="1134" w:hanging="1134"/>
        <w:jc w:val="both"/>
        <w:rPr>
          <w:rFonts w:eastAsia="Times New Roman"/>
          <w:bCs/>
        </w:rPr>
      </w:pPr>
      <w:r w:rsidRPr="001556AE">
        <w:rPr>
          <w:rFonts w:eastAsia="Times New Roman"/>
          <w:bCs/>
          <w:strike/>
        </w:rPr>
        <w:t>2.23</w:t>
      </w:r>
      <w:r>
        <w:rPr>
          <w:rFonts w:eastAsia="Times New Roman"/>
          <w:bCs/>
        </w:rPr>
        <w:t xml:space="preserve"> </w:t>
      </w:r>
      <w:r w:rsidRPr="001556AE">
        <w:rPr>
          <w:rFonts w:eastAsia="Times New Roman"/>
          <w:b/>
          <w:bCs/>
        </w:rPr>
        <w:t>2.1</w:t>
      </w:r>
      <w:r>
        <w:rPr>
          <w:rFonts w:eastAsia="Times New Roman"/>
          <w:b/>
          <w:bCs/>
        </w:rPr>
        <w:t>2</w:t>
      </w:r>
      <w:r w:rsidR="006358CC">
        <w:rPr>
          <w:rFonts w:eastAsia="Times New Roman"/>
          <w:bCs/>
        </w:rPr>
        <w:tab/>
        <w:t>“</w:t>
      </w:r>
      <w:r w:rsidRPr="001556AE">
        <w:rPr>
          <w:rFonts w:eastAsia="Times New Roman"/>
          <w:bCs/>
          <w:i/>
        </w:rPr>
        <w:t>Véhicule en charge</w:t>
      </w:r>
      <w:r w:rsidR="006358CC">
        <w:rPr>
          <w:rFonts w:eastAsia="Times New Roman"/>
          <w:bCs/>
        </w:rPr>
        <w:t>”</w:t>
      </w:r>
      <w:r w:rsidRPr="001556AE">
        <w:rPr>
          <w:rFonts w:eastAsia="Times New Roman"/>
          <w:bCs/>
        </w:rPr>
        <w:t xml:space="preserve">, le véhicule chargé de manière à atteindre sa </w:t>
      </w:r>
      <w:r w:rsidR="006358CC">
        <w:rPr>
          <w:rFonts w:eastAsia="Times New Roman"/>
          <w:bCs/>
        </w:rPr>
        <w:t>“</w:t>
      </w:r>
      <w:r w:rsidRPr="001556AE">
        <w:rPr>
          <w:rFonts w:eastAsia="Times New Roman"/>
          <w:bCs/>
        </w:rPr>
        <w:t>masse totale en charge</w:t>
      </w:r>
      <w:r w:rsidR="006358CC">
        <w:rPr>
          <w:rFonts w:eastAsia="Times New Roman"/>
          <w:bCs/>
        </w:rPr>
        <w:t>”</w:t>
      </w:r>
      <w:r w:rsidRPr="001556AE">
        <w:rPr>
          <w:rFonts w:eastAsia="Times New Roman"/>
          <w:bCs/>
        </w:rPr>
        <w:t xml:space="preserve"> telle qu’elle est définie au paragraphe </w:t>
      </w:r>
      <w:r w:rsidRPr="001556AE">
        <w:rPr>
          <w:rFonts w:eastAsia="Times New Roman"/>
          <w:bCs/>
          <w:strike/>
        </w:rPr>
        <w:t>2.22</w:t>
      </w:r>
      <w:r>
        <w:rPr>
          <w:rFonts w:eastAsia="Times New Roman"/>
          <w:bCs/>
        </w:rPr>
        <w:t xml:space="preserve"> </w:t>
      </w:r>
      <w:r w:rsidRPr="001556AE">
        <w:rPr>
          <w:rFonts w:eastAsia="Times New Roman"/>
          <w:b/>
          <w:bCs/>
        </w:rPr>
        <w:t>2.11</w:t>
      </w:r>
      <w:r w:rsidR="006358CC">
        <w:rPr>
          <w:rFonts w:eastAsia="Times New Roman"/>
          <w:b/>
          <w:bCs/>
        </w:rPr>
        <w:t> </w:t>
      </w:r>
      <w:r w:rsidRPr="001556AE">
        <w:rPr>
          <w:rFonts w:eastAsia="Times New Roman"/>
          <w:bCs/>
        </w:rPr>
        <w:t>;</w:t>
      </w:r>
    </w:p>
    <w:p w:rsidR="005643A8" w:rsidRPr="001556AE" w:rsidRDefault="005643A8" w:rsidP="005643A8">
      <w:pPr>
        <w:kinsoku/>
        <w:overflowPunct/>
        <w:autoSpaceDE/>
        <w:autoSpaceDN/>
        <w:adjustRightInd/>
        <w:snapToGrid/>
        <w:spacing w:after="120"/>
        <w:ind w:left="2268" w:right="1134" w:hanging="1134"/>
        <w:jc w:val="both"/>
        <w:rPr>
          <w:rFonts w:eastAsia="Times New Roman"/>
        </w:rPr>
      </w:pPr>
      <w:r w:rsidRPr="001556AE">
        <w:rPr>
          <w:rFonts w:eastAsia="Times New Roman"/>
          <w:strike/>
        </w:rPr>
        <w:t>2.24</w:t>
      </w:r>
      <w:r>
        <w:rPr>
          <w:rFonts w:eastAsia="Times New Roman"/>
        </w:rPr>
        <w:t xml:space="preserve"> </w:t>
      </w:r>
      <w:r w:rsidRPr="001556AE">
        <w:rPr>
          <w:rFonts w:eastAsia="Times New Roman"/>
          <w:b/>
          <w:bCs/>
        </w:rPr>
        <w:t>2.1</w:t>
      </w:r>
      <w:r>
        <w:rPr>
          <w:rFonts w:eastAsia="Times New Roman"/>
          <w:b/>
          <w:bCs/>
        </w:rPr>
        <w:t>3</w:t>
      </w:r>
      <w:r w:rsidRPr="001556AE">
        <w:rPr>
          <w:rFonts w:eastAsia="Times New Roman"/>
        </w:rPr>
        <w:tab/>
      </w:r>
      <w:r w:rsidRPr="001556AE">
        <w:rPr>
          <w:rFonts w:eastAsia="Times New Roman"/>
        </w:rPr>
        <w:tab/>
      </w:r>
      <w:r w:rsidR="006358CC">
        <w:rPr>
          <w:rFonts w:eastAsia="Times New Roman"/>
        </w:rPr>
        <w:t>“</w:t>
      </w:r>
      <w:r w:rsidRPr="001556AE">
        <w:rPr>
          <w:rFonts w:eastAsia="Times New Roman"/>
          <w:i/>
        </w:rPr>
        <w:t>Angle d’inclinaison transversale du faisceau</w:t>
      </w:r>
      <w:r w:rsidR="006358CC">
        <w:rPr>
          <w:rFonts w:eastAsia="Times New Roman"/>
        </w:rPr>
        <w:t>”</w:t>
      </w:r>
      <w:r w:rsidRPr="001556AE">
        <w:rPr>
          <w:rFonts w:eastAsia="Times New Roman"/>
        </w:rPr>
        <w:t>, l’angle formé entre la ligne de coupure du faisceau lorsque le motocycle est dans la position spécifiée au paragraphe 5.4 du présent Règlement et la ligne de coupure lorsque le motocycle est à un angle de roulis (voir le schéma à l’annexe 6)</w:t>
      </w:r>
      <w:r w:rsidR="006358CC">
        <w:rPr>
          <w:rFonts w:eastAsia="Times New Roman"/>
        </w:rPr>
        <w:t> </w:t>
      </w:r>
      <w:r w:rsidRPr="001556AE">
        <w:rPr>
          <w:rFonts w:eastAsia="Times New Roman"/>
        </w:rPr>
        <w:t>;</w:t>
      </w:r>
    </w:p>
    <w:p w:rsidR="005643A8" w:rsidRPr="001556AE" w:rsidRDefault="005643A8" w:rsidP="005643A8">
      <w:pPr>
        <w:kinsoku/>
        <w:overflowPunct/>
        <w:autoSpaceDE/>
        <w:autoSpaceDN/>
        <w:adjustRightInd/>
        <w:snapToGrid/>
        <w:spacing w:after="120"/>
        <w:ind w:left="2268" w:right="1134" w:hanging="1134"/>
        <w:jc w:val="both"/>
        <w:rPr>
          <w:rFonts w:eastAsia="Times New Roman"/>
        </w:rPr>
      </w:pPr>
      <w:r w:rsidRPr="001556AE">
        <w:rPr>
          <w:rFonts w:eastAsia="Times New Roman"/>
          <w:strike/>
        </w:rPr>
        <w:t>2.25</w:t>
      </w:r>
      <w:r>
        <w:rPr>
          <w:rFonts w:eastAsia="Times New Roman"/>
        </w:rPr>
        <w:t xml:space="preserve"> </w:t>
      </w:r>
      <w:r w:rsidRPr="001556AE">
        <w:rPr>
          <w:rFonts w:eastAsia="Times New Roman"/>
          <w:b/>
          <w:bCs/>
        </w:rPr>
        <w:t>2.1</w:t>
      </w:r>
      <w:r>
        <w:rPr>
          <w:rFonts w:eastAsia="Times New Roman"/>
          <w:b/>
          <w:bCs/>
        </w:rPr>
        <w:t>4</w:t>
      </w:r>
      <w:r w:rsidR="006358CC">
        <w:rPr>
          <w:rFonts w:eastAsia="Times New Roman"/>
        </w:rPr>
        <w:tab/>
      </w:r>
      <w:r w:rsidR="006358CC">
        <w:rPr>
          <w:rFonts w:eastAsia="Times New Roman"/>
        </w:rPr>
        <w:tab/>
        <w:t>“</w:t>
      </w:r>
      <w:r w:rsidRPr="001556AE">
        <w:rPr>
          <w:rFonts w:eastAsia="Times New Roman"/>
          <w:i/>
        </w:rPr>
        <w:t>Système de correction de l’inclinaison transversale du faisceau</w:t>
      </w:r>
      <w:r w:rsidR="006358CC">
        <w:rPr>
          <w:rFonts w:eastAsia="Times New Roman"/>
        </w:rPr>
        <w:t>”</w:t>
      </w:r>
      <w:r w:rsidRPr="001556AE">
        <w:rPr>
          <w:rFonts w:eastAsia="Times New Roman"/>
        </w:rPr>
        <w:t>, un dispositif qui corrige l’inclinaison transversale du faisceau pour la rapprocher de zéro</w:t>
      </w:r>
      <w:r w:rsidR="006358CC">
        <w:rPr>
          <w:rFonts w:eastAsia="Times New Roman"/>
        </w:rPr>
        <w:t> </w:t>
      </w:r>
      <w:r w:rsidRPr="001556AE">
        <w:rPr>
          <w:rFonts w:eastAsia="Times New Roman"/>
        </w:rPr>
        <w:t>;</w:t>
      </w:r>
    </w:p>
    <w:p w:rsidR="005643A8" w:rsidRPr="001556AE" w:rsidRDefault="005643A8" w:rsidP="005643A8">
      <w:pPr>
        <w:kinsoku/>
        <w:overflowPunct/>
        <w:autoSpaceDE/>
        <w:autoSpaceDN/>
        <w:adjustRightInd/>
        <w:snapToGrid/>
        <w:spacing w:after="120"/>
        <w:ind w:left="2268" w:right="1134" w:hanging="1134"/>
        <w:jc w:val="both"/>
        <w:rPr>
          <w:rFonts w:eastAsia="Times New Roman"/>
        </w:rPr>
      </w:pPr>
      <w:r w:rsidRPr="001556AE">
        <w:rPr>
          <w:rFonts w:eastAsia="Times New Roman"/>
          <w:strike/>
        </w:rPr>
        <w:t>2.26</w:t>
      </w:r>
      <w:r>
        <w:rPr>
          <w:rFonts w:eastAsia="Times New Roman"/>
        </w:rPr>
        <w:t xml:space="preserve"> </w:t>
      </w:r>
      <w:r w:rsidRPr="001556AE">
        <w:rPr>
          <w:rFonts w:eastAsia="Times New Roman"/>
          <w:b/>
          <w:bCs/>
        </w:rPr>
        <w:t>2.1</w:t>
      </w:r>
      <w:r>
        <w:rPr>
          <w:rFonts w:eastAsia="Times New Roman"/>
          <w:b/>
          <w:bCs/>
        </w:rPr>
        <w:t>5</w:t>
      </w:r>
      <w:r w:rsidRPr="001556AE">
        <w:rPr>
          <w:rFonts w:eastAsia="Times New Roman"/>
        </w:rPr>
        <w:tab/>
      </w:r>
      <w:r w:rsidR="006358CC">
        <w:rPr>
          <w:rFonts w:eastAsia="Times New Roman"/>
        </w:rPr>
        <w:t>“</w:t>
      </w:r>
      <w:r w:rsidRPr="001556AE">
        <w:rPr>
          <w:rFonts w:eastAsia="Times New Roman"/>
          <w:i/>
        </w:rPr>
        <w:t>Angle de roulis du motocycle</w:t>
      </w:r>
      <w:r w:rsidR="006358CC">
        <w:rPr>
          <w:rFonts w:eastAsia="Times New Roman"/>
        </w:rPr>
        <w:t>”</w:t>
      </w:r>
      <w:r w:rsidRPr="001556AE">
        <w:rPr>
          <w:rFonts w:eastAsia="Times New Roman"/>
        </w:rPr>
        <w:t>, l’angle entre la verticale et le plan longitudinal médian vertical du véhicule, lorsque le motocycle est en rotation le long de son axe longitudinal (voir le schéma à l’annexe 6)</w:t>
      </w:r>
      <w:r w:rsidR="006358CC">
        <w:rPr>
          <w:rFonts w:eastAsia="Times New Roman"/>
        </w:rPr>
        <w:t> </w:t>
      </w:r>
      <w:r w:rsidRPr="001556AE">
        <w:rPr>
          <w:rFonts w:eastAsia="Times New Roman"/>
        </w:rPr>
        <w:t>;</w:t>
      </w:r>
    </w:p>
    <w:p w:rsidR="005643A8" w:rsidRPr="001556AE" w:rsidRDefault="005643A8" w:rsidP="005643A8">
      <w:pPr>
        <w:kinsoku/>
        <w:overflowPunct/>
        <w:autoSpaceDE/>
        <w:autoSpaceDN/>
        <w:adjustRightInd/>
        <w:snapToGrid/>
        <w:spacing w:after="120"/>
        <w:ind w:left="2268" w:right="1134" w:hanging="1134"/>
        <w:jc w:val="both"/>
        <w:rPr>
          <w:rFonts w:eastAsia="Times New Roman"/>
        </w:rPr>
      </w:pPr>
      <w:r w:rsidRPr="001556AE">
        <w:rPr>
          <w:rFonts w:eastAsia="Times New Roman"/>
          <w:strike/>
        </w:rPr>
        <w:t>2.27</w:t>
      </w:r>
      <w:r>
        <w:rPr>
          <w:rFonts w:eastAsia="Times New Roman"/>
        </w:rPr>
        <w:t xml:space="preserve"> </w:t>
      </w:r>
      <w:r w:rsidRPr="001556AE">
        <w:rPr>
          <w:rFonts w:eastAsia="Times New Roman"/>
          <w:b/>
          <w:bCs/>
        </w:rPr>
        <w:t>2.1</w:t>
      </w:r>
      <w:r>
        <w:rPr>
          <w:rFonts w:eastAsia="Times New Roman"/>
          <w:b/>
          <w:bCs/>
        </w:rPr>
        <w:t>6</w:t>
      </w:r>
      <w:r w:rsidRPr="001556AE">
        <w:rPr>
          <w:rFonts w:eastAsia="Times New Roman"/>
        </w:rPr>
        <w:tab/>
      </w:r>
      <w:r w:rsidR="006358CC">
        <w:rPr>
          <w:rFonts w:eastAsia="Times New Roman"/>
        </w:rPr>
        <w:t>“</w:t>
      </w:r>
      <w:r w:rsidRPr="001556AE">
        <w:rPr>
          <w:rFonts w:eastAsia="Times New Roman"/>
          <w:i/>
        </w:rPr>
        <w:t>Signal du système de correction de l’inclinaison transversale du faisceau</w:t>
      </w:r>
      <w:r w:rsidR="006358CC">
        <w:rPr>
          <w:rFonts w:eastAsia="Times New Roman"/>
        </w:rPr>
        <w:t>”</w:t>
      </w:r>
      <w:r w:rsidRPr="001556AE">
        <w:rPr>
          <w:rFonts w:eastAsia="Times New Roman"/>
        </w:rPr>
        <w:t>, tout signal de commande ou tout signal de commande additionnel d’entrée du système, ou tout signal de commande de sortie du système émis vers le motocycle</w:t>
      </w:r>
      <w:r w:rsidR="006358CC">
        <w:rPr>
          <w:rFonts w:eastAsia="Times New Roman"/>
        </w:rPr>
        <w:t> </w:t>
      </w:r>
      <w:r w:rsidRPr="001556AE">
        <w:rPr>
          <w:rFonts w:eastAsia="Times New Roman"/>
        </w:rPr>
        <w:t>;</w:t>
      </w:r>
    </w:p>
    <w:p w:rsidR="005643A8" w:rsidRDefault="005643A8" w:rsidP="005643A8">
      <w:pPr>
        <w:kinsoku/>
        <w:overflowPunct/>
        <w:autoSpaceDE/>
        <w:autoSpaceDN/>
        <w:adjustRightInd/>
        <w:snapToGrid/>
        <w:spacing w:after="120"/>
        <w:ind w:left="2268" w:right="1134" w:hanging="1134"/>
        <w:jc w:val="both"/>
        <w:rPr>
          <w:rFonts w:eastAsia="Times New Roman"/>
        </w:rPr>
      </w:pPr>
      <w:r w:rsidRPr="001556AE">
        <w:rPr>
          <w:rFonts w:eastAsia="Times New Roman"/>
          <w:strike/>
        </w:rPr>
        <w:t>2.28</w:t>
      </w:r>
      <w:r>
        <w:rPr>
          <w:rFonts w:eastAsia="Times New Roman"/>
        </w:rPr>
        <w:t xml:space="preserve"> </w:t>
      </w:r>
      <w:r w:rsidRPr="001556AE">
        <w:rPr>
          <w:rFonts w:eastAsia="Times New Roman"/>
          <w:b/>
          <w:bCs/>
        </w:rPr>
        <w:t>2.1</w:t>
      </w:r>
      <w:r>
        <w:rPr>
          <w:rFonts w:eastAsia="Times New Roman"/>
          <w:b/>
          <w:bCs/>
        </w:rPr>
        <w:t>7</w:t>
      </w:r>
      <w:r w:rsidRPr="001556AE">
        <w:rPr>
          <w:rFonts w:eastAsia="Times New Roman"/>
        </w:rPr>
        <w:tab/>
      </w:r>
      <w:r w:rsidR="006358CC">
        <w:rPr>
          <w:rFonts w:eastAsia="Times New Roman"/>
        </w:rPr>
        <w:t>“</w:t>
      </w:r>
      <w:r w:rsidRPr="001556AE">
        <w:rPr>
          <w:rFonts w:eastAsia="Times New Roman"/>
          <w:i/>
        </w:rPr>
        <w:t>Générateur de signal du système de correction de l’inclinaison transversale du faisceau</w:t>
      </w:r>
      <w:r w:rsidR="006358CC">
        <w:rPr>
          <w:rFonts w:eastAsia="Times New Roman"/>
        </w:rPr>
        <w:t>”</w:t>
      </w:r>
      <w:r w:rsidRPr="001556AE">
        <w:rPr>
          <w:rFonts w:eastAsia="Times New Roman"/>
        </w:rPr>
        <w:t>, un dispositif reproduisant un ou plusieurs signaux du système de correction de l’inclinaison transversale du faisceau pour les essais du système</w:t>
      </w:r>
      <w:r w:rsidR="006358CC">
        <w:rPr>
          <w:rFonts w:eastAsia="Times New Roman"/>
        </w:rPr>
        <w:t> </w:t>
      </w:r>
      <w:r w:rsidRPr="001556AE">
        <w:rPr>
          <w:rFonts w:eastAsia="Times New Roman"/>
        </w:rPr>
        <w:t>;</w:t>
      </w:r>
    </w:p>
    <w:p w:rsidR="005643A8" w:rsidRPr="001556AE" w:rsidRDefault="005643A8" w:rsidP="005643A8">
      <w:pPr>
        <w:kinsoku/>
        <w:overflowPunct/>
        <w:autoSpaceDE/>
        <w:autoSpaceDN/>
        <w:adjustRightInd/>
        <w:snapToGrid/>
        <w:spacing w:after="120"/>
        <w:ind w:left="2268" w:right="1134" w:hanging="1134"/>
        <w:jc w:val="both"/>
        <w:rPr>
          <w:rFonts w:eastAsia="Times New Roman"/>
        </w:rPr>
      </w:pPr>
      <w:r w:rsidRPr="001556AE">
        <w:rPr>
          <w:rFonts w:eastAsia="Times New Roman"/>
          <w:strike/>
        </w:rPr>
        <w:t>2.29</w:t>
      </w:r>
      <w:r w:rsidRPr="008D48E4">
        <w:rPr>
          <w:rFonts w:eastAsia="Times New Roman"/>
          <w:u w:val="single"/>
        </w:rPr>
        <w:t xml:space="preserve"> </w:t>
      </w:r>
      <w:r w:rsidRPr="008D48E4">
        <w:rPr>
          <w:rFonts w:eastAsia="Times New Roman"/>
          <w:b/>
          <w:bCs/>
        </w:rPr>
        <w:t>2.1</w:t>
      </w:r>
      <w:r>
        <w:rPr>
          <w:rFonts w:eastAsia="Times New Roman"/>
          <w:b/>
          <w:bCs/>
        </w:rPr>
        <w:t>8</w:t>
      </w:r>
      <w:r w:rsidRPr="001556AE">
        <w:rPr>
          <w:rFonts w:eastAsia="Times New Roman"/>
        </w:rPr>
        <w:tab/>
      </w:r>
      <w:r w:rsidR="006358CC">
        <w:rPr>
          <w:rFonts w:eastAsia="Times New Roman"/>
        </w:rPr>
        <w:t>“</w:t>
      </w:r>
      <w:r w:rsidRPr="001556AE">
        <w:rPr>
          <w:rFonts w:eastAsia="Times New Roman"/>
          <w:i/>
        </w:rPr>
        <w:t>Angle d’essai du système de correction de l’inclinaison transversale du faisceau</w:t>
      </w:r>
      <w:r w:rsidR="006358CC">
        <w:rPr>
          <w:rFonts w:eastAsia="Times New Roman"/>
        </w:rPr>
        <w:t>”</w:t>
      </w:r>
      <w:r w:rsidRPr="001556AE">
        <w:rPr>
          <w:rFonts w:eastAsia="Times New Roman"/>
        </w:rPr>
        <w:t>, l’angle δ formé entre la ligne de coupure du</w:t>
      </w:r>
      <w:r w:rsidR="006358CC">
        <w:rPr>
          <w:rFonts w:eastAsia="Times New Roman"/>
        </w:rPr>
        <w:t xml:space="preserve"> </w:t>
      </w:r>
      <w:r w:rsidRPr="001556AE">
        <w:rPr>
          <w:rFonts w:eastAsia="Times New Roman"/>
        </w:rPr>
        <w:t>faisceau (ou la partie horizontale de la ligne de coupure dans le cas d’un projecteur émettant un faisceau asymétrique) et la ligne HH (voir le schéma à l’annexe 6)</w:t>
      </w:r>
      <w:r w:rsidR="006358CC">
        <w:rPr>
          <w:rFonts w:eastAsia="Times New Roman"/>
        </w:rPr>
        <w:t> </w:t>
      </w:r>
      <w:r w:rsidRPr="001556AE">
        <w:rPr>
          <w:rFonts w:eastAsia="Times New Roman"/>
        </w:rPr>
        <w:t>;</w:t>
      </w:r>
    </w:p>
    <w:p w:rsidR="005643A8" w:rsidRPr="008D48E4" w:rsidRDefault="005643A8" w:rsidP="005643A8">
      <w:pPr>
        <w:kinsoku/>
        <w:overflowPunct/>
        <w:autoSpaceDE/>
        <w:autoSpaceDN/>
        <w:adjustRightInd/>
        <w:snapToGrid/>
        <w:spacing w:after="120"/>
        <w:ind w:left="2268" w:right="1134" w:hanging="1134"/>
        <w:jc w:val="both"/>
        <w:rPr>
          <w:rFonts w:eastAsia="Times New Roman"/>
        </w:rPr>
      </w:pPr>
      <w:r w:rsidRPr="0074683A">
        <w:rPr>
          <w:rFonts w:eastAsia="Times New Roman"/>
        </w:rPr>
        <w:t>2.</w:t>
      </w:r>
      <w:r w:rsidRPr="008D48E4">
        <w:rPr>
          <w:rFonts w:eastAsia="Times New Roman"/>
          <w:b/>
        </w:rPr>
        <w:t>19</w:t>
      </w:r>
      <w:r w:rsidRPr="008D48E4">
        <w:rPr>
          <w:rFonts w:eastAsia="Times New Roman"/>
        </w:rPr>
        <w:tab/>
      </w:r>
      <w:r w:rsidR="006358CC">
        <w:rPr>
          <w:rFonts w:eastAsia="Times New Roman"/>
        </w:rPr>
        <w:t>“</w:t>
      </w:r>
      <w:r w:rsidRPr="008D48E4">
        <w:rPr>
          <w:rFonts w:eastAsia="Times New Roman"/>
          <w:i/>
        </w:rPr>
        <w:t>Dispositif</w:t>
      </w:r>
      <w:r w:rsidR="006358CC">
        <w:rPr>
          <w:rFonts w:eastAsia="Times New Roman"/>
        </w:rPr>
        <w:t>”</w:t>
      </w:r>
      <w:r w:rsidRPr="008D48E4">
        <w:rPr>
          <w:rFonts w:eastAsia="Times New Roman"/>
        </w:rPr>
        <w:t>, un élément ou une combinaison d’éléments servant à</w:t>
      </w:r>
      <w:r w:rsidR="006358CC">
        <w:rPr>
          <w:rFonts w:eastAsia="Times New Roman"/>
        </w:rPr>
        <w:t xml:space="preserve"> </w:t>
      </w:r>
      <w:r w:rsidRPr="008D48E4">
        <w:rPr>
          <w:rFonts w:eastAsia="Times New Roman"/>
        </w:rPr>
        <w:t>remplir une ou plusieurs fonctions</w:t>
      </w:r>
      <w:r w:rsidR="006358CC">
        <w:rPr>
          <w:rFonts w:eastAsia="Times New Roman"/>
        </w:rPr>
        <w:t> </w:t>
      </w:r>
      <w:r w:rsidRPr="008D48E4">
        <w:rPr>
          <w:rFonts w:eastAsia="Times New Roman"/>
        </w:rPr>
        <w:t>;</w:t>
      </w:r>
    </w:p>
    <w:p w:rsidR="005643A8" w:rsidRPr="001556AE" w:rsidRDefault="005643A8" w:rsidP="005643A8">
      <w:pPr>
        <w:kinsoku/>
        <w:overflowPunct/>
        <w:autoSpaceDE/>
        <w:autoSpaceDN/>
        <w:adjustRightInd/>
        <w:snapToGrid/>
        <w:spacing w:after="120"/>
        <w:ind w:left="2268" w:right="1134" w:hanging="1134"/>
        <w:jc w:val="both"/>
        <w:rPr>
          <w:rFonts w:eastAsia="Times New Roman"/>
          <w:bCs/>
        </w:rPr>
      </w:pPr>
      <w:r w:rsidRPr="001556AE">
        <w:rPr>
          <w:rFonts w:eastAsia="Times New Roman"/>
          <w:strike/>
        </w:rPr>
        <w:t>2.30</w:t>
      </w:r>
      <w:r w:rsidRPr="0013723D">
        <w:rPr>
          <w:rFonts w:eastAsia="Times New Roman"/>
        </w:rPr>
        <w:t xml:space="preserve"> </w:t>
      </w:r>
      <w:r w:rsidRPr="0013723D">
        <w:rPr>
          <w:rFonts w:eastAsia="Times New Roman"/>
          <w:b/>
        </w:rPr>
        <w:t>2.19</w:t>
      </w:r>
      <w:r w:rsidRPr="001556AE">
        <w:rPr>
          <w:rFonts w:eastAsia="Times New Roman"/>
        </w:rPr>
        <w:tab/>
      </w:r>
      <w:r w:rsidR="006358CC">
        <w:rPr>
          <w:rFonts w:eastAsia="Times New Roman"/>
        </w:rPr>
        <w:t>“</w:t>
      </w:r>
      <w:r w:rsidRPr="001556AE">
        <w:rPr>
          <w:rFonts w:eastAsia="Times New Roman"/>
          <w:i/>
        </w:rPr>
        <w:t>Éclairage de virage</w:t>
      </w:r>
      <w:r w:rsidR="006358CC">
        <w:rPr>
          <w:rFonts w:eastAsia="Times New Roman"/>
        </w:rPr>
        <w:t>”</w:t>
      </w:r>
      <w:r w:rsidRPr="001556AE">
        <w:rPr>
          <w:rFonts w:eastAsia="Times New Roman"/>
        </w:rPr>
        <w:t>, une fonction d’éclairage améliorant l’éclairage dans les virages</w:t>
      </w:r>
      <w:r w:rsidR="006358CC">
        <w:rPr>
          <w:rFonts w:eastAsia="Times New Roman"/>
        </w:rPr>
        <w:t> </w:t>
      </w:r>
      <w:r w:rsidRPr="001556AE">
        <w:rPr>
          <w:rFonts w:eastAsia="Times New Roman"/>
        </w:rPr>
        <w:t>;</w:t>
      </w:r>
    </w:p>
    <w:p w:rsidR="005643A8" w:rsidRPr="00BA2650" w:rsidRDefault="005643A8" w:rsidP="005643A8">
      <w:pPr>
        <w:kinsoku/>
        <w:overflowPunct/>
        <w:autoSpaceDE/>
        <w:autoSpaceDN/>
        <w:adjustRightInd/>
        <w:snapToGrid/>
        <w:spacing w:after="120"/>
        <w:ind w:left="2268" w:right="1469" w:hanging="1134"/>
        <w:jc w:val="both"/>
        <w:rPr>
          <w:rFonts w:eastAsia="Times New Roman"/>
          <w:bCs/>
        </w:rPr>
      </w:pPr>
      <w:r w:rsidRPr="00BA2650">
        <w:rPr>
          <w:rFonts w:eastAsia="Times New Roman"/>
          <w:bCs/>
          <w:strike/>
        </w:rPr>
        <w:t>2.31.</w:t>
      </w:r>
      <w:r w:rsidRPr="00BA2650">
        <w:rPr>
          <w:rFonts w:eastAsia="Times New Roman"/>
          <w:bCs/>
        </w:rPr>
        <w:t xml:space="preserve"> </w:t>
      </w:r>
      <w:r w:rsidRPr="00BA2650">
        <w:rPr>
          <w:rFonts w:eastAsia="Times New Roman"/>
          <w:b/>
          <w:bCs/>
        </w:rPr>
        <w:t>2.20</w:t>
      </w:r>
      <w:r w:rsidRPr="00BA2650">
        <w:rPr>
          <w:rFonts w:eastAsia="Times New Roman"/>
          <w:bCs/>
        </w:rPr>
        <w:tab/>
      </w:r>
      <w:r w:rsidR="006358CC">
        <w:rPr>
          <w:rFonts w:eastAsia="Times New Roman"/>
          <w:bCs/>
        </w:rPr>
        <w:t>“</w:t>
      </w:r>
      <w:r w:rsidR="006358CC">
        <w:rPr>
          <w:rFonts w:eastAsia="Times New Roman"/>
          <w:bCs/>
          <w:i/>
        </w:rPr>
        <w:t>Plan H</w:t>
      </w:r>
      <w:r w:rsidR="006358CC" w:rsidRPr="006358CC">
        <w:rPr>
          <w:rFonts w:eastAsia="Times New Roman"/>
          <w:bCs/>
        </w:rPr>
        <w:t>”</w:t>
      </w:r>
      <w:r w:rsidRPr="00BA2650">
        <w:rPr>
          <w:rFonts w:eastAsia="Times New Roman"/>
          <w:bCs/>
        </w:rPr>
        <w:t>, le plan horizontal contenant le centre de référence du feu</w:t>
      </w:r>
      <w:r w:rsidR="006358CC">
        <w:rPr>
          <w:rFonts w:eastAsia="Times New Roman"/>
          <w:bCs/>
        </w:rPr>
        <w:t> </w:t>
      </w:r>
      <w:r>
        <w:rPr>
          <w:rFonts w:eastAsia="Times New Roman"/>
          <w:bCs/>
        </w:rPr>
        <w:t>;</w:t>
      </w:r>
    </w:p>
    <w:p w:rsidR="005643A8" w:rsidRDefault="005643A8" w:rsidP="005643A8">
      <w:pPr>
        <w:kinsoku/>
        <w:overflowPunct/>
        <w:autoSpaceDE/>
        <w:autoSpaceDN/>
        <w:adjustRightInd/>
        <w:snapToGrid/>
        <w:spacing w:after="120"/>
        <w:ind w:left="2268" w:right="1469" w:hanging="1134"/>
        <w:jc w:val="both"/>
        <w:rPr>
          <w:rFonts w:eastAsia="Times New Roman"/>
          <w:bCs/>
          <w:i/>
        </w:rPr>
      </w:pPr>
      <w:r w:rsidRPr="006B03F1">
        <w:rPr>
          <w:rFonts w:eastAsia="Times New Roman"/>
          <w:bCs/>
          <w:strike/>
        </w:rPr>
        <w:t>2.32.</w:t>
      </w:r>
      <w:r w:rsidRPr="006B03F1">
        <w:rPr>
          <w:rFonts w:eastAsia="Times New Roman"/>
          <w:bCs/>
        </w:rPr>
        <w:t xml:space="preserve"> </w:t>
      </w:r>
      <w:r w:rsidRPr="006B03F1">
        <w:rPr>
          <w:rFonts w:eastAsia="Times New Roman"/>
          <w:b/>
          <w:bCs/>
        </w:rPr>
        <w:t>2.21</w:t>
      </w:r>
      <w:r w:rsidRPr="006B03F1">
        <w:rPr>
          <w:rFonts w:eastAsia="Times New Roman"/>
          <w:bCs/>
          <w:i/>
        </w:rPr>
        <w:tab/>
      </w:r>
      <w:r w:rsidR="006358CC" w:rsidRPr="006358CC">
        <w:rPr>
          <w:rFonts w:eastAsia="Times New Roman"/>
          <w:bCs/>
        </w:rPr>
        <w:t>“</w:t>
      </w:r>
      <w:r w:rsidRPr="0013723D">
        <w:rPr>
          <w:rFonts w:eastAsia="Times New Roman"/>
          <w:bCs/>
          <w:i/>
        </w:rPr>
        <w:t>Activation séquentielle</w:t>
      </w:r>
      <w:r w:rsidR="006358CC" w:rsidRPr="006358CC">
        <w:rPr>
          <w:rFonts w:eastAsia="Times New Roman"/>
          <w:bCs/>
        </w:rPr>
        <w:t>”</w:t>
      </w:r>
      <w:r w:rsidRPr="0013723D">
        <w:rPr>
          <w:rFonts w:eastAsia="Times New Roman"/>
          <w:bCs/>
        </w:rPr>
        <w:t>, un branchement électrique au sein duquel les différentes sources lumineuses d’un feu sont interconnectées de manière à être activées dans un ordre prédéterminé</w:t>
      </w:r>
      <w:r w:rsidR="006358CC">
        <w:rPr>
          <w:rFonts w:eastAsia="Times New Roman"/>
          <w:bCs/>
        </w:rPr>
        <w:t> </w:t>
      </w:r>
      <w:r>
        <w:rPr>
          <w:rFonts w:eastAsia="Times New Roman"/>
          <w:bCs/>
        </w:rPr>
        <w:t>;</w:t>
      </w:r>
      <w:r w:rsidRPr="0013723D">
        <w:rPr>
          <w:rFonts w:eastAsia="Times New Roman"/>
          <w:bCs/>
          <w:i/>
        </w:rPr>
        <w:t xml:space="preserve"> </w:t>
      </w:r>
    </w:p>
    <w:p w:rsidR="005643A8" w:rsidRPr="0013723D" w:rsidRDefault="005643A8" w:rsidP="005643A8">
      <w:pPr>
        <w:kinsoku/>
        <w:overflowPunct/>
        <w:autoSpaceDE/>
        <w:autoSpaceDN/>
        <w:adjustRightInd/>
        <w:snapToGrid/>
        <w:spacing w:before="40" w:line="240" w:lineRule="auto"/>
        <w:ind w:left="2268" w:right="1467" w:hanging="1134"/>
        <w:jc w:val="both"/>
        <w:rPr>
          <w:rFonts w:eastAsia="SimSun"/>
          <w:bCs/>
        </w:rPr>
      </w:pPr>
      <w:r w:rsidRPr="0013723D">
        <w:rPr>
          <w:rFonts w:eastAsia="SimSun"/>
          <w:bCs/>
          <w:strike/>
        </w:rPr>
        <w:t>2.33.</w:t>
      </w:r>
      <w:r w:rsidRPr="00BA2650">
        <w:rPr>
          <w:rFonts w:eastAsia="SimSun"/>
          <w:bCs/>
        </w:rPr>
        <w:t xml:space="preserve"> </w:t>
      </w:r>
      <w:r w:rsidRPr="0013723D">
        <w:rPr>
          <w:rFonts w:eastAsia="SimSun"/>
          <w:b/>
          <w:bCs/>
        </w:rPr>
        <w:t>2.22</w:t>
      </w:r>
      <w:r w:rsidRPr="0013723D">
        <w:rPr>
          <w:rFonts w:eastAsia="SimSun"/>
          <w:bCs/>
        </w:rPr>
        <w:tab/>
      </w:r>
      <w:r w:rsidR="006358CC">
        <w:rPr>
          <w:rFonts w:eastAsia="SimSun"/>
          <w:bCs/>
        </w:rPr>
        <w:t>“</w:t>
      </w:r>
      <w:r w:rsidRPr="0013723D">
        <w:rPr>
          <w:rFonts w:eastAsia="SimSun"/>
          <w:bCs/>
          <w:i/>
        </w:rPr>
        <w:t>Signal de freinage d’urgence</w:t>
      </w:r>
      <w:r w:rsidR="006358CC">
        <w:rPr>
          <w:rFonts w:eastAsia="SimSun"/>
          <w:bCs/>
        </w:rPr>
        <w:t>”</w:t>
      </w:r>
      <w:r w:rsidRPr="0013723D">
        <w:rPr>
          <w:rFonts w:eastAsia="SimSun"/>
          <w:bCs/>
        </w:rPr>
        <w:t>, un signal qui indique aux usagers de la route qui se trouvent en arrière du véhicule qu’une puissante force de ralentissement a été appliquée au véhicule en raison des conditions de circulation</w:t>
      </w:r>
      <w:r>
        <w:rPr>
          <w:rFonts w:eastAsia="SimSun"/>
          <w:bCs/>
        </w:rPr>
        <w:t>.</w:t>
      </w:r>
    </w:p>
    <w:p w:rsidR="005643A8" w:rsidRPr="006358CC" w:rsidRDefault="006358CC" w:rsidP="005643A8">
      <w:pPr>
        <w:kinsoku/>
        <w:overflowPunct/>
        <w:autoSpaceDE/>
        <w:autoSpaceDN/>
        <w:adjustRightInd/>
        <w:snapToGrid/>
        <w:spacing w:before="40" w:line="240" w:lineRule="auto"/>
        <w:ind w:left="2268" w:right="1467" w:hanging="1134"/>
        <w:jc w:val="both"/>
        <w:rPr>
          <w:rFonts w:eastAsia="SimSun"/>
        </w:rPr>
      </w:pPr>
      <w:r>
        <w:rPr>
          <w:rFonts w:eastAsia="SimSun"/>
        </w:rPr>
        <w:t>… »</w:t>
      </w:r>
      <w:r w:rsidR="005643A8" w:rsidRPr="006358CC">
        <w:rPr>
          <w:rFonts w:eastAsia="SimSun"/>
        </w:rPr>
        <w:t>.</w:t>
      </w:r>
    </w:p>
    <w:p w:rsidR="005643A8" w:rsidRPr="006358CC" w:rsidRDefault="006358CC" w:rsidP="006358CC">
      <w:pPr>
        <w:pStyle w:val="HChG"/>
        <w:rPr>
          <w:szCs w:val="22"/>
        </w:rPr>
      </w:pPr>
      <w:r>
        <w:rPr>
          <w:lang w:val="en-GB"/>
        </w:rPr>
        <w:lastRenderedPageBreak/>
        <w:tab/>
      </w:r>
      <w:r w:rsidRPr="006358CC">
        <w:t>II.</w:t>
      </w:r>
      <w:r w:rsidRPr="006358CC">
        <w:tab/>
        <w:t>Justification</w:t>
      </w:r>
    </w:p>
    <w:p w:rsidR="005643A8" w:rsidRPr="00BA2650" w:rsidRDefault="005643A8" w:rsidP="005643A8">
      <w:pPr>
        <w:kinsoku/>
        <w:overflowPunct/>
        <w:autoSpaceDE/>
        <w:autoSpaceDN/>
        <w:adjustRightInd/>
        <w:snapToGrid/>
        <w:spacing w:after="120"/>
        <w:ind w:left="1134" w:right="1134"/>
        <w:jc w:val="both"/>
        <w:rPr>
          <w:rFonts w:eastAsia="Times New Roman"/>
        </w:rPr>
      </w:pPr>
      <w:r w:rsidRPr="00BA2650">
        <w:rPr>
          <w:rFonts w:eastAsia="Times New Roman"/>
        </w:rPr>
        <w:t>1.</w:t>
      </w:r>
      <w:r w:rsidRPr="00BA2650">
        <w:rPr>
          <w:rFonts w:eastAsia="Times New Roman"/>
        </w:rPr>
        <w:tab/>
        <w:t xml:space="preserve">La définition de </w:t>
      </w:r>
      <w:r w:rsidR="006358CC">
        <w:rPr>
          <w:rFonts w:eastAsia="Times New Roman"/>
        </w:rPr>
        <w:t>« </w:t>
      </w:r>
      <w:r w:rsidRPr="00BA2650">
        <w:rPr>
          <w:rFonts w:eastAsia="Times New Roman"/>
        </w:rPr>
        <w:t>dispositif</w:t>
      </w:r>
      <w:r w:rsidR="006358CC">
        <w:rPr>
          <w:rFonts w:eastAsia="Times New Roman"/>
        </w:rPr>
        <w:t> »</w:t>
      </w:r>
      <w:r w:rsidRPr="00BA2650">
        <w:rPr>
          <w:rFonts w:eastAsia="Times New Roman"/>
        </w:rPr>
        <w:t xml:space="preserve"> </w:t>
      </w:r>
      <w:r>
        <w:rPr>
          <w:rFonts w:eastAsia="Times New Roman"/>
        </w:rPr>
        <w:t xml:space="preserve">qui figure </w:t>
      </w:r>
      <w:r w:rsidRPr="00BA2650">
        <w:rPr>
          <w:rFonts w:eastAsia="Times New Roman"/>
        </w:rPr>
        <w:t xml:space="preserve">dans le Règlement </w:t>
      </w:r>
      <w:r>
        <w:rPr>
          <w:rFonts w:eastAsia="Times New Roman"/>
        </w:rPr>
        <w:t xml:space="preserve">ONU </w:t>
      </w:r>
      <w:r w:rsidR="006358CC" w:rsidRPr="006358CC">
        <w:rPr>
          <w:rFonts w:eastAsia="MS Mincho"/>
          <w:szCs w:val="22"/>
        </w:rPr>
        <w:t>n</w:t>
      </w:r>
      <w:r w:rsidR="006358CC" w:rsidRPr="006358CC">
        <w:rPr>
          <w:rFonts w:eastAsia="MS Mincho"/>
          <w:szCs w:val="22"/>
          <w:vertAlign w:val="superscript"/>
        </w:rPr>
        <w:t>o</w:t>
      </w:r>
      <w:r w:rsidR="006358CC">
        <w:rPr>
          <w:rFonts w:eastAsia="Times New Roman"/>
        </w:rPr>
        <w:t> </w:t>
      </w:r>
      <w:r w:rsidRPr="00BA2650">
        <w:rPr>
          <w:rFonts w:eastAsia="Times New Roman"/>
        </w:rPr>
        <w:t>53</w:t>
      </w:r>
      <w:r>
        <w:rPr>
          <w:rFonts w:eastAsia="Times New Roman"/>
        </w:rPr>
        <w:t xml:space="preserve"> n’aurait pas dû être supprimée, car elle n’est pas la même que celle qui est donnée dans le Règlement ONU </w:t>
      </w:r>
      <w:r w:rsidR="006358CC" w:rsidRPr="006358CC">
        <w:rPr>
          <w:rFonts w:eastAsia="MS Mincho"/>
          <w:szCs w:val="22"/>
        </w:rPr>
        <w:t>n</w:t>
      </w:r>
      <w:r w:rsidR="006358CC" w:rsidRPr="006358CC">
        <w:rPr>
          <w:rFonts w:eastAsia="MS Mincho"/>
          <w:szCs w:val="22"/>
          <w:vertAlign w:val="superscript"/>
        </w:rPr>
        <w:t>o</w:t>
      </w:r>
      <w:r w:rsidR="006358CC">
        <w:rPr>
          <w:rFonts w:eastAsia="Times New Roman"/>
        </w:rPr>
        <w:t> </w:t>
      </w:r>
      <w:r>
        <w:rPr>
          <w:rFonts w:eastAsia="Times New Roman"/>
        </w:rPr>
        <w:t xml:space="preserve">48. La présente proposition vise à remettre la définition </w:t>
      </w:r>
      <w:r w:rsidRPr="00BA2650">
        <w:rPr>
          <w:rFonts w:eastAsia="Times New Roman"/>
        </w:rPr>
        <w:t xml:space="preserve">de </w:t>
      </w:r>
      <w:r w:rsidR="006358CC">
        <w:rPr>
          <w:rFonts w:eastAsia="Times New Roman"/>
        </w:rPr>
        <w:t>« </w:t>
      </w:r>
      <w:r w:rsidRPr="00BA2650">
        <w:rPr>
          <w:rFonts w:eastAsia="Times New Roman"/>
        </w:rPr>
        <w:t>dispositif</w:t>
      </w:r>
      <w:r w:rsidR="006358CC">
        <w:rPr>
          <w:rFonts w:eastAsia="Times New Roman"/>
        </w:rPr>
        <w:t> »</w:t>
      </w:r>
      <w:r w:rsidRPr="00BA2650">
        <w:t xml:space="preserve"> </w:t>
      </w:r>
      <w:r w:rsidRPr="00BA2650">
        <w:rPr>
          <w:rFonts w:eastAsia="Times New Roman"/>
        </w:rPr>
        <w:t xml:space="preserve">dans le Règlement </w:t>
      </w:r>
      <w:r>
        <w:rPr>
          <w:rFonts w:eastAsia="Times New Roman"/>
        </w:rPr>
        <w:t xml:space="preserve">ONU </w:t>
      </w:r>
      <w:r w:rsidR="006358CC" w:rsidRPr="006358CC">
        <w:rPr>
          <w:rFonts w:eastAsia="MS Mincho"/>
          <w:szCs w:val="22"/>
        </w:rPr>
        <w:t>n</w:t>
      </w:r>
      <w:r w:rsidR="006358CC" w:rsidRPr="006358CC">
        <w:rPr>
          <w:rFonts w:eastAsia="MS Mincho"/>
          <w:szCs w:val="22"/>
          <w:vertAlign w:val="superscript"/>
        </w:rPr>
        <w:t>o</w:t>
      </w:r>
      <w:r w:rsidR="006358CC">
        <w:rPr>
          <w:rFonts w:eastAsia="Times New Roman"/>
        </w:rPr>
        <w:t> </w:t>
      </w:r>
      <w:r w:rsidRPr="00BA2650">
        <w:rPr>
          <w:rFonts w:eastAsia="Times New Roman"/>
        </w:rPr>
        <w:t>53</w:t>
      </w:r>
      <w:r>
        <w:rPr>
          <w:rFonts w:eastAsia="Times New Roman"/>
        </w:rPr>
        <w:t xml:space="preserve">. Afin d’éviter de devoir renuméroter les sous-paragraphes, </w:t>
      </w:r>
      <w:r w:rsidRPr="008B0423">
        <w:rPr>
          <w:rFonts w:eastAsia="Times New Roman"/>
        </w:rPr>
        <w:t>l</w:t>
      </w:r>
      <w:r w:rsidR="006358CC">
        <w:rPr>
          <w:rFonts w:eastAsia="Times New Roman"/>
        </w:rPr>
        <w:t>a définition de « </w:t>
      </w:r>
      <w:r w:rsidRPr="008B0423">
        <w:rPr>
          <w:rFonts w:eastAsia="Times New Roman"/>
        </w:rPr>
        <w:t>dispositif</w:t>
      </w:r>
      <w:r w:rsidR="006358CC">
        <w:rPr>
          <w:rFonts w:eastAsia="Times New Roman"/>
        </w:rPr>
        <w:t> »</w:t>
      </w:r>
      <w:r w:rsidRPr="008B0423">
        <w:rPr>
          <w:rFonts w:eastAsia="Times New Roman"/>
        </w:rPr>
        <w:t xml:space="preserve"> </w:t>
      </w:r>
      <w:r>
        <w:rPr>
          <w:rFonts w:eastAsia="Times New Roman"/>
        </w:rPr>
        <w:t xml:space="preserve">a été déplacée à la fin du paragraphe, au sous-paragraphe 2.19. </w:t>
      </w:r>
    </w:p>
    <w:p w:rsidR="00F9573C" w:rsidRDefault="005643A8" w:rsidP="004758DF">
      <w:pPr>
        <w:pStyle w:val="SingleTxtG"/>
        <w:rPr>
          <w:rFonts w:eastAsia="Times New Roman"/>
        </w:rPr>
      </w:pPr>
      <w:r w:rsidRPr="008B0423">
        <w:rPr>
          <w:rFonts w:eastAsia="Times New Roman"/>
        </w:rPr>
        <w:t>2.</w:t>
      </w:r>
      <w:r w:rsidRPr="008B0423">
        <w:rPr>
          <w:rFonts w:eastAsia="Times New Roman"/>
        </w:rPr>
        <w:tab/>
        <w:t>Les définitions de</w:t>
      </w:r>
      <w:r>
        <w:rPr>
          <w:rFonts w:eastAsia="Times New Roman"/>
        </w:rPr>
        <w:t xml:space="preserve"> </w:t>
      </w:r>
      <w:r w:rsidR="006358CC">
        <w:rPr>
          <w:rFonts w:eastAsia="Times New Roman"/>
        </w:rPr>
        <w:t>« </w:t>
      </w:r>
      <w:r>
        <w:rPr>
          <w:rFonts w:eastAsia="Times New Roman"/>
        </w:rPr>
        <w:t>p</w:t>
      </w:r>
      <w:r w:rsidRPr="008B0423">
        <w:rPr>
          <w:rFonts w:eastAsia="Times New Roman"/>
        </w:rPr>
        <w:t>lan H</w:t>
      </w:r>
      <w:r w:rsidR="006358CC">
        <w:rPr>
          <w:rFonts w:eastAsia="Times New Roman"/>
        </w:rPr>
        <w:t> »</w:t>
      </w:r>
      <w:r w:rsidRPr="008B0423">
        <w:rPr>
          <w:rFonts w:eastAsia="Times New Roman"/>
        </w:rPr>
        <w:t>,</w:t>
      </w:r>
      <w:r w:rsidRPr="008B0423">
        <w:t xml:space="preserve"> </w:t>
      </w:r>
      <w:r w:rsidR="006358CC">
        <w:t>« </w:t>
      </w:r>
      <w:r>
        <w:rPr>
          <w:rFonts w:eastAsia="Times New Roman"/>
        </w:rPr>
        <w:t>a</w:t>
      </w:r>
      <w:r w:rsidRPr="008B0423">
        <w:rPr>
          <w:rFonts w:eastAsia="Times New Roman"/>
        </w:rPr>
        <w:t>ctivation séquentielle</w:t>
      </w:r>
      <w:r w:rsidR="006358CC">
        <w:rPr>
          <w:rFonts w:eastAsia="Times New Roman"/>
        </w:rPr>
        <w:t> »</w:t>
      </w:r>
      <w:r>
        <w:rPr>
          <w:rFonts w:eastAsia="Times New Roman"/>
        </w:rPr>
        <w:t xml:space="preserve"> et </w:t>
      </w:r>
      <w:r w:rsidR="006358CC">
        <w:rPr>
          <w:rFonts w:eastAsia="Times New Roman"/>
        </w:rPr>
        <w:t>« </w:t>
      </w:r>
      <w:r>
        <w:rPr>
          <w:rFonts w:eastAsia="Times New Roman"/>
        </w:rPr>
        <w:t>s</w:t>
      </w:r>
      <w:r w:rsidRPr="00CF560E">
        <w:rPr>
          <w:rFonts w:eastAsia="Times New Roman"/>
        </w:rPr>
        <w:t>ignal de freinage d’urgence</w:t>
      </w:r>
      <w:r w:rsidR="006358CC">
        <w:rPr>
          <w:rFonts w:eastAsia="Times New Roman"/>
        </w:rPr>
        <w:t> »</w:t>
      </w:r>
      <w:r w:rsidRPr="00CF560E">
        <w:rPr>
          <w:rFonts w:eastAsia="Times New Roman"/>
        </w:rPr>
        <w:t>,</w:t>
      </w:r>
      <w:r>
        <w:rPr>
          <w:rFonts w:eastAsia="Times New Roman"/>
        </w:rPr>
        <w:t xml:space="preserve"> doivent être supprimées car elles sont identiques à celles qu</w:t>
      </w:r>
      <w:r w:rsidR="006358CC">
        <w:rPr>
          <w:rFonts w:eastAsia="Times New Roman"/>
        </w:rPr>
        <w:t xml:space="preserve">i figurent dans le Règlement </w:t>
      </w:r>
      <w:r w:rsidR="006358CC" w:rsidRPr="006358CC">
        <w:rPr>
          <w:rFonts w:eastAsia="MS Mincho"/>
          <w:szCs w:val="22"/>
        </w:rPr>
        <w:t>n</w:t>
      </w:r>
      <w:r w:rsidR="006358CC" w:rsidRPr="006358CC">
        <w:rPr>
          <w:rFonts w:eastAsia="MS Mincho"/>
          <w:szCs w:val="22"/>
          <w:vertAlign w:val="superscript"/>
        </w:rPr>
        <w:t>o</w:t>
      </w:r>
      <w:r w:rsidR="006358CC">
        <w:rPr>
          <w:rFonts w:eastAsia="Times New Roman"/>
        </w:rPr>
        <w:t> </w:t>
      </w:r>
      <w:r>
        <w:rPr>
          <w:rFonts w:eastAsia="Times New Roman"/>
        </w:rPr>
        <w:t>48.</w:t>
      </w:r>
    </w:p>
    <w:p w:rsidR="006358CC" w:rsidRPr="006358CC" w:rsidRDefault="006358CC" w:rsidP="006358CC">
      <w:pPr>
        <w:pStyle w:val="SingleTxtG"/>
        <w:spacing w:before="240" w:after="0"/>
        <w:jc w:val="center"/>
        <w:rPr>
          <w:u w:val="single"/>
        </w:rPr>
      </w:pPr>
      <w:r>
        <w:rPr>
          <w:u w:val="single"/>
        </w:rPr>
        <w:tab/>
      </w:r>
      <w:r>
        <w:rPr>
          <w:u w:val="single"/>
        </w:rPr>
        <w:tab/>
      </w:r>
      <w:r>
        <w:rPr>
          <w:u w:val="single"/>
        </w:rPr>
        <w:tab/>
      </w:r>
    </w:p>
    <w:sectPr w:rsidR="006358CC" w:rsidRPr="006358CC" w:rsidSect="005643A8">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422" w:rsidRDefault="008D2422" w:rsidP="00F95C08">
      <w:pPr>
        <w:spacing w:line="240" w:lineRule="auto"/>
      </w:pPr>
    </w:p>
  </w:endnote>
  <w:endnote w:type="continuationSeparator" w:id="0">
    <w:p w:rsidR="008D2422" w:rsidRPr="00AC3823" w:rsidRDefault="008D2422" w:rsidP="00AC3823">
      <w:pPr>
        <w:pStyle w:val="Footer"/>
      </w:pPr>
    </w:p>
  </w:endnote>
  <w:endnote w:type="continuationNotice" w:id="1">
    <w:p w:rsidR="008D2422" w:rsidRDefault="008D24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3A8" w:rsidRPr="005643A8" w:rsidRDefault="005643A8" w:rsidP="005643A8">
    <w:pPr>
      <w:pStyle w:val="Footer"/>
      <w:tabs>
        <w:tab w:val="right" w:pos="9638"/>
      </w:tabs>
    </w:pPr>
    <w:r w:rsidRPr="005643A8">
      <w:rPr>
        <w:b/>
        <w:sz w:val="18"/>
      </w:rPr>
      <w:fldChar w:fldCharType="begin"/>
    </w:r>
    <w:r w:rsidRPr="005643A8">
      <w:rPr>
        <w:b/>
        <w:sz w:val="18"/>
      </w:rPr>
      <w:instrText xml:space="preserve"> PAGE  \* MERGEFORMAT </w:instrText>
    </w:r>
    <w:r w:rsidRPr="005643A8">
      <w:rPr>
        <w:b/>
        <w:sz w:val="18"/>
      </w:rPr>
      <w:fldChar w:fldCharType="separate"/>
    </w:r>
    <w:r w:rsidR="000E6F8C">
      <w:rPr>
        <w:b/>
        <w:noProof/>
        <w:sz w:val="18"/>
      </w:rPr>
      <w:t>2</w:t>
    </w:r>
    <w:r w:rsidRPr="005643A8">
      <w:rPr>
        <w:b/>
        <w:sz w:val="18"/>
      </w:rPr>
      <w:fldChar w:fldCharType="end"/>
    </w:r>
    <w:r>
      <w:rPr>
        <w:b/>
        <w:sz w:val="18"/>
      </w:rPr>
      <w:tab/>
    </w:r>
    <w:r>
      <w:t>GE.18-13085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3A8" w:rsidRPr="005643A8" w:rsidRDefault="005643A8" w:rsidP="005643A8">
    <w:pPr>
      <w:pStyle w:val="Footer"/>
      <w:tabs>
        <w:tab w:val="right" w:pos="9638"/>
      </w:tabs>
      <w:rPr>
        <w:b/>
        <w:sz w:val="18"/>
      </w:rPr>
    </w:pPr>
    <w:r>
      <w:t>GE.18-13085</w:t>
    </w:r>
    <w:r>
      <w:tab/>
    </w:r>
    <w:r w:rsidRPr="005643A8">
      <w:rPr>
        <w:b/>
        <w:sz w:val="18"/>
      </w:rPr>
      <w:fldChar w:fldCharType="begin"/>
    </w:r>
    <w:r w:rsidRPr="005643A8">
      <w:rPr>
        <w:b/>
        <w:sz w:val="18"/>
      </w:rPr>
      <w:instrText xml:space="preserve"> PAGE  \* MERGEFORMAT </w:instrText>
    </w:r>
    <w:r w:rsidRPr="005643A8">
      <w:rPr>
        <w:b/>
        <w:sz w:val="18"/>
      </w:rPr>
      <w:fldChar w:fldCharType="separate"/>
    </w:r>
    <w:r w:rsidR="004758DF">
      <w:rPr>
        <w:b/>
        <w:noProof/>
        <w:sz w:val="18"/>
      </w:rPr>
      <w:t>3</w:t>
    </w:r>
    <w:r w:rsidRPr="005643A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0FA" w:rsidRPr="005643A8" w:rsidRDefault="005643A8" w:rsidP="005643A8">
    <w:pPr>
      <w:pStyle w:val="Footer"/>
      <w:spacing w:before="120"/>
      <w:rPr>
        <w:sz w:val="20"/>
      </w:rPr>
    </w:pPr>
    <w:r>
      <w:rPr>
        <w:sz w:val="20"/>
      </w:rPr>
      <w:t>GE.</w:t>
    </w:r>
    <w:r w:rsidR="007F20FA">
      <w:rPr>
        <w:noProof/>
        <w:lang w:eastAsia="fr-CH"/>
      </w:rPr>
      <w:drawing>
        <wp:anchor distT="0" distB="0" distL="114300" distR="114300" simplePos="0" relativeHeight="251660288"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18-13085  (F)    200818    070918</w:t>
    </w:r>
    <w:r>
      <w:rPr>
        <w:sz w:val="20"/>
      </w:rPr>
      <w:br/>
    </w:r>
    <w:r w:rsidRPr="005643A8">
      <w:rPr>
        <w:rFonts w:ascii="C39T30Lfz" w:hAnsi="C39T30Lfz"/>
        <w:sz w:val="56"/>
      </w:rPr>
      <w:t></w:t>
    </w:r>
    <w:r w:rsidRPr="005643A8">
      <w:rPr>
        <w:rFonts w:ascii="C39T30Lfz" w:hAnsi="C39T30Lfz"/>
        <w:sz w:val="56"/>
      </w:rPr>
      <w:t></w:t>
    </w:r>
    <w:r w:rsidRPr="005643A8">
      <w:rPr>
        <w:rFonts w:ascii="C39T30Lfz" w:hAnsi="C39T30Lfz"/>
        <w:sz w:val="56"/>
      </w:rPr>
      <w:t></w:t>
    </w:r>
    <w:r w:rsidRPr="005643A8">
      <w:rPr>
        <w:rFonts w:ascii="C39T30Lfz" w:hAnsi="C39T30Lfz"/>
        <w:sz w:val="56"/>
      </w:rPr>
      <w:t></w:t>
    </w:r>
    <w:r w:rsidRPr="005643A8">
      <w:rPr>
        <w:rFonts w:ascii="C39T30Lfz" w:hAnsi="C39T30Lfz"/>
        <w:sz w:val="56"/>
      </w:rPr>
      <w:t></w:t>
    </w:r>
    <w:r w:rsidRPr="005643A8">
      <w:rPr>
        <w:rFonts w:ascii="C39T30Lfz" w:hAnsi="C39T30Lfz"/>
        <w:sz w:val="56"/>
      </w:rPr>
      <w:t></w:t>
    </w:r>
    <w:r w:rsidRPr="005643A8">
      <w:rPr>
        <w:rFonts w:ascii="C39T30Lfz" w:hAnsi="C39T30Lfz"/>
        <w:sz w:val="56"/>
      </w:rPr>
      <w:t></w:t>
    </w:r>
    <w:r w:rsidRPr="005643A8">
      <w:rPr>
        <w:rFonts w:ascii="C39T30Lfz" w:hAnsi="C39T30Lfz"/>
        <w:sz w:val="56"/>
      </w:rPr>
      <w:t></w:t>
    </w:r>
    <w:r w:rsidRPr="005643A8">
      <w:rPr>
        <w:rFonts w:ascii="C39T30Lfz" w:hAnsi="C39T30Lfz"/>
        <w:sz w:val="56"/>
      </w:rPr>
      <w:t></w:t>
    </w:r>
    <w:r>
      <w:rPr>
        <w:noProof/>
        <w:sz w:val="20"/>
        <w:lang w:eastAsia="fr-CH"/>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GRE/2018/35&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35&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422" w:rsidRPr="00AC3823" w:rsidRDefault="008D2422" w:rsidP="00AC3823">
      <w:pPr>
        <w:pStyle w:val="Footer"/>
        <w:tabs>
          <w:tab w:val="right" w:pos="2155"/>
        </w:tabs>
        <w:spacing w:after="80" w:line="240" w:lineRule="atLeast"/>
        <w:ind w:left="680"/>
        <w:rPr>
          <w:u w:val="single"/>
        </w:rPr>
      </w:pPr>
      <w:r>
        <w:rPr>
          <w:u w:val="single"/>
        </w:rPr>
        <w:tab/>
      </w:r>
    </w:p>
  </w:footnote>
  <w:footnote w:type="continuationSeparator" w:id="0">
    <w:p w:rsidR="008D2422" w:rsidRPr="00AC3823" w:rsidRDefault="008D2422" w:rsidP="00AC3823">
      <w:pPr>
        <w:pStyle w:val="Footer"/>
        <w:tabs>
          <w:tab w:val="right" w:pos="2155"/>
        </w:tabs>
        <w:spacing w:after="80" w:line="240" w:lineRule="atLeast"/>
        <w:ind w:left="680"/>
        <w:rPr>
          <w:u w:val="single"/>
        </w:rPr>
      </w:pPr>
      <w:r>
        <w:rPr>
          <w:u w:val="single"/>
        </w:rPr>
        <w:tab/>
      </w:r>
    </w:p>
  </w:footnote>
  <w:footnote w:type="continuationNotice" w:id="1">
    <w:p w:rsidR="008D2422" w:rsidRPr="00AC3823" w:rsidRDefault="008D2422">
      <w:pPr>
        <w:spacing w:line="240" w:lineRule="auto"/>
        <w:rPr>
          <w:sz w:val="2"/>
          <w:szCs w:val="2"/>
        </w:rPr>
      </w:pPr>
    </w:p>
  </w:footnote>
  <w:footnote w:id="2">
    <w:p w:rsidR="005643A8" w:rsidRPr="005643A8" w:rsidRDefault="005643A8">
      <w:pPr>
        <w:pStyle w:val="FootnoteText"/>
      </w:pPr>
      <w:r>
        <w:rPr>
          <w:rStyle w:val="FootnoteReference"/>
        </w:rPr>
        <w:tab/>
      </w:r>
      <w:r w:rsidRPr="005643A8">
        <w:rPr>
          <w:rStyle w:val="FootnoteReference"/>
          <w:sz w:val="20"/>
          <w:vertAlign w:val="baseline"/>
        </w:rPr>
        <w:t>*</w:t>
      </w:r>
      <w:r>
        <w:rPr>
          <w:rStyle w:val="FootnoteReference"/>
          <w:sz w:val="20"/>
          <w:vertAlign w:val="baseline"/>
        </w:rPr>
        <w:tab/>
      </w:r>
      <w:r w:rsidRPr="000045B2">
        <w:rPr>
          <w:szCs w:val="18"/>
        </w:rPr>
        <w:t xml:space="preserve">Conformément au programme de </w:t>
      </w:r>
      <w:r w:rsidRPr="006358CC">
        <w:rPr>
          <w:spacing w:val="-2"/>
          <w:szCs w:val="18"/>
        </w:rPr>
        <w:t>travail du Comité des transports intérieurs pour</w:t>
      </w:r>
      <w:r w:rsidRPr="000045B2">
        <w:rPr>
          <w:szCs w:val="18"/>
        </w:rPr>
        <w:t xml:space="preserve"> la période</w:t>
      </w:r>
      <w:r>
        <w:rPr>
          <w:szCs w:val="18"/>
        </w:rPr>
        <w:t xml:space="preserve"> 2018-2019 (ECE/TRANS/274, par. </w:t>
      </w:r>
      <w:r w:rsidRPr="000045B2">
        <w:rPr>
          <w:szCs w:val="18"/>
        </w:rPr>
        <w:t>123, et ECE/TRANS/2018/21/Add.1, module 3.1),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3A8" w:rsidRPr="005643A8" w:rsidRDefault="002A7D7C">
    <w:pPr>
      <w:pStyle w:val="Header"/>
    </w:pPr>
    <w:r>
      <w:fldChar w:fldCharType="begin"/>
    </w:r>
    <w:r>
      <w:instrText xml:space="preserve"> TITLE  \* MERGEFORMAT </w:instrText>
    </w:r>
    <w:r>
      <w:fldChar w:fldCharType="separate"/>
    </w:r>
    <w:r w:rsidR="0074683A">
      <w:t>ECE/TRANS/WP.29/GRE/2018/35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3A8" w:rsidRPr="005643A8" w:rsidRDefault="002A7D7C" w:rsidP="005643A8">
    <w:pPr>
      <w:pStyle w:val="Header"/>
      <w:jc w:val="right"/>
    </w:pPr>
    <w:r>
      <w:fldChar w:fldCharType="begin"/>
    </w:r>
    <w:r>
      <w:instrText xml:space="preserve"> TITLE  \* MERGEFORMAT </w:instrText>
    </w:r>
    <w:r>
      <w:fldChar w:fldCharType="separate"/>
    </w:r>
    <w:r w:rsidR="0074683A">
      <w:t>ECE/TRANS/WP.29/GRE/2018/35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5CB1"/>
    <w:multiLevelType w:val="hybridMultilevel"/>
    <w:tmpl w:val="E80A63E2"/>
    <w:lvl w:ilvl="0" w:tplc="2CAE5A48">
      <w:numFmt w:val="bullet"/>
      <w:lvlText w:val="-"/>
      <w:lvlJc w:val="left"/>
      <w:pPr>
        <w:ind w:left="2061" w:hanging="360"/>
      </w:pPr>
      <w:rPr>
        <w:rFonts w:ascii="Times New Roman" w:eastAsia="SimSun" w:hAnsi="Times New Roman"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1"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2"/>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22"/>
    <w:rsid w:val="00017F94"/>
    <w:rsid w:val="00023842"/>
    <w:rsid w:val="000334F9"/>
    <w:rsid w:val="00045FEB"/>
    <w:rsid w:val="0007796D"/>
    <w:rsid w:val="000B7790"/>
    <w:rsid w:val="000E6F8C"/>
    <w:rsid w:val="00111F2F"/>
    <w:rsid w:val="0014365E"/>
    <w:rsid w:val="00143C66"/>
    <w:rsid w:val="00176178"/>
    <w:rsid w:val="001F525A"/>
    <w:rsid w:val="00223272"/>
    <w:rsid w:val="0024779E"/>
    <w:rsid w:val="00257168"/>
    <w:rsid w:val="002744B8"/>
    <w:rsid w:val="002832AC"/>
    <w:rsid w:val="00284058"/>
    <w:rsid w:val="002A7D7C"/>
    <w:rsid w:val="002D7C93"/>
    <w:rsid w:val="00305801"/>
    <w:rsid w:val="003916DE"/>
    <w:rsid w:val="00421996"/>
    <w:rsid w:val="00425786"/>
    <w:rsid w:val="00441C3B"/>
    <w:rsid w:val="00446FE5"/>
    <w:rsid w:val="00452396"/>
    <w:rsid w:val="004758DF"/>
    <w:rsid w:val="004837D8"/>
    <w:rsid w:val="004E2EED"/>
    <w:rsid w:val="004E468C"/>
    <w:rsid w:val="005505B7"/>
    <w:rsid w:val="005643A8"/>
    <w:rsid w:val="00573BE5"/>
    <w:rsid w:val="00586ED3"/>
    <w:rsid w:val="00596AA9"/>
    <w:rsid w:val="006358CC"/>
    <w:rsid w:val="0071601D"/>
    <w:rsid w:val="0074683A"/>
    <w:rsid w:val="007A62E6"/>
    <w:rsid w:val="007F20FA"/>
    <w:rsid w:val="0080684C"/>
    <w:rsid w:val="00871C75"/>
    <w:rsid w:val="008776DC"/>
    <w:rsid w:val="008D2422"/>
    <w:rsid w:val="009446C0"/>
    <w:rsid w:val="009705C8"/>
    <w:rsid w:val="009C1CF4"/>
    <w:rsid w:val="009F6B74"/>
    <w:rsid w:val="00A3029F"/>
    <w:rsid w:val="00A30353"/>
    <w:rsid w:val="00AC3823"/>
    <w:rsid w:val="00AE323C"/>
    <w:rsid w:val="00AF0CB5"/>
    <w:rsid w:val="00B00181"/>
    <w:rsid w:val="00B00B0D"/>
    <w:rsid w:val="00B45F2E"/>
    <w:rsid w:val="00B765F7"/>
    <w:rsid w:val="00BA0CA9"/>
    <w:rsid w:val="00C02897"/>
    <w:rsid w:val="00C97039"/>
    <w:rsid w:val="00D3439C"/>
    <w:rsid w:val="00DB1831"/>
    <w:rsid w:val="00DD3BFD"/>
    <w:rsid w:val="00DF6678"/>
    <w:rsid w:val="00E0299A"/>
    <w:rsid w:val="00E85C74"/>
    <w:rsid w:val="00EA654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F8D8442-C545-464D-A4F2-CC256C13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Footnote Reference),-E Fußnotenzeichen,BVI fnr, BVI fnr,Footnote symbol,Footnote,Footnote Reference Superscript,SUPERS"/>
    <w:basedOn w:val="DefaultParagraphFont"/>
    <w:uiPriority w:val="99"/>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4154</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ECE/TRANS/WP.29/GRE/2018/35</vt:lpstr>
      <vt:lpstr>ECE/TRANS/WP.29/GRE/2018/35</vt:lpstr>
    </vt:vector>
  </TitlesOfParts>
  <Company>DCM</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ECE/TRANS/WP.29/GRE/2018/35</dc:title>
  <dc:subject/>
  <dc:creator>Fabienne CRELIER</dc:creator>
  <cp:keywords/>
  <cp:lastModifiedBy>Benedicte Boudol</cp:lastModifiedBy>
  <cp:revision>2</cp:revision>
  <cp:lastPrinted>2018-09-07T14:27:00Z</cp:lastPrinted>
  <dcterms:created xsi:type="dcterms:W3CDTF">2018-09-11T06:42:00Z</dcterms:created>
  <dcterms:modified xsi:type="dcterms:W3CDTF">2018-09-11T06:42:00Z</dcterms:modified>
</cp:coreProperties>
</file>