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9A3628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9A3628" w:rsidP="009A3628">
            <w:pPr>
              <w:jc w:val="right"/>
            </w:pPr>
            <w:r w:rsidRPr="009A3628">
              <w:rPr>
                <w:sz w:val="40"/>
              </w:rPr>
              <w:t>ECE</w:t>
            </w:r>
            <w:r>
              <w:t>/TRANS/WP.29/GRE/2018/33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9A3628" w:rsidP="00C97039">
            <w:pPr>
              <w:spacing w:before="240"/>
            </w:pPr>
            <w:r>
              <w:t>Distr. générale</w:t>
            </w:r>
          </w:p>
          <w:p w:rsidR="009A3628" w:rsidRDefault="00F82F72" w:rsidP="009A3628">
            <w:pPr>
              <w:spacing w:line="240" w:lineRule="exact"/>
            </w:pPr>
            <w:r>
              <w:t>9</w:t>
            </w:r>
            <w:r w:rsidR="009A3628">
              <w:t xml:space="preserve"> août 2018</w:t>
            </w:r>
          </w:p>
          <w:p w:rsidR="009A3628" w:rsidRDefault="009A3628" w:rsidP="009A3628">
            <w:pPr>
              <w:spacing w:line="240" w:lineRule="exact"/>
            </w:pPr>
            <w:r>
              <w:t>Français</w:t>
            </w:r>
          </w:p>
          <w:p w:rsidR="009A3628" w:rsidRPr="00DB58B5" w:rsidRDefault="009A3628" w:rsidP="009A3628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9D7200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9A3628" w:rsidRDefault="009A3628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9D7200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:rsidR="00074444" w:rsidRPr="00074444" w:rsidRDefault="00074444" w:rsidP="00074444">
      <w:pPr>
        <w:spacing w:before="120" w:after="120" w:line="240" w:lineRule="auto"/>
        <w:rPr>
          <w:b/>
          <w:bCs/>
        </w:rPr>
      </w:pPr>
      <w:r w:rsidRPr="00074444">
        <w:rPr>
          <w:b/>
          <w:lang w:val="fr-FR"/>
        </w:rPr>
        <w:t>Groupe de travail de l</w:t>
      </w:r>
      <w:r w:rsidR="009D7200">
        <w:rPr>
          <w:b/>
          <w:lang w:val="fr-FR"/>
        </w:rPr>
        <w:t>’</w:t>
      </w:r>
      <w:r w:rsidRPr="00074444">
        <w:rPr>
          <w:b/>
          <w:lang w:val="fr-FR"/>
        </w:rPr>
        <w:t>éclairage et de la signalisation lumineuse</w:t>
      </w:r>
    </w:p>
    <w:p w:rsidR="009A3628" w:rsidRDefault="00074444" w:rsidP="00AF0CB5">
      <w:pPr>
        <w:spacing w:before="120" w:line="240" w:lineRule="exact"/>
        <w:rPr>
          <w:b/>
        </w:rPr>
      </w:pPr>
      <w:r w:rsidRPr="00074444">
        <w:rPr>
          <w:b/>
          <w:bCs/>
          <w:lang w:val="fr-FR"/>
        </w:rPr>
        <w:t xml:space="preserve">Quatre-vingtième </w:t>
      </w:r>
      <w:r w:rsidR="009A3628">
        <w:rPr>
          <w:b/>
        </w:rPr>
        <w:t>session</w:t>
      </w:r>
    </w:p>
    <w:p w:rsidR="009A3628" w:rsidRDefault="009A3628" w:rsidP="00AF0CB5">
      <w:pPr>
        <w:spacing w:line="240" w:lineRule="exact"/>
      </w:pPr>
      <w:r>
        <w:t xml:space="preserve">Genève, </w:t>
      </w:r>
      <w:r w:rsidR="00074444">
        <w:t>23-26 octobre 2018</w:t>
      </w:r>
    </w:p>
    <w:p w:rsidR="009A3628" w:rsidRDefault="009A3628" w:rsidP="00AF0CB5">
      <w:pPr>
        <w:spacing w:line="240" w:lineRule="exact"/>
      </w:pPr>
      <w:r>
        <w:t xml:space="preserve">Point </w:t>
      </w:r>
      <w:r w:rsidR="00074444">
        <w:t>4</w:t>
      </w:r>
      <w:r>
        <w:t xml:space="preserve"> de l</w:t>
      </w:r>
      <w:r w:rsidR="009D7200">
        <w:t>’</w:t>
      </w:r>
      <w:r>
        <w:t>ordre du jour</w:t>
      </w:r>
      <w:r w:rsidR="00074444">
        <w:t xml:space="preserve"> provisoire</w:t>
      </w:r>
    </w:p>
    <w:p w:rsidR="00074444" w:rsidRPr="00074444" w:rsidRDefault="00074444" w:rsidP="00074444">
      <w:pPr>
        <w:spacing w:line="240" w:lineRule="exact"/>
        <w:rPr>
          <w:b/>
        </w:rPr>
      </w:pPr>
      <w:r w:rsidRPr="00074444">
        <w:rPr>
          <w:b/>
          <w:lang w:val="fr-FR"/>
        </w:rPr>
        <w:t>Simplification des Règlements concernant l</w:t>
      </w:r>
      <w:r w:rsidR="009D7200">
        <w:rPr>
          <w:b/>
          <w:lang w:val="fr-FR"/>
        </w:rPr>
        <w:t>’</w:t>
      </w:r>
      <w:r w:rsidRPr="00074444">
        <w:rPr>
          <w:b/>
          <w:lang w:val="fr-FR"/>
        </w:rPr>
        <w:t xml:space="preserve">éclairage </w:t>
      </w:r>
      <w:r w:rsidRPr="00074444">
        <w:rPr>
          <w:b/>
          <w:lang w:val="fr-FR"/>
        </w:rPr>
        <w:br/>
        <w:t>et la signalisation lumineuse</w:t>
      </w:r>
    </w:p>
    <w:p w:rsidR="00074444" w:rsidRPr="007B202F" w:rsidRDefault="00074444" w:rsidP="00074444">
      <w:pPr>
        <w:pStyle w:val="HChG"/>
      </w:pPr>
      <w:r w:rsidRPr="007B202F">
        <w:rPr>
          <w:lang w:val="fr-FR"/>
        </w:rPr>
        <w:tab/>
      </w:r>
      <w:r w:rsidRPr="007B202F">
        <w:rPr>
          <w:lang w:val="fr-FR"/>
        </w:rPr>
        <w:tab/>
        <w:t xml:space="preserve">Proposition de complément 1 à la version originale </w:t>
      </w:r>
      <w:r>
        <w:rPr>
          <w:lang w:val="fr-FR"/>
        </w:rPr>
        <w:br/>
      </w:r>
      <w:r w:rsidRPr="007B202F">
        <w:rPr>
          <w:lang w:val="fr-FR"/>
        </w:rPr>
        <w:t xml:space="preserve">du Règlement concernant les dispositifs </w:t>
      </w:r>
      <w:r>
        <w:rPr>
          <w:lang w:val="fr-FR"/>
        </w:rPr>
        <w:br/>
      </w:r>
      <w:r w:rsidRPr="007B202F">
        <w:rPr>
          <w:lang w:val="fr-FR"/>
        </w:rPr>
        <w:t>de signalisation lumineuse</w:t>
      </w:r>
    </w:p>
    <w:p w:rsidR="00F9573C" w:rsidRDefault="00074444" w:rsidP="00074444">
      <w:pPr>
        <w:pStyle w:val="H1G"/>
        <w:rPr>
          <w:b w:val="0"/>
          <w:sz w:val="20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7B202F">
        <w:rPr>
          <w:lang w:val="fr-FR"/>
        </w:rPr>
        <w:t xml:space="preserve">Communication du groupe de travail informel de la simplification </w:t>
      </w:r>
      <w:r>
        <w:rPr>
          <w:lang w:val="fr-FR"/>
        </w:rPr>
        <w:br/>
      </w:r>
      <w:r w:rsidRPr="007B202F">
        <w:rPr>
          <w:lang w:val="fr-FR"/>
        </w:rPr>
        <w:t>des Règlements relatifs à l</w:t>
      </w:r>
      <w:r w:rsidR="009D7200">
        <w:rPr>
          <w:lang w:val="fr-FR"/>
        </w:rPr>
        <w:t>’</w:t>
      </w:r>
      <w:r w:rsidRPr="007B202F">
        <w:rPr>
          <w:lang w:val="fr-FR"/>
        </w:rPr>
        <w:t>éclairage et à la signalisation lumineuse</w:t>
      </w:r>
      <w:r w:rsidRPr="00074444">
        <w:rPr>
          <w:b w:val="0"/>
          <w:sz w:val="20"/>
          <w:lang w:val="fr-FR"/>
        </w:rPr>
        <w:footnoteReference w:customMarkFollows="1" w:id="2"/>
        <w:t>*</w:t>
      </w:r>
    </w:p>
    <w:p w:rsidR="00074444" w:rsidRDefault="00074444" w:rsidP="00074444">
      <w:pPr>
        <w:pStyle w:val="SingleTxtG"/>
        <w:ind w:firstLine="567"/>
        <w:rPr>
          <w:lang w:val="fr-FR"/>
        </w:rPr>
      </w:pPr>
      <w:r w:rsidRPr="00074444">
        <w:rPr>
          <w:lang w:val="fr-FR"/>
        </w:rPr>
        <w:t>Le texte ci-après, établi par le groupe de travail informel de la simplification des Règlements relatifs à l</w:t>
      </w:r>
      <w:r w:rsidR="009D7200">
        <w:rPr>
          <w:lang w:val="fr-FR"/>
        </w:rPr>
        <w:t>’</w:t>
      </w:r>
      <w:r w:rsidRPr="00074444">
        <w:rPr>
          <w:lang w:val="fr-FR"/>
        </w:rPr>
        <w:t>éclairage et à la signalisation lumineuse sur la base d</w:t>
      </w:r>
      <w:r w:rsidR="009D7200">
        <w:rPr>
          <w:lang w:val="fr-FR"/>
        </w:rPr>
        <w:t>’</w:t>
      </w:r>
      <w:r w:rsidRPr="00074444">
        <w:rPr>
          <w:lang w:val="fr-FR"/>
        </w:rPr>
        <w:t>une proposition originale soumise par l</w:t>
      </w:r>
      <w:r w:rsidR="009D7200">
        <w:rPr>
          <w:lang w:val="fr-FR"/>
        </w:rPr>
        <w:t>’</w:t>
      </w:r>
      <w:r w:rsidRPr="00074444">
        <w:rPr>
          <w:lang w:val="fr-FR"/>
        </w:rPr>
        <w:t>expert de l</w:t>
      </w:r>
      <w:r w:rsidR="009D7200">
        <w:rPr>
          <w:lang w:val="fr-FR"/>
        </w:rPr>
        <w:t>’</w:t>
      </w:r>
      <w:r w:rsidRPr="00074444">
        <w:rPr>
          <w:lang w:val="fr-FR"/>
        </w:rPr>
        <w:t>Association internationale des constructeurs de motocycles (IMMA), a pour but de modifier l</w:t>
      </w:r>
      <w:r w:rsidR="009D7200">
        <w:rPr>
          <w:lang w:val="fr-FR"/>
        </w:rPr>
        <w:t>’</w:t>
      </w:r>
      <w:r w:rsidRPr="00074444">
        <w:rPr>
          <w:lang w:val="fr-FR"/>
        </w:rPr>
        <w:t>angle de visibilité vers l</w:t>
      </w:r>
      <w:r w:rsidR="009D7200">
        <w:rPr>
          <w:lang w:val="fr-FR"/>
        </w:rPr>
        <w:t>’</w:t>
      </w:r>
      <w:r w:rsidRPr="00074444">
        <w:rPr>
          <w:lang w:val="fr-FR"/>
        </w:rPr>
        <w:t>intérieur des feux de position arrière par paire dans le nouveau Règlement concernant les dispositifs de signalisation lumineuse (ECE/TRANS/WP.29/GRE/2018/2), adopté par le Groupe de travail de l</w:t>
      </w:r>
      <w:r w:rsidR="009D7200">
        <w:rPr>
          <w:lang w:val="fr-FR"/>
        </w:rPr>
        <w:t>’</w:t>
      </w:r>
      <w:r w:rsidRPr="00074444">
        <w:rPr>
          <w:lang w:val="fr-FR"/>
        </w:rPr>
        <w:t>éclairage et de la signalisation lumineuse (GRE) à sa soixante-dix-neuvième session en avril 2018. Les modifications qu</w:t>
      </w:r>
      <w:r w:rsidR="009D7200">
        <w:rPr>
          <w:lang w:val="fr-FR"/>
        </w:rPr>
        <w:t>’</w:t>
      </w:r>
      <w:r w:rsidRPr="00074444">
        <w:rPr>
          <w:lang w:val="fr-FR"/>
        </w:rPr>
        <w:t>il est proposé d</w:t>
      </w:r>
      <w:r w:rsidR="009D7200">
        <w:rPr>
          <w:lang w:val="fr-FR"/>
        </w:rPr>
        <w:t>’</w:t>
      </w:r>
      <w:r w:rsidRPr="00074444">
        <w:rPr>
          <w:lang w:val="fr-FR"/>
        </w:rPr>
        <w:t>apporter au Règlement figurent en caractères gras pour les ajouts et biffés pour les suppressions.</w:t>
      </w:r>
    </w:p>
    <w:p w:rsidR="006302CA" w:rsidRPr="007B202F" w:rsidRDefault="00074444" w:rsidP="006302CA">
      <w:pPr>
        <w:pStyle w:val="HChG"/>
      </w:pPr>
      <w:r>
        <w:rPr>
          <w:lang w:val="fr-FR"/>
        </w:rPr>
        <w:br w:type="page"/>
      </w:r>
      <w:r w:rsidR="006302CA">
        <w:rPr>
          <w:lang w:val="fr-FR"/>
        </w:rPr>
        <w:lastRenderedPageBreak/>
        <w:tab/>
      </w:r>
      <w:r w:rsidR="006302CA" w:rsidRPr="007B202F">
        <w:rPr>
          <w:lang w:val="fr-FR"/>
        </w:rPr>
        <w:t>I.</w:t>
      </w:r>
      <w:r w:rsidR="006302CA" w:rsidRPr="007B202F">
        <w:rPr>
          <w:lang w:val="fr-FR"/>
        </w:rPr>
        <w:tab/>
      </w:r>
      <w:r w:rsidR="006302CA" w:rsidRPr="006302CA">
        <w:t>Proposition</w:t>
      </w:r>
    </w:p>
    <w:p w:rsidR="00074444" w:rsidRDefault="006302CA" w:rsidP="00DB709E">
      <w:pPr>
        <w:pStyle w:val="SingleTxtG"/>
        <w:rPr>
          <w:lang w:val="fr-FR"/>
        </w:rPr>
      </w:pPr>
      <w:r w:rsidRPr="00DB709E">
        <w:rPr>
          <w:i/>
          <w:lang w:val="fr-FR"/>
        </w:rPr>
        <w:t>Ligne « Feux de position arrière (paire) (MR) », tableau A2-1, annexe 2</w:t>
      </w:r>
      <w:r w:rsidRPr="007B202F">
        <w:rPr>
          <w:lang w:val="fr-FR"/>
        </w:rPr>
        <w:t>, modifier comme suit</w:t>
      </w:r>
      <w:r w:rsidR="00DB709E">
        <w:rPr>
          <w:lang w:val="fr-FR"/>
        </w:rPr>
        <w:t> </w:t>
      </w:r>
      <w:r w:rsidRPr="007B202F">
        <w:rPr>
          <w:lang w:val="fr-FR"/>
        </w:rPr>
        <w:t>:</w:t>
      </w:r>
    </w:p>
    <w:p w:rsidR="00DB709E" w:rsidRPr="009F12F9" w:rsidRDefault="00DB709E" w:rsidP="00DB709E">
      <w:pPr>
        <w:pStyle w:val="SingleTxtGR"/>
      </w:pPr>
      <w:r>
        <w:t>«</w:t>
      </w:r>
    </w:p>
    <w:tbl>
      <w:tblPr>
        <w:tblStyle w:val="TableGrid"/>
        <w:tblW w:w="8505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2982"/>
        <w:gridCol w:w="2146"/>
        <w:gridCol w:w="2006"/>
        <w:gridCol w:w="1371"/>
      </w:tblGrid>
      <w:tr w:rsidR="00DB709E" w:rsidRPr="004D0C28" w:rsidTr="0023167B">
        <w:tc>
          <w:tcPr>
            <w:tcW w:w="298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B709E" w:rsidRPr="006374D5" w:rsidRDefault="00DB709E" w:rsidP="00E335F5">
            <w:pPr>
              <w:spacing w:before="80" w:after="80" w:line="200" w:lineRule="exact"/>
              <w:ind w:left="57" w:right="57"/>
              <w:jc w:val="center"/>
              <w:rPr>
                <w:rFonts w:asciiTheme="majorBidi" w:hAnsiTheme="majorBidi" w:cstheme="majorBidi"/>
                <w:bCs/>
                <w:i/>
                <w:sz w:val="16"/>
                <w:szCs w:val="16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Feu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B709E" w:rsidRPr="00C4165D" w:rsidRDefault="00DB709E" w:rsidP="00E335F5">
            <w:pPr>
              <w:spacing w:before="80" w:after="80" w:line="200" w:lineRule="exact"/>
              <w:ind w:left="57" w:right="57"/>
              <w:jc w:val="center"/>
              <w:rPr>
                <w:rFonts w:asciiTheme="majorBidi" w:hAnsiTheme="majorBidi" w:cstheme="majorBidi"/>
                <w:bCs/>
                <w:i/>
                <w:sz w:val="16"/>
                <w:szCs w:val="16"/>
              </w:rPr>
            </w:pPr>
            <w:r w:rsidRPr="00DB709E"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  <w:t>Angles horizontaux minimaux</w:t>
            </w:r>
            <w:r w:rsidR="00C4165D"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  <w:br/>
            </w:r>
            <w:r w:rsidRPr="00DB709E"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  <w:t>(intérieurs/extérieurs)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B709E" w:rsidRPr="00C4165D" w:rsidRDefault="00C4165D" w:rsidP="00E335F5">
            <w:pPr>
              <w:spacing w:before="80" w:after="80" w:line="200" w:lineRule="exact"/>
              <w:ind w:left="57" w:right="57"/>
              <w:jc w:val="center"/>
              <w:rPr>
                <w:rFonts w:asciiTheme="majorBidi" w:hAnsiTheme="majorBidi" w:cstheme="majorBidi"/>
                <w:bCs/>
                <w:i/>
                <w:sz w:val="16"/>
                <w:szCs w:val="16"/>
              </w:rPr>
            </w:pPr>
            <w:r w:rsidRPr="00C4165D"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  <w:t>Angles verticaux minimaux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  <w:br/>
            </w:r>
            <w:r w:rsidRPr="00C4165D"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  <w:t>(supérieurs/inférieurs)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B709E" w:rsidRPr="006374D5" w:rsidRDefault="00C4165D" w:rsidP="00E335F5">
            <w:pPr>
              <w:spacing w:before="80" w:after="80" w:line="200" w:lineRule="exact"/>
              <w:ind w:left="57" w:right="57"/>
              <w:jc w:val="center"/>
              <w:rPr>
                <w:rFonts w:asciiTheme="majorBidi" w:hAnsiTheme="majorBidi" w:cstheme="majorBidi"/>
                <w:bCs/>
                <w:i/>
                <w:sz w:val="16"/>
                <w:szCs w:val="16"/>
              </w:rPr>
            </w:pPr>
            <w:r w:rsidRPr="00C4165D"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  <w:t>Renseignements complémentaires</w:t>
            </w:r>
          </w:p>
        </w:tc>
      </w:tr>
      <w:tr w:rsidR="00DB709E" w:rsidRPr="00C15BEC" w:rsidTr="0023167B">
        <w:tc>
          <w:tcPr>
            <w:tcW w:w="2982" w:type="dxa"/>
            <w:vAlign w:val="center"/>
          </w:tcPr>
          <w:p w:rsidR="00DB709E" w:rsidRPr="00C15BEC" w:rsidRDefault="00C4165D" w:rsidP="00E335F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DB709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146" w:type="dxa"/>
            <w:vAlign w:val="bottom"/>
          </w:tcPr>
          <w:p w:rsidR="00DB709E" w:rsidRPr="00B13E56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Align w:val="bottom"/>
          </w:tcPr>
          <w:p w:rsidR="00DB709E" w:rsidRPr="00E80283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bottom"/>
          </w:tcPr>
          <w:p w:rsidR="00DB709E" w:rsidRPr="00C15BEC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DB709E" w:rsidRPr="00C15BEC" w:rsidTr="0023167B"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DB709E" w:rsidRPr="00C4165D" w:rsidRDefault="00C4165D" w:rsidP="00E335F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 w:rsidRPr="00C4165D">
              <w:rPr>
                <w:sz w:val="18"/>
                <w:szCs w:val="18"/>
                <w:lang w:val="fr-FR"/>
              </w:rPr>
              <w:t>Feux de position arrière (paire) (MR)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bottom"/>
          </w:tcPr>
          <w:p w:rsidR="00DB709E" w:rsidRPr="001B20E5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  <w:r w:rsidRPr="001B20E5">
              <w:rPr>
                <w:strike/>
                <w:sz w:val="18"/>
                <w:szCs w:val="18"/>
              </w:rPr>
              <w:t>45</w:t>
            </w:r>
            <w:r w:rsidRPr="001B20E5">
              <w:rPr>
                <w:rFonts w:hint="eastAsia"/>
                <w:b/>
                <w:sz w:val="18"/>
                <w:szCs w:val="18"/>
                <w:lang w:eastAsia="ja-JP"/>
              </w:rPr>
              <w:t>20</w:t>
            </w:r>
            <w:r>
              <w:rPr>
                <w:sz w:val="18"/>
                <w:szCs w:val="18"/>
              </w:rPr>
              <w:t>°/</w:t>
            </w:r>
            <w:r w:rsidRPr="001B20E5">
              <w:rPr>
                <w:sz w:val="18"/>
                <w:szCs w:val="18"/>
              </w:rPr>
              <w:t>80°</w:t>
            </w:r>
          </w:p>
          <w:p w:rsidR="00DB709E" w:rsidRPr="00E80283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20°/</w:t>
            </w:r>
            <w:r w:rsidRPr="001B20E5">
              <w:rPr>
                <w:strike/>
                <w:sz w:val="18"/>
                <w:szCs w:val="18"/>
              </w:rPr>
              <w:t>80°</w:t>
            </w:r>
            <w:r w:rsidRPr="000175ED">
              <w:rPr>
                <w:strike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bottom"/>
          </w:tcPr>
          <w:p w:rsidR="00DB709E" w:rsidRPr="00E80283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15°/</w:t>
            </w:r>
            <w:r w:rsidRPr="00E80283">
              <w:rPr>
                <w:sz w:val="18"/>
                <w:szCs w:val="18"/>
              </w:rPr>
              <w:t>15°</w:t>
            </w:r>
          </w:p>
          <w:p w:rsidR="00DB709E" w:rsidRPr="00E80283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15°/</w:t>
            </w:r>
            <w:r w:rsidRPr="00E80283">
              <w:rPr>
                <w:sz w:val="18"/>
                <w:szCs w:val="18"/>
              </w:rPr>
              <w:t>5°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DB709E" w:rsidRPr="00C15BEC" w:rsidRDefault="00E335F5" w:rsidP="002A34B7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09E" w:rsidRPr="00C15BEC" w:rsidTr="0023167B">
        <w:tc>
          <w:tcPr>
            <w:tcW w:w="2982" w:type="dxa"/>
            <w:tcBorders>
              <w:bottom w:val="single" w:sz="12" w:space="0" w:color="auto"/>
            </w:tcBorders>
            <w:vAlign w:val="center"/>
          </w:tcPr>
          <w:p w:rsidR="00DB709E" w:rsidRPr="00C15BEC" w:rsidRDefault="00E335F5" w:rsidP="00E335F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DB709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146" w:type="dxa"/>
            <w:tcBorders>
              <w:bottom w:val="single" w:sz="12" w:space="0" w:color="auto"/>
            </w:tcBorders>
            <w:vAlign w:val="bottom"/>
          </w:tcPr>
          <w:p w:rsidR="00DB709E" w:rsidRPr="00B13E56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tcBorders>
              <w:bottom w:val="single" w:sz="12" w:space="0" w:color="auto"/>
            </w:tcBorders>
            <w:vAlign w:val="bottom"/>
          </w:tcPr>
          <w:p w:rsidR="00DB709E" w:rsidRPr="00E80283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  <w:vAlign w:val="bottom"/>
          </w:tcPr>
          <w:p w:rsidR="00DB709E" w:rsidRPr="00C15BEC" w:rsidRDefault="00DB709E" w:rsidP="00E335F5">
            <w:pPr>
              <w:spacing w:before="60" w:after="60"/>
              <w:ind w:left="57" w:right="57"/>
              <w:jc w:val="center"/>
              <w:rPr>
                <w:sz w:val="18"/>
                <w:szCs w:val="18"/>
              </w:rPr>
            </w:pPr>
          </w:p>
        </w:tc>
      </w:tr>
    </w:tbl>
    <w:p w:rsidR="00DB709E" w:rsidRPr="00DB709E" w:rsidRDefault="00DB709E" w:rsidP="00E335F5">
      <w:pPr>
        <w:pStyle w:val="SingleTxtGR"/>
        <w:ind w:right="0"/>
        <w:jc w:val="right"/>
        <w:rPr>
          <w:lang w:val="fr-CH"/>
        </w:rPr>
      </w:pPr>
      <w:r>
        <w:rPr>
          <w:lang w:val="fr-CH"/>
        </w:rPr>
        <w:t>. </w:t>
      </w:r>
      <w:r>
        <w:t>»</w:t>
      </w:r>
      <w:r>
        <w:rPr>
          <w:lang w:val="fr-CH"/>
        </w:rPr>
        <w:t>.</w:t>
      </w:r>
    </w:p>
    <w:p w:rsidR="009D7200" w:rsidRPr="009D7200" w:rsidRDefault="009D7200" w:rsidP="009D7200">
      <w:pPr>
        <w:pStyle w:val="HChG"/>
      </w:pPr>
      <w:r>
        <w:rPr>
          <w:lang w:val="fr-FR"/>
        </w:rPr>
        <w:tab/>
      </w:r>
      <w:r w:rsidRPr="009D7200">
        <w:rPr>
          <w:lang w:val="fr-FR"/>
        </w:rPr>
        <w:t>II.</w:t>
      </w:r>
      <w:r w:rsidRPr="009D7200">
        <w:rPr>
          <w:lang w:val="fr-FR"/>
        </w:rPr>
        <w:tab/>
        <w:t>Justification</w:t>
      </w:r>
    </w:p>
    <w:p w:rsidR="009D7200" w:rsidRPr="009D7200" w:rsidRDefault="009D7200" w:rsidP="009D7200">
      <w:pPr>
        <w:pStyle w:val="SingleTxtG"/>
        <w:rPr>
          <w:lang w:val="fr-FR"/>
        </w:rPr>
      </w:pPr>
      <w:r w:rsidRPr="009D7200">
        <w:rPr>
          <w:lang w:val="fr-FR"/>
        </w:rPr>
        <w:t>1.</w:t>
      </w:r>
      <w:r w:rsidRPr="009D7200">
        <w:rPr>
          <w:lang w:val="fr-FR"/>
        </w:rPr>
        <w:tab/>
        <w:t>La proposition d</w:t>
      </w:r>
      <w:r>
        <w:rPr>
          <w:lang w:val="fr-FR"/>
        </w:rPr>
        <w:t>’</w:t>
      </w:r>
      <w:r w:rsidRPr="009D7200">
        <w:rPr>
          <w:lang w:val="fr-FR"/>
        </w:rPr>
        <w:t xml:space="preserve">amendement au Règlement </w:t>
      </w:r>
      <w:r w:rsidRPr="009D7200">
        <w:rPr>
          <w:rFonts w:eastAsia="MS Mincho"/>
          <w:szCs w:val="22"/>
          <w:lang w:val="fr-FR"/>
        </w:rPr>
        <w:t>n</w:t>
      </w:r>
      <w:r w:rsidRPr="009D7200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9D7200">
        <w:rPr>
          <w:lang w:val="fr-FR"/>
        </w:rPr>
        <w:t>50 concernant la visibilité géométrique vers l</w:t>
      </w:r>
      <w:r>
        <w:rPr>
          <w:lang w:val="fr-FR"/>
        </w:rPr>
        <w:t>’</w:t>
      </w:r>
      <w:r w:rsidRPr="009D7200">
        <w:rPr>
          <w:lang w:val="fr-FR"/>
        </w:rPr>
        <w:t>intérieur pour les feux de position arrière (ECE/TRANS/WP.29/GRE/</w:t>
      </w:r>
      <w:r>
        <w:rPr>
          <w:lang w:val="fr-FR"/>
        </w:rPr>
        <w:t xml:space="preserve"> </w:t>
      </w:r>
      <w:r w:rsidRPr="009D7200">
        <w:rPr>
          <w:lang w:val="fr-FR"/>
        </w:rPr>
        <w:t>2018/27) soumise par l</w:t>
      </w:r>
      <w:r>
        <w:rPr>
          <w:lang w:val="fr-FR"/>
        </w:rPr>
        <w:t>’</w:t>
      </w:r>
      <w:r w:rsidRPr="009D7200">
        <w:rPr>
          <w:lang w:val="fr-FR"/>
        </w:rPr>
        <w:t>IMMA et la proposition d</w:t>
      </w:r>
      <w:r>
        <w:rPr>
          <w:lang w:val="fr-FR"/>
        </w:rPr>
        <w:t>’</w:t>
      </w:r>
      <w:r w:rsidRPr="009D7200">
        <w:rPr>
          <w:lang w:val="fr-FR"/>
        </w:rPr>
        <w:t xml:space="preserve">amendement au Règlement </w:t>
      </w:r>
      <w:r w:rsidRPr="009D7200">
        <w:rPr>
          <w:rFonts w:eastAsia="MS Mincho"/>
          <w:szCs w:val="22"/>
          <w:lang w:val="fr-FR"/>
        </w:rPr>
        <w:t>n</w:t>
      </w:r>
      <w:r w:rsidRPr="009D7200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9D7200">
        <w:rPr>
          <w:lang w:val="fr-FR"/>
        </w:rPr>
        <w:t>53 correspondante (ECE/TRANS/WP.29/GRE/2018/28) avaient été approuvées de manière générale par le GRE à sa soixante-dix-neuvième session en avril 2018, mais n</w:t>
      </w:r>
      <w:r>
        <w:rPr>
          <w:lang w:val="fr-FR"/>
        </w:rPr>
        <w:t>’</w:t>
      </w:r>
      <w:r w:rsidRPr="009D7200">
        <w:rPr>
          <w:lang w:val="fr-FR"/>
        </w:rPr>
        <w:t>avaient été soumises au Forum mondial de l</w:t>
      </w:r>
      <w:r>
        <w:rPr>
          <w:lang w:val="fr-FR"/>
        </w:rPr>
        <w:t>’</w:t>
      </w:r>
      <w:r w:rsidRPr="009D7200">
        <w:rPr>
          <w:lang w:val="fr-FR"/>
        </w:rPr>
        <w:t>harmonisation des Règlements concernant les véhicules (WP.29) en raison de la décision qui avait été prise d</w:t>
      </w:r>
      <w:r>
        <w:rPr>
          <w:lang w:val="fr-FR"/>
        </w:rPr>
        <w:t>’</w:t>
      </w:r>
      <w:r w:rsidRPr="009D7200">
        <w:rPr>
          <w:lang w:val="fr-FR"/>
        </w:rPr>
        <w:t xml:space="preserve">arrêter toute modification du Règlement </w:t>
      </w:r>
      <w:r w:rsidRPr="009D7200">
        <w:rPr>
          <w:rFonts w:eastAsia="MS Mincho"/>
          <w:szCs w:val="22"/>
          <w:lang w:val="fr-FR"/>
        </w:rPr>
        <w:t>n</w:t>
      </w:r>
      <w:r w:rsidRPr="009D7200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9D7200">
        <w:rPr>
          <w:lang w:val="fr-FR"/>
        </w:rPr>
        <w:t>50, qui serait remplacé par le nouveau Règlement concernant les dispositifs de signalisation lumineuse.</w:t>
      </w:r>
    </w:p>
    <w:p w:rsidR="009D7200" w:rsidRPr="009D7200" w:rsidRDefault="009D7200" w:rsidP="009D7200">
      <w:pPr>
        <w:pStyle w:val="SingleTxtG"/>
        <w:rPr>
          <w:lang w:val="fr-FR"/>
        </w:rPr>
      </w:pPr>
      <w:r w:rsidRPr="009D7200">
        <w:rPr>
          <w:lang w:val="fr-FR"/>
        </w:rPr>
        <w:t>2.</w:t>
      </w:r>
      <w:r w:rsidRPr="009D7200">
        <w:rPr>
          <w:lang w:val="fr-FR"/>
        </w:rPr>
        <w:tab/>
        <w:t>Lors de la même session, le nouveau Règlement sur les dispositifs de signalisation lumineuse (ECE/TRANS/WP.29/GRE/2018/2) a été adopté.</w:t>
      </w:r>
    </w:p>
    <w:p w:rsidR="009D7200" w:rsidRPr="009D7200" w:rsidRDefault="009D7200" w:rsidP="009D7200">
      <w:pPr>
        <w:pStyle w:val="SingleTxtG"/>
        <w:rPr>
          <w:lang w:val="fr-FR"/>
        </w:rPr>
      </w:pPr>
      <w:r w:rsidRPr="009D7200">
        <w:rPr>
          <w:lang w:val="fr-FR"/>
        </w:rPr>
        <w:t>3.</w:t>
      </w:r>
      <w:r w:rsidRPr="009D7200">
        <w:rPr>
          <w:lang w:val="fr-FR"/>
        </w:rPr>
        <w:tab/>
        <w:t>La présente proposition vise à introduire dans le nouveau Règlement concernant les dispositifs de signalisation lumineuse (ECE/TRANS/WP.29/GRE/2018/2) les mêmes changements que ceux figurant dans le document ECE/TRANS/WP.29/GRE/2018/27.</w:t>
      </w:r>
    </w:p>
    <w:p w:rsidR="00DB709E" w:rsidRDefault="009D7200" w:rsidP="009D7200">
      <w:pPr>
        <w:pStyle w:val="SingleTxtG"/>
        <w:rPr>
          <w:lang w:val="fr-FR"/>
        </w:rPr>
      </w:pPr>
      <w:r w:rsidRPr="009D7200">
        <w:rPr>
          <w:lang w:val="fr-FR"/>
        </w:rPr>
        <w:t>4.</w:t>
      </w:r>
      <w:r w:rsidRPr="009D7200">
        <w:rPr>
          <w:lang w:val="fr-FR"/>
        </w:rPr>
        <w:tab/>
        <w:t>Une fois formellement approuvée par le GRE, la proposition sera transmise, conjointement avec la proposition d</w:t>
      </w:r>
      <w:r>
        <w:rPr>
          <w:lang w:val="fr-FR"/>
        </w:rPr>
        <w:t>’</w:t>
      </w:r>
      <w:r w:rsidRPr="009D7200">
        <w:rPr>
          <w:lang w:val="fr-FR"/>
        </w:rPr>
        <w:t>amendement au Règlement n</w:t>
      </w:r>
      <w:r w:rsidRPr="009D7200">
        <w:rPr>
          <w:vertAlign w:val="superscript"/>
          <w:lang w:val="fr-FR"/>
        </w:rPr>
        <w:t>o</w:t>
      </w:r>
      <w:r w:rsidRPr="009D7200">
        <w:rPr>
          <w:lang w:val="fr-FR"/>
        </w:rPr>
        <w:t> 53 correspondante (ECE/TRANS/WP.29/GRE/2018/28), au WP.29.</w:t>
      </w:r>
    </w:p>
    <w:p w:rsidR="009D7200" w:rsidRPr="009D7200" w:rsidRDefault="009D7200" w:rsidP="009D7200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9D7200" w:rsidRPr="009D7200" w:rsidSect="009A362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B86" w:rsidRDefault="00975B86" w:rsidP="00F95C08">
      <w:pPr>
        <w:spacing w:line="240" w:lineRule="auto"/>
      </w:pPr>
    </w:p>
  </w:endnote>
  <w:endnote w:type="continuationSeparator" w:id="0">
    <w:p w:rsidR="00975B86" w:rsidRPr="00AC3823" w:rsidRDefault="00975B86" w:rsidP="00AC3823">
      <w:pPr>
        <w:pStyle w:val="Footer"/>
      </w:pPr>
    </w:p>
  </w:endnote>
  <w:endnote w:type="continuationNotice" w:id="1">
    <w:p w:rsidR="00975B86" w:rsidRDefault="00975B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628" w:rsidRPr="009A3628" w:rsidRDefault="009A3628" w:rsidP="009A3628">
    <w:pPr>
      <w:pStyle w:val="Footer"/>
      <w:tabs>
        <w:tab w:val="right" w:pos="9638"/>
      </w:tabs>
    </w:pPr>
    <w:r w:rsidRPr="009A3628">
      <w:rPr>
        <w:b/>
        <w:sz w:val="18"/>
      </w:rPr>
      <w:fldChar w:fldCharType="begin"/>
    </w:r>
    <w:r w:rsidRPr="009A3628">
      <w:rPr>
        <w:b/>
        <w:sz w:val="18"/>
      </w:rPr>
      <w:instrText xml:space="preserve"> PAGE  \* MERGEFORMAT </w:instrText>
    </w:r>
    <w:r w:rsidRPr="009A3628">
      <w:rPr>
        <w:b/>
        <w:sz w:val="18"/>
      </w:rPr>
      <w:fldChar w:fldCharType="separate"/>
    </w:r>
    <w:r w:rsidR="00005DF1">
      <w:rPr>
        <w:b/>
        <w:noProof/>
        <w:sz w:val="18"/>
      </w:rPr>
      <w:t>2</w:t>
    </w:r>
    <w:r w:rsidRPr="009A3628">
      <w:rPr>
        <w:b/>
        <w:sz w:val="18"/>
      </w:rPr>
      <w:fldChar w:fldCharType="end"/>
    </w:r>
    <w:r>
      <w:rPr>
        <w:b/>
        <w:sz w:val="18"/>
      </w:rPr>
      <w:tab/>
    </w:r>
    <w:r>
      <w:t>GE.18-13081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628" w:rsidRPr="009A3628" w:rsidRDefault="009A3628" w:rsidP="009A3628">
    <w:pPr>
      <w:pStyle w:val="Footer"/>
      <w:tabs>
        <w:tab w:val="right" w:pos="9638"/>
      </w:tabs>
      <w:rPr>
        <w:b/>
        <w:sz w:val="18"/>
      </w:rPr>
    </w:pPr>
    <w:r>
      <w:t>GE.18-13081</w:t>
    </w:r>
    <w:r>
      <w:tab/>
    </w:r>
    <w:r w:rsidRPr="009A3628">
      <w:rPr>
        <w:b/>
        <w:sz w:val="18"/>
      </w:rPr>
      <w:fldChar w:fldCharType="begin"/>
    </w:r>
    <w:r w:rsidRPr="009A3628">
      <w:rPr>
        <w:b/>
        <w:sz w:val="18"/>
      </w:rPr>
      <w:instrText xml:space="preserve"> PAGE  \* MERGEFORMAT </w:instrText>
    </w:r>
    <w:r w:rsidRPr="009A3628">
      <w:rPr>
        <w:b/>
        <w:sz w:val="18"/>
      </w:rPr>
      <w:fldChar w:fldCharType="separate"/>
    </w:r>
    <w:r w:rsidR="002A34B7">
      <w:rPr>
        <w:b/>
        <w:noProof/>
        <w:sz w:val="18"/>
      </w:rPr>
      <w:t>2</w:t>
    </w:r>
    <w:r w:rsidRPr="009A362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9A3628" w:rsidRDefault="009A3628" w:rsidP="009A3628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60288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18-13081  (F)</w:t>
    </w:r>
    <w:r w:rsidR="00074444">
      <w:rPr>
        <w:sz w:val="20"/>
      </w:rPr>
      <w:t xml:space="preserve">    </w:t>
    </w:r>
    <w:r w:rsidR="006302CA">
      <w:rPr>
        <w:sz w:val="20"/>
      </w:rPr>
      <w:t>030918    050918</w:t>
    </w:r>
    <w:r>
      <w:rPr>
        <w:sz w:val="20"/>
      </w:rPr>
      <w:br/>
    </w:r>
    <w:r w:rsidRPr="009A3628">
      <w:rPr>
        <w:rFonts w:ascii="C39T30Lfz" w:hAnsi="C39T30Lfz"/>
        <w:sz w:val="56"/>
      </w:rPr>
      <w:t></w:t>
    </w:r>
    <w:r w:rsidRPr="009A3628">
      <w:rPr>
        <w:rFonts w:ascii="C39T30Lfz" w:hAnsi="C39T30Lfz"/>
        <w:sz w:val="56"/>
      </w:rPr>
      <w:t></w:t>
    </w:r>
    <w:r w:rsidRPr="009A3628">
      <w:rPr>
        <w:rFonts w:ascii="C39T30Lfz" w:hAnsi="C39T30Lfz"/>
        <w:sz w:val="56"/>
      </w:rPr>
      <w:t></w:t>
    </w:r>
    <w:r w:rsidRPr="009A3628">
      <w:rPr>
        <w:rFonts w:ascii="C39T30Lfz" w:hAnsi="C39T30Lfz"/>
        <w:sz w:val="56"/>
      </w:rPr>
      <w:t></w:t>
    </w:r>
    <w:r w:rsidRPr="009A3628">
      <w:rPr>
        <w:rFonts w:ascii="C39T30Lfz" w:hAnsi="C39T30Lfz"/>
        <w:sz w:val="56"/>
      </w:rPr>
      <w:t></w:t>
    </w:r>
    <w:r w:rsidRPr="009A3628">
      <w:rPr>
        <w:rFonts w:ascii="C39T30Lfz" w:hAnsi="C39T30Lfz"/>
        <w:sz w:val="56"/>
      </w:rPr>
      <w:t></w:t>
    </w:r>
    <w:r w:rsidRPr="009A3628">
      <w:rPr>
        <w:rFonts w:ascii="C39T30Lfz" w:hAnsi="C39T30Lfz"/>
        <w:sz w:val="56"/>
      </w:rPr>
      <w:t></w:t>
    </w:r>
    <w:r w:rsidRPr="009A3628">
      <w:rPr>
        <w:rFonts w:ascii="C39T30Lfz" w:hAnsi="C39T30Lfz"/>
        <w:sz w:val="56"/>
      </w:rPr>
      <w:t></w:t>
    </w:r>
    <w:r w:rsidRPr="009A3628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E/2018/33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33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B86" w:rsidRPr="00AC3823" w:rsidRDefault="00975B86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75B86" w:rsidRPr="00AC3823" w:rsidRDefault="00975B86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75B86" w:rsidRPr="00AC3823" w:rsidRDefault="00975B86">
      <w:pPr>
        <w:spacing w:line="240" w:lineRule="auto"/>
        <w:rPr>
          <w:sz w:val="2"/>
          <w:szCs w:val="2"/>
        </w:rPr>
      </w:pPr>
    </w:p>
  </w:footnote>
  <w:footnote w:id="2">
    <w:p w:rsidR="00074444" w:rsidRPr="00706101" w:rsidRDefault="00074444" w:rsidP="00074444">
      <w:pPr>
        <w:pStyle w:val="FootnoteText"/>
      </w:pPr>
      <w:r>
        <w:rPr>
          <w:lang w:val="fr-FR"/>
        </w:rPr>
        <w:tab/>
      </w:r>
      <w:r w:rsidRPr="00074444">
        <w:rPr>
          <w:sz w:val="20"/>
          <w:lang w:val="fr-FR"/>
        </w:rPr>
        <w:t>*</w:t>
      </w:r>
      <w:r>
        <w:rPr>
          <w:lang w:val="fr-FR"/>
        </w:rPr>
        <w:tab/>
      </w:r>
      <w:r w:rsidRPr="006302CA">
        <w:rPr>
          <w:spacing w:val="-2"/>
          <w:lang w:val="fr-FR"/>
        </w:rPr>
        <w:t>Conformément au programme de travail du Comité des transports intérieurs pour la période 2018</w:t>
      </w:r>
      <w:r w:rsidR="006302CA" w:rsidRPr="006302CA">
        <w:rPr>
          <w:spacing w:val="-2"/>
          <w:lang w:val="fr-FR"/>
        </w:rPr>
        <w:noBreakHyphen/>
      </w:r>
      <w:r w:rsidRPr="006302CA">
        <w:rPr>
          <w:spacing w:val="-2"/>
          <w:lang w:val="fr-FR"/>
        </w:rPr>
        <w:t>2019</w:t>
      </w:r>
      <w:r>
        <w:rPr>
          <w:lang w:val="fr-FR"/>
        </w:rPr>
        <w:t xml:space="preserve"> (ECE/TRANS/274, par. 123, et ECE/TRANS/2018/21/Add.1, module 3.1), le Forum mondial a pour</w:t>
      </w:r>
      <w:r w:rsidR="00F82F72">
        <w:rPr>
          <w:lang w:val="fr-FR"/>
        </w:rPr>
        <w:t> </w:t>
      </w:r>
      <w:r>
        <w:rPr>
          <w:lang w:val="fr-FR"/>
        </w:rPr>
        <w:t>mission d</w:t>
      </w:r>
      <w:r w:rsidR="002A34B7">
        <w:rPr>
          <w:lang w:val="fr-FR"/>
        </w:rPr>
        <w:t>’</w:t>
      </w:r>
      <w:r>
        <w:rPr>
          <w:lang w:val="fr-FR"/>
        </w:rPr>
        <w:t>élaborer, d</w:t>
      </w:r>
      <w:r w:rsidR="002A34B7">
        <w:rPr>
          <w:lang w:val="fr-FR"/>
        </w:rPr>
        <w:t>’</w:t>
      </w:r>
      <w:r>
        <w:rPr>
          <w:lang w:val="fr-FR"/>
        </w:rPr>
        <w:t>harmoniser et de mettre à jour les Règlements en vue d</w:t>
      </w:r>
      <w:r w:rsidR="002A34B7"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628" w:rsidRPr="009A3628" w:rsidRDefault="001B1F50">
    <w:pPr>
      <w:pStyle w:val="Header"/>
    </w:pPr>
    <w:r>
      <w:fldChar w:fldCharType="begin"/>
    </w:r>
    <w:r>
      <w:instrText xml:space="preserve"> TITLE  \* MERGEFORMAT</w:instrText>
    </w:r>
    <w:r>
      <w:instrText xml:space="preserve"> </w:instrText>
    </w:r>
    <w:r>
      <w:fldChar w:fldCharType="separate"/>
    </w:r>
    <w:r w:rsidR="002A34B7">
      <w:t>ECE/TRANS/WP.29/GRE/2018/33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628" w:rsidRPr="009A3628" w:rsidRDefault="001B1F50" w:rsidP="009A362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2A34B7">
      <w:t>ECE/TRANS/WP.29/GRE/2018/33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86"/>
    <w:rsid w:val="00005DF1"/>
    <w:rsid w:val="00017F94"/>
    <w:rsid w:val="00023842"/>
    <w:rsid w:val="000334F9"/>
    <w:rsid w:val="00045FEB"/>
    <w:rsid w:val="00074444"/>
    <w:rsid w:val="0007796D"/>
    <w:rsid w:val="000B7790"/>
    <w:rsid w:val="00111F2F"/>
    <w:rsid w:val="0014365E"/>
    <w:rsid w:val="00143C66"/>
    <w:rsid w:val="00176178"/>
    <w:rsid w:val="001B1F50"/>
    <w:rsid w:val="001F525A"/>
    <w:rsid w:val="00223272"/>
    <w:rsid w:val="0023167B"/>
    <w:rsid w:val="0024779E"/>
    <w:rsid w:val="00257168"/>
    <w:rsid w:val="002744B8"/>
    <w:rsid w:val="002832AC"/>
    <w:rsid w:val="002A34B7"/>
    <w:rsid w:val="002D7C93"/>
    <w:rsid w:val="00305801"/>
    <w:rsid w:val="003916DE"/>
    <w:rsid w:val="00421996"/>
    <w:rsid w:val="00441C3B"/>
    <w:rsid w:val="00446FE5"/>
    <w:rsid w:val="00452396"/>
    <w:rsid w:val="004837D8"/>
    <w:rsid w:val="004E2EED"/>
    <w:rsid w:val="004E468C"/>
    <w:rsid w:val="005505B7"/>
    <w:rsid w:val="00573BE5"/>
    <w:rsid w:val="00586ED3"/>
    <w:rsid w:val="00596AA9"/>
    <w:rsid w:val="006302CA"/>
    <w:rsid w:val="0071601D"/>
    <w:rsid w:val="007A62E6"/>
    <w:rsid w:val="007F20FA"/>
    <w:rsid w:val="0080684C"/>
    <w:rsid w:val="00871C75"/>
    <w:rsid w:val="008776DC"/>
    <w:rsid w:val="009446C0"/>
    <w:rsid w:val="009705C8"/>
    <w:rsid w:val="00975B86"/>
    <w:rsid w:val="009A3628"/>
    <w:rsid w:val="009C1CF4"/>
    <w:rsid w:val="009D7200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A0CA9"/>
    <w:rsid w:val="00C02897"/>
    <w:rsid w:val="00C4165D"/>
    <w:rsid w:val="00C97039"/>
    <w:rsid w:val="00D3439C"/>
    <w:rsid w:val="00DB1831"/>
    <w:rsid w:val="00DB709E"/>
    <w:rsid w:val="00DD3BFD"/>
    <w:rsid w:val="00DF6678"/>
    <w:rsid w:val="00E0299A"/>
    <w:rsid w:val="00E335F5"/>
    <w:rsid w:val="00E85C74"/>
    <w:rsid w:val="00EA6547"/>
    <w:rsid w:val="00EE28DE"/>
    <w:rsid w:val="00EF2E22"/>
    <w:rsid w:val="00F35BAF"/>
    <w:rsid w:val="00F660DF"/>
    <w:rsid w:val="00F82F72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64E546-ABE5-4115-A00C-CBBC2C1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,PP,5_G_6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,5_G_6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074444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paragraph" w:customStyle="1" w:styleId="SingleTxtGR">
    <w:name w:val="_ Single Txt_GR"/>
    <w:basedOn w:val="Normal"/>
    <w:qFormat/>
    <w:rsid w:val="00DB709E"/>
    <w:pPr>
      <w:tabs>
        <w:tab w:val="left" w:pos="1701"/>
        <w:tab w:val="left" w:pos="2268"/>
        <w:tab w:val="left" w:pos="2835"/>
        <w:tab w:val="left" w:pos="3402"/>
        <w:tab w:val="left" w:pos="3969"/>
      </w:tabs>
      <w:kinsoku/>
      <w:overflowPunct/>
      <w:autoSpaceDE/>
      <w:autoSpaceDN/>
      <w:adjustRightInd/>
      <w:snapToGrid/>
      <w:spacing w:after="120"/>
      <w:ind w:left="1134" w:right="1134"/>
      <w:jc w:val="both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ECE/TRANS/WP.29/GRE/2018/33</vt:lpstr>
      <vt:lpstr>ECE/TRANS/WP.29/GRE/2018/33</vt:lpstr>
    </vt:vector>
  </TitlesOfParts>
  <Company>DCM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ECE/TRANS/WP.29/GRE/2018/33</dc:title>
  <dc:subject/>
  <dc:creator>Corinne ROBERT</dc:creator>
  <cp:keywords/>
  <cp:lastModifiedBy>Benedicte Boudol</cp:lastModifiedBy>
  <cp:revision>2</cp:revision>
  <cp:lastPrinted>2018-09-05T13:58:00Z</cp:lastPrinted>
  <dcterms:created xsi:type="dcterms:W3CDTF">2018-09-05T15:02:00Z</dcterms:created>
  <dcterms:modified xsi:type="dcterms:W3CDTF">2018-09-05T15:02:00Z</dcterms:modified>
</cp:coreProperties>
</file>