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751B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751B3" w:rsidP="00D751B3">
            <w:pPr>
              <w:jc w:val="right"/>
            </w:pPr>
            <w:r w:rsidRPr="00D751B3">
              <w:rPr>
                <w:sz w:val="40"/>
              </w:rPr>
              <w:t>ECE</w:t>
            </w:r>
            <w:r>
              <w:t>/TRANS/WP.29/GRE/2018/29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751B3" w:rsidP="00C97039">
            <w:pPr>
              <w:spacing w:before="240"/>
            </w:pPr>
            <w:r>
              <w:t>Distr. générale</w:t>
            </w:r>
          </w:p>
          <w:p w:rsidR="00D751B3" w:rsidRDefault="00D751B3" w:rsidP="00D751B3">
            <w:pPr>
              <w:spacing w:line="240" w:lineRule="exact"/>
            </w:pPr>
            <w:r>
              <w:t>9 février 2018</w:t>
            </w:r>
          </w:p>
          <w:p w:rsidR="00D751B3" w:rsidRDefault="00D751B3" w:rsidP="00D751B3">
            <w:pPr>
              <w:spacing w:line="240" w:lineRule="exact"/>
            </w:pPr>
            <w:r>
              <w:t>Français</w:t>
            </w:r>
          </w:p>
          <w:p w:rsidR="00D751B3" w:rsidRPr="00DB58B5" w:rsidRDefault="00D751B3" w:rsidP="00D751B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751B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751B3" w:rsidRDefault="00D751B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751B3" w:rsidRDefault="00D751B3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D751B3" w:rsidRDefault="00D751B3" w:rsidP="00257168">
      <w:pPr>
        <w:spacing w:before="120" w:line="240" w:lineRule="exact"/>
        <w:rPr>
          <w:b/>
        </w:rPr>
      </w:pPr>
      <w:r>
        <w:rPr>
          <w:b/>
        </w:rPr>
        <w:t>Soixante-dix-neuvième session</w:t>
      </w:r>
    </w:p>
    <w:p w:rsidR="00D751B3" w:rsidRDefault="00D751B3" w:rsidP="00257168">
      <w:pPr>
        <w:spacing w:line="240" w:lineRule="exact"/>
      </w:pPr>
      <w:r>
        <w:t>Genève, 24-27 avril 2018</w:t>
      </w:r>
    </w:p>
    <w:p w:rsidR="00D751B3" w:rsidRDefault="00D751B3" w:rsidP="00257168">
      <w:pPr>
        <w:spacing w:line="240" w:lineRule="exact"/>
      </w:pPr>
      <w:r>
        <w:t>Point 7 c) de l’ordre du jour provisoire</w:t>
      </w:r>
    </w:p>
    <w:p w:rsidR="00D751B3" w:rsidRPr="006263D8" w:rsidRDefault="00D751B3" w:rsidP="00D751B3">
      <w:pPr>
        <w:ind w:right="1134"/>
        <w:rPr>
          <w:b/>
          <w:lang w:val="fr-FR"/>
        </w:rPr>
      </w:pPr>
      <w:r w:rsidRPr="006263D8">
        <w:rPr>
          <w:b/>
          <w:lang w:val="fr-FR"/>
        </w:rPr>
        <w:t>Autres Règlements</w:t>
      </w:r>
      <w:r w:rsidR="00621710">
        <w:rPr>
          <w:b/>
          <w:lang w:val="fr-FR"/>
        </w:rPr>
        <w:t xml:space="preserve"> :</w:t>
      </w:r>
    </w:p>
    <w:p w:rsidR="00D751B3" w:rsidRPr="006263D8" w:rsidRDefault="00D751B3" w:rsidP="00D751B3">
      <w:pPr>
        <w:ind w:right="1134"/>
        <w:rPr>
          <w:b/>
          <w:bCs/>
          <w:lang w:val="fr-FR"/>
        </w:rPr>
      </w:pPr>
      <w:r>
        <w:rPr>
          <w:b/>
          <w:bCs/>
          <w:lang w:val="fr-FR"/>
        </w:rPr>
        <w:t xml:space="preserve">Règlement </w:t>
      </w:r>
      <w:r w:rsidRPr="00D751B3">
        <w:rPr>
          <w:rFonts w:eastAsia="MS Mincho"/>
          <w:b/>
          <w:bCs/>
          <w:lang w:val="fr-FR"/>
        </w:rPr>
        <w:t>n</w:t>
      </w:r>
      <w:r w:rsidRPr="00D751B3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 </w:t>
      </w:r>
      <w:r w:rsidRPr="006263D8">
        <w:rPr>
          <w:b/>
          <w:bCs/>
          <w:lang w:val="fr-FR"/>
        </w:rPr>
        <w:t>53 (Installation des dispositifs d</w:t>
      </w:r>
      <w:r>
        <w:rPr>
          <w:b/>
          <w:bCs/>
          <w:lang w:val="fr-FR"/>
        </w:rPr>
        <w:t>’éclairage et de signalisation</w:t>
      </w:r>
      <w:r>
        <w:rPr>
          <w:b/>
          <w:bCs/>
          <w:lang w:val="fr-FR"/>
        </w:rPr>
        <w:br/>
      </w:r>
      <w:r w:rsidRPr="006263D8">
        <w:rPr>
          <w:b/>
          <w:bCs/>
          <w:lang w:val="fr-FR"/>
        </w:rPr>
        <w:t>lumineuse sur les véhicules de la catégorie L3)</w:t>
      </w:r>
    </w:p>
    <w:p w:rsidR="00D751B3" w:rsidRPr="006263D8" w:rsidRDefault="00D751B3" w:rsidP="00D751B3">
      <w:pPr>
        <w:pStyle w:val="HChG"/>
        <w:rPr>
          <w:szCs w:val="28"/>
          <w:lang w:val="fr-FR"/>
        </w:rPr>
      </w:pPr>
      <w:r w:rsidRPr="006263D8">
        <w:rPr>
          <w:lang w:val="fr-FR"/>
        </w:rPr>
        <w:tab/>
      </w:r>
      <w:r w:rsidRPr="006263D8">
        <w:rPr>
          <w:lang w:val="fr-FR"/>
        </w:rPr>
        <w:tab/>
      </w:r>
      <w:r w:rsidRPr="006263D8">
        <w:rPr>
          <w:szCs w:val="28"/>
          <w:lang w:val="fr-FR"/>
        </w:rPr>
        <w:t xml:space="preserve">Proposition de nouveau complément au </w:t>
      </w:r>
      <w:r w:rsidRPr="006263D8">
        <w:rPr>
          <w:lang w:val="fr-FR"/>
        </w:rPr>
        <w:t>Règlement n</w:t>
      </w:r>
      <w:r w:rsidRPr="006263D8">
        <w:rPr>
          <w:vertAlign w:val="superscript"/>
          <w:lang w:val="fr-FR"/>
        </w:rPr>
        <w:t>o</w:t>
      </w:r>
      <w:r w:rsidRPr="006263D8">
        <w:rPr>
          <w:lang w:val="fr-FR"/>
        </w:rPr>
        <w:t> 53 (Installation des dispositifs d</w:t>
      </w:r>
      <w:r>
        <w:rPr>
          <w:lang w:val="fr-FR"/>
        </w:rPr>
        <w:t>’</w:t>
      </w:r>
      <w:r w:rsidRPr="006263D8">
        <w:rPr>
          <w:lang w:val="fr-FR"/>
        </w:rPr>
        <w:t>éclairage et de signalisation lumineuse sur les véhicules de la catégorie L</w:t>
      </w:r>
      <w:r w:rsidRPr="006263D8">
        <w:rPr>
          <w:vertAlign w:val="subscript"/>
          <w:lang w:val="fr-FR"/>
        </w:rPr>
        <w:t>3</w:t>
      </w:r>
      <w:r w:rsidRPr="006263D8">
        <w:rPr>
          <w:lang w:val="fr-FR"/>
        </w:rPr>
        <w:t>)</w:t>
      </w:r>
    </w:p>
    <w:p w:rsidR="00D751B3" w:rsidRPr="006263D8" w:rsidRDefault="00D751B3" w:rsidP="00D751B3">
      <w:pPr>
        <w:pStyle w:val="H1G"/>
        <w:rPr>
          <w:lang w:val="fr-FR"/>
        </w:rPr>
      </w:pPr>
      <w:r w:rsidRPr="006263D8">
        <w:rPr>
          <w:lang w:val="fr-FR"/>
        </w:rPr>
        <w:tab/>
      </w:r>
      <w:r w:rsidRPr="006263D8">
        <w:rPr>
          <w:lang w:val="fr-FR"/>
        </w:rPr>
        <w:tab/>
        <w:t>Communication de l</w:t>
      </w:r>
      <w:r>
        <w:rPr>
          <w:lang w:val="fr-FR"/>
        </w:rPr>
        <w:t>’</w:t>
      </w:r>
      <w:r w:rsidRPr="006263D8">
        <w:rPr>
          <w:lang w:val="fr-FR"/>
        </w:rPr>
        <w:t>expert de l</w:t>
      </w:r>
      <w:r>
        <w:rPr>
          <w:lang w:val="fr-FR"/>
        </w:rPr>
        <w:t>’Association internationale</w:t>
      </w:r>
      <w:r>
        <w:rPr>
          <w:lang w:val="fr-FR"/>
        </w:rPr>
        <w:br/>
      </w:r>
      <w:r w:rsidRPr="006263D8">
        <w:rPr>
          <w:lang w:val="fr-FR"/>
        </w:rPr>
        <w:t>des constructeurs de motocycles (IMMA)</w:t>
      </w:r>
      <w:r w:rsidR="004E5BA7" w:rsidRPr="004E5BA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751B3" w:rsidRPr="006263D8" w:rsidRDefault="00D751B3" w:rsidP="00D751B3">
      <w:pPr>
        <w:pStyle w:val="SingleTxtG"/>
        <w:ind w:firstLine="567"/>
        <w:rPr>
          <w:lang w:val="fr-FR"/>
        </w:rPr>
      </w:pPr>
      <w:r w:rsidRPr="006263D8">
        <w:rPr>
          <w:lang w:val="fr-FR"/>
        </w:rPr>
        <w:t>Le texte ci-après, établi par les experts de l</w:t>
      </w:r>
      <w:r>
        <w:rPr>
          <w:lang w:val="fr-FR"/>
        </w:rPr>
        <w:t>’</w:t>
      </w:r>
      <w:r w:rsidRPr="006263D8">
        <w:rPr>
          <w:lang w:val="fr-FR"/>
        </w:rPr>
        <w:t>IMMA</w:t>
      </w:r>
      <w:r w:rsidR="00D23BA2">
        <w:rPr>
          <w:lang w:val="fr-FR"/>
        </w:rPr>
        <w:t>,</w:t>
      </w:r>
      <w:r w:rsidRPr="006263D8">
        <w:rPr>
          <w:lang w:val="fr-FR"/>
        </w:rPr>
        <w:t xml:space="preserve"> vise à améliorer la proposition soumise par l</w:t>
      </w:r>
      <w:r>
        <w:rPr>
          <w:lang w:val="fr-FR"/>
        </w:rPr>
        <w:t>’</w:t>
      </w:r>
      <w:r w:rsidRPr="006263D8">
        <w:rPr>
          <w:lang w:val="fr-FR"/>
        </w:rPr>
        <w:t>IMMA dans le document ECE/TRANS/WP.29/GRE/2017/25, qui avait pour but d</w:t>
      </w:r>
      <w:r>
        <w:rPr>
          <w:lang w:val="fr-FR"/>
        </w:rPr>
        <w:t>’</w:t>
      </w:r>
      <w:r w:rsidRPr="006263D8">
        <w:rPr>
          <w:lang w:val="fr-FR"/>
        </w:rPr>
        <w:t>autoriser l</w:t>
      </w:r>
      <w:r>
        <w:rPr>
          <w:lang w:val="fr-FR"/>
        </w:rPr>
        <w:t>’</w:t>
      </w:r>
      <w:r w:rsidRPr="006263D8">
        <w:rPr>
          <w:lang w:val="fr-FR"/>
        </w:rPr>
        <w:t>utilisation de différentes méthodes d</w:t>
      </w:r>
      <w:r>
        <w:rPr>
          <w:lang w:val="fr-FR"/>
        </w:rPr>
        <w:t>’</w:t>
      </w:r>
      <w:r w:rsidRPr="006263D8">
        <w:rPr>
          <w:lang w:val="fr-FR"/>
        </w:rPr>
        <w:t>activation des f</w:t>
      </w:r>
      <w:r w:rsidR="00DA713F">
        <w:rPr>
          <w:lang w:val="fr-FR"/>
        </w:rPr>
        <w:t>eux-</w:t>
      </w:r>
      <w:r w:rsidRPr="006263D8">
        <w:rPr>
          <w:lang w:val="fr-FR"/>
        </w:rPr>
        <w:t>stop et d</w:t>
      </w:r>
      <w:r>
        <w:rPr>
          <w:lang w:val="fr-FR"/>
        </w:rPr>
        <w:t>’</w:t>
      </w:r>
      <w:r w:rsidRPr="006263D8">
        <w:rPr>
          <w:lang w:val="fr-FR"/>
        </w:rPr>
        <w:t>aligner les dispositions relatives aux feux</w:t>
      </w:r>
      <w:r w:rsidR="00DA713F">
        <w:rPr>
          <w:lang w:val="fr-FR"/>
        </w:rPr>
        <w:t>-</w:t>
      </w:r>
      <w:r w:rsidRPr="006263D8">
        <w:rPr>
          <w:lang w:val="fr-FR"/>
        </w:rPr>
        <w:t>stop sur celles applicables aux véhicules à quatre roues. Les modifications qu</w:t>
      </w:r>
      <w:r>
        <w:rPr>
          <w:lang w:val="fr-FR"/>
        </w:rPr>
        <w:t>’</w:t>
      </w:r>
      <w:r w:rsidRPr="006263D8">
        <w:rPr>
          <w:lang w:val="fr-FR"/>
        </w:rPr>
        <w:t>il est proposé d</w:t>
      </w:r>
      <w:r>
        <w:rPr>
          <w:lang w:val="fr-FR"/>
        </w:rPr>
        <w:t>’</w:t>
      </w:r>
      <w:r w:rsidRPr="006263D8">
        <w:rPr>
          <w:lang w:val="fr-FR"/>
        </w:rPr>
        <w:t xml:space="preserve">apporter au texte actuel du Règlement </w:t>
      </w:r>
      <w:r w:rsidR="00466C84" w:rsidRPr="00466C84">
        <w:rPr>
          <w:rFonts w:eastAsia="MS Mincho"/>
          <w:lang w:val="fr-FR"/>
        </w:rPr>
        <w:t>n</w:t>
      </w:r>
      <w:r w:rsidR="00466C84" w:rsidRPr="00466C84">
        <w:rPr>
          <w:rFonts w:eastAsia="MS Mincho"/>
          <w:vertAlign w:val="superscript"/>
          <w:lang w:val="fr-FR"/>
        </w:rPr>
        <w:t>o</w:t>
      </w:r>
      <w:r w:rsidR="00466C84" w:rsidRPr="00466C84">
        <w:rPr>
          <w:lang w:val="fr-FR"/>
        </w:rPr>
        <w:t> </w:t>
      </w:r>
      <w:r w:rsidRPr="006263D8">
        <w:rPr>
          <w:lang w:val="fr-FR"/>
        </w:rPr>
        <w:t>53 figurent en caractères gras pour les ajouts et biffés pour les suppressions.</w:t>
      </w:r>
    </w:p>
    <w:p w:rsidR="00D751B3" w:rsidRPr="006263D8" w:rsidRDefault="00D751B3" w:rsidP="00D751B3">
      <w:pPr>
        <w:pStyle w:val="HChG"/>
        <w:tabs>
          <w:tab w:val="clear" w:pos="851"/>
        </w:tabs>
        <w:spacing w:line="240" w:lineRule="auto"/>
        <w:ind w:left="0" w:firstLine="0"/>
        <w:jc w:val="both"/>
        <w:rPr>
          <w:lang w:val="fr-FR"/>
        </w:rPr>
      </w:pPr>
      <w:r w:rsidRPr="006263D8">
        <w:rPr>
          <w:rFonts w:eastAsia="MS Mincho"/>
          <w:lang w:val="fr-FR"/>
        </w:rPr>
        <w:tab/>
      </w:r>
      <w:r w:rsidRPr="006263D8">
        <w:rPr>
          <w:rFonts w:eastAsia="MS Mincho"/>
          <w:lang w:val="fr-FR"/>
        </w:rPr>
        <w:br w:type="page"/>
      </w:r>
      <w:r w:rsidRPr="006263D8">
        <w:rPr>
          <w:lang w:val="fr-FR"/>
        </w:rPr>
        <w:lastRenderedPageBreak/>
        <w:tab/>
        <w:t>I.</w:t>
      </w:r>
      <w:r w:rsidRPr="006263D8">
        <w:rPr>
          <w:lang w:val="fr-FR"/>
        </w:rPr>
        <w:tab/>
        <w:t>Proposition</w:t>
      </w:r>
    </w:p>
    <w:p w:rsidR="00D751B3" w:rsidRPr="006263D8" w:rsidRDefault="00D751B3" w:rsidP="00D751B3">
      <w:pPr>
        <w:pStyle w:val="SingleTxtG"/>
        <w:ind w:right="-40"/>
        <w:rPr>
          <w:i/>
          <w:iCs/>
          <w:lang w:val="fr-FR"/>
        </w:rPr>
      </w:pPr>
      <w:r w:rsidRPr="006263D8">
        <w:rPr>
          <w:i/>
          <w:iCs/>
          <w:lang w:val="fr-FR"/>
        </w:rPr>
        <w:t>Paragraphe 2.5.9,</w:t>
      </w:r>
      <w:r w:rsidRPr="006263D8">
        <w:rPr>
          <w:lang w:val="fr-FR"/>
        </w:rPr>
        <w:t xml:space="preserve"> modifier comme suit</w:t>
      </w:r>
      <w:r w:rsidR="00621710">
        <w:rPr>
          <w:lang w:val="fr-FR"/>
        </w:rPr>
        <w:t xml:space="preserve"> :</w:t>
      </w:r>
    </w:p>
    <w:p w:rsidR="00D751B3" w:rsidRPr="006263D8" w:rsidRDefault="00FC405F" w:rsidP="00D751B3">
      <w:pPr>
        <w:spacing w:after="120"/>
        <w:ind w:leftChars="567" w:left="2268" w:rightChars="567" w:right="1134" w:hanging="1134"/>
        <w:jc w:val="both"/>
        <w:rPr>
          <w:i/>
          <w:iCs/>
          <w:lang w:val="fr-FR"/>
        </w:rPr>
      </w:pPr>
      <w:r>
        <w:rPr>
          <w:rFonts w:eastAsia="MS Mincho"/>
          <w:lang w:val="fr-FR"/>
        </w:rPr>
        <w:t>« 2.5.9</w:t>
      </w:r>
      <w:r w:rsidR="00D751B3" w:rsidRPr="006263D8">
        <w:rPr>
          <w:rFonts w:eastAsia="MS Mincho"/>
          <w:lang w:val="fr-FR"/>
        </w:rPr>
        <w:tab/>
      </w:r>
      <w:r w:rsidR="002B3D73">
        <w:rPr>
          <w:lang w:val="fr-FR"/>
        </w:rPr>
        <w:t>“Feu-</w:t>
      </w:r>
      <w:r w:rsidR="00D751B3" w:rsidRPr="006263D8">
        <w:rPr>
          <w:lang w:val="fr-FR"/>
        </w:rPr>
        <w:t xml:space="preserve">stop”, le feu servant à indiquer aux autres usagers de la route qui se trouvent derrière le véhicule que </w:t>
      </w:r>
      <w:r w:rsidR="00D751B3" w:rsidRPr="006263D8">
        <w:rPr>
          <w:rFonts w:eastAsia="MS Mincho"/>
          <w:strike/>
          <w:lang w:val="fr-FR"/>
        </w:rPr>
        <w:t>son conducteur actionne le frein de service</w:t>
      </w:r>
      <w:r w:rsidR="00D751B3" w:rsidRPr="006263D8">
        <w:rPr>
          <w:i/>
          <w:color w:val="C00000"/>
          <w:lang w:val="fr-FR"/>
        </w:rPr>
        <w:t xml:space="preserve"> </w:t>
      </w:r>
      <w:r w:rsidR="00D751B3" w:rsidRPr="006263D8">
        <w:rPr>
          <w:b/>
          <w:lang w:val="fr-FR"/>
        </w:rPr>
        <w:t>son déplacement longitudinal est volontairement ralenti</w:t>
      </w:r>
      <w:r>
        <w:rPr>
          <w:b/>
          <w:lang w:val="fr-FR"/>
        </w:rPr>
        <w:t>. </w:t>
      </w:r>
      <w:r w:rsidRPr="00FC405F">
        <w:rPr>
          <w:lang w:val="fr-FR"/>
        </w:rPr>
        <w:t>».</w:t>
      </w:r>
    </w:p>
    <w:p w:rsidR="00D751B3" w:rsidRPr="006263D8" w:rsidRDefault="00D751B3" w:rsidP="00D751B3">
      <w:pPr>
        <w:pStyle w:val="SingleTxtG"/>
        <w:ind w:right="-40"/>
        <w:rPr>
          <w:i/>
          <w:iCs/>
          <w:lang w:val="fr-FR"/>
        </w:rPr>
      </w:pPr>
      <w:r w:rsidRPr="006263D8">
        <w:rPr>
          <w:i/>
          <w:iCs/>
          <w:lang w:val="fr-FR"/>
        </w:rPr>
        <w:t>Paragraphe 6.4.6</w:t>
      </w:r>
      <w:r w:rsidRPr="00FC405F">
        <w:rPr>
          <w:iCs/>
          <w:lang w:val="fr-FR"/>
        </w:rPr>
        <w:t>,</w:t>
      </w:r>
      <w:r w:rsidRPr="006263D8">
        <w:rPr>
          <w:lang w:val="fr-FR"/>
        </w:rPr>
        <w:t xml:space="preserve"> modifier comme suit</w:t>
      </w:r>
      <w:r w:rsidR="00621710">
        <w:rPr>
          <w:lang w:val="fr-FR"/>
        </w:rPr>
        <w:t xml:space="preserve"> :</w:t>
      </w:r>
    </w:p>
    <w:p w:rsidR="00D751B3" w:rsidRPr="006263D8" w:rsidRDefault="00FC405F" w:rsidP="00D751B3">
      <w:pPr>
        <w:spacing w:after="120"/>
        <w:ind w:leftChars="567" w:left="2268" w:rightChars="567" w:right="1134" w:hanging="1134"/>
        <w:jc w:val="both"/>
        <w:rPr>
          <w:color w:val="000000"/>
          <w:lang w:val="fr-FR" w:eastAsia="ja-JP"/>
        </w:rPr>
      </w:pPr>
      <w:bookmarkStart w:id="1" w:name="_Hlk491963086"/>
      <w:r>
        <w:rPr>
          <w:color w:val="000000"/>
          <w:lang w:val="fr-FR" w:eastAsia="ja-JP"/>
        </w:rPr>
        <w:t>« 6.4.6</w:t>
      </w:r>
      <w:r w:rsidR="00D751B3" w:rsidRPr="006263D8">
        <w:rPr>
          <w:color w:val="000000"/>
          <w:lang w:val="fr-FR" w:eastAsia="ja-JP"/>
        </w:rPr>
        <w:tab/>
      </w:r>
      <w:r w:rsidR="00D751B3" w:rsidRPr="006263D8">
        <w:rPr>
          <w:lang w:val="fr-FR"/>
        </w:rPr>
        <w:t>Branchements électriques</w:t>
      </w:r>
    </w:p>
    <w:p w:rsidR="00D751B3" w:rsidRPr="006263D8" w:rsidRDefault="00FC405F" w:rsidP="00D751B3">
      <w:pPr>
        <w:pStyle w:val="SingleTxtG"/>
        <w:ind w:left="2268" w:hanging="1134"/>
        <w:rPr>
          <w:color w:val="000000"/>
          <w:lang w:val="fr-FR" w:eastAsia="ja-JP"/>
        </w:rPr>
      </w:pPr>
      <w:r>
        <w:rPr>
          <w:color w:val="000000"/>
          <w:lang w:val="fr-FR" w:eastAsia="ja-JP"/>
        </w:rPr>
        <w:t>6.4.6.1</w:t>
      </w:r>
      <w:r w:rsidR="00D751B3" w:rsidRPr="006263D8">
        <w:rPr>
          <w:color w:val="000000"/>
          <w:lang w:val="fr-FR" w:eastAsia="ja-JP"/>
        </w:rPr>
        <w:tab/>
      </w:r>
      <w:r w:rsidR="0079115B">
        <w:rPr>
          <w:lang w:val="fr-FR"/>
        </w:rPr>
        <w:t>Tous les feux-</w:t>
      </w:r>
      <w:r w:rsidR="00D751B3" w:rsidRPr="006263D8">
        <w:rPr>
          <w:lang w:val="fr-FR"/>
        </w:rPr>
        <w:t>stop doivent s</w:t>
      </w:r>
      <w:r w:rsidR="00D751B3">
        <w:rPr>
          <w:lang w:val="fr-FR"/>
        </w:rPr>
        <w:t>’</w:t>
      </w:r>
      <w:r w:rsidR="00D751B3" w:rsidRPr="006263D8">
        <w:rPr>
          <w:lang w:val="fr-FR"/>
        </w:rPr>
        <w:t>allumer simultanément</w:t>
      </w:r>
      <w:r w:rsidR="00D751B3" w:rsidRPr="006263D8">
        <w:rPr>
          <w:strike/>
          <w:lang w:val="fr-FR" w:eastAsia="ja-JP"/>
        </w:rPr>
        <w:t xml:space="preserve"> à toute application de l</w:t>
      </w:r>
      <w:r w:rsidR="00D751B3">
        <w:rPr>
          <w:strike/>
          <w:lang w:val="fr-FR" w:eastAsia="ja-JP"/>
        </w:rPr>
        <w:t>’</w:t>
      </w:r>
      <w:r w:rsidR="00D751B3" w:rsidRPr="006263D8">
        <w:rPr>
          <w:strike/>
          <w:lang w:val="fr-FR" w:eastAsia="ja-JP"/>
        </w:rPr>
        <w:t>un quelconque des freins de service</w:t>
      </w:r>
      <w:r w:rsidR="00D751B3" w:rsidRPr="006263D8">
        <w:rPr>
          <w:strike/>
          <w:color w:val="000000"/>
          <w:lang w:val="fr-FR" w:eastAsia="ja-JP"/>
        </w:rPr>
        <w:t>.</w:t>
      </w:r>
      <w:r w:rsidR="00D751B3" w:rsidRPr="006263D8">
        <w:rPr>
          <w:color w:val="000000"/>
          <w:lang w:val="fr-FR" w:eastAsia="ja-JP"/>
        </w:rPr>
        <w:t xml:space="preserve"> </w:t>
      </w:r>
      <w:r w:rsidR="00D751B3" w:rsidRPr="006263D8">
        <w:rPr>
          <w:b/>
          <w:bCs/>
          <w:color w:val="000000"/>
          <w:lang w:val="fr-FR" w:eastAsia="ja-JP"/>
        </w:rPr>
        <w:t>lorsque le système de freinage émet le signal de freinage défini dans le Règlement n</w:t>
      </w:r>
      <w:r w:rsidR="00D751B3" w:rsidRPr="006263D8">
        <w:rPr>
          <w:b/>
          <w:bCs/>
          <w:color w:val="000000"/>
          <w:vertAlign w:val="superscript"/>
          <w:lang w:val="fr-FR" w:eastAsia="ja-JP"/>
        </w:rPr>
        <w:t>o</w:t>
      </w:r>
      <w:r w:rsidR="00D751B3" w:rsidRPr="006263D8">
        <w:rPr>
          <w:b/>
          <w:bCs/>
          <w:color w:val="000000"/>
          <w:lang w:val="fr-FR" w:eastAsia="ja-JP"/>
        </w:rPr>
        <w:t> 78</w:t>
      </w:r>
      <w:r w:rsidR="00D751B3" w:rsidRPr="006263D8">
        <w:rPr>
          <w:bCs/>
          <w:color w:val="000000"/>
          <w:lang w:val="fr-FR" w:eastAsia="ja-JP"/>
        </w:rPr>
        <w:t>.</w:t>
      </w:r>
    </w:p>
    <w:p w:rsidR="00D751B3" w:rsidRPr="006263D8" w:rsidRDefault="00FC405F" w:rsidP="00D751B3">
      <w:pPr>
        <w:spacing w:after="120"/>
        <w:ind w:leftChars="567" w:left="2268" w:rightChars="567" w:right="1134" w:hanging="1134"/>
        <w:jc w:val="both"/>
        <w:rPr>
          <w:i/>
          <w:lang w:val="fr-FR"/>
        </w:rPr>
      </w:pPr>
      <w:r>
        <w:rPr>
          <w:b/>
          <w:bCs/>
          <w:color w:val="000000"/>
          <w:lang w:val="fr-FR" w:eastAsia="ja-JP"/>
        </w:rPr>
        <w:t>6.4.6.2</w:t>
      </w:r>
      <w:r w:rsidR="00D751B3" w:rsidRPr="006263D8">
        <w:rPr>
          <w:b/>
          <w:bCs/>
          <w:color w:val="000000"/>
          <w:lang w:val="fr-FR" w:eastAsia="ja-JP"/>
        </w:rPr>
        <w:tab/>
        <w:t>Il n</w:t>
      </w:r>
      <w:r w:rsidR="00D751B3">
        <w:rPr>
          <w:b/>
          <w:bCs/>
          <w:color w:val="000000"/>
          <w:lang w:val="fr-FR" w:eastAsia="ja-JP"/>
        </w:rPr>
        <w:t>’</w:t>
      </w:r>
      <w:r w:rsidR="00DE2F13">
        <w:rPr>
          <w:b/>
          <w:bCs/>
          <w:color w:val="000000"/>
          <w:lang w:val="fr-FR" w:eastAsia="ja-JP"/>
        </w:rPr>
        <w:t>est pas nécessaire que les feux-</w:t>
      </w:r>
      <w:r w:rsidR="00D751B3" w:rsidRPr="006263D8">
        <w:rPr>
          <w:b/>
          <w:bCs/>
          <w:color w:val="000000"/>
          <w:lang w:val="fr-FR" w:eastAsia="ja-JP"/>
        </w:rPr>
        <w:t>stop s</w:t>
      </w:r>
      <w:r w:rsidR="00D751B3">
        <w:rPr>
          <w:b/>
          <w:bCs/>
          <w:color w:val="000000"/>
          <w:lang w:val="fr-FR" w:eastAsia="ja-JP"/>
        </w:rPr>
        <w:t>’</w:t>
      </w:r>
      <w:r w:rsidR="00D751B3" w:rsidRPr="006263D8">
        <w:rPr>
          <w:b/>
          <w:bCs/>
          <w:color w:val="000000"/>
          <w:lang w:val="fr-FR" w:eastAsia="ja-JP"/>
        </w:rPr>
        <w:t>allument si le dispositif commandant le démarrage et/ou l</w:t>
      </w:r>
      <w:r w:rsidR="00D751B3">
        <w:rPr>
          <w:b/>
          <w:bCs/>
          <w:color w:val="000000"/>
          <w:lang w:val="fr-FR" w:eastAsia="ja-JP"/>
        </w:rPr>
        <w:t>’</w:t>
      </w:r>
      <w:r w:rsidR="00D751B3" w:rsidRPr="006263D8">
        <w:rPr>
          <w:b/>
          <w:bCs/>
          <w:color w:val="000000"/>
          <w:lang w:val="fr-FR" w:eastAsia="ja-JP"/>
        </w:rPr>
        <w:t>arrêt du moteur (système de propulsion), se trouve dans une position qui rend impossible le fonctionnement du moteur (système de propulsion).</w:t>
      </w:r>
      <w:r>
        <w:rPr>
          <w:bCs/>
          <w:color w:val="000000"/>
          <w:lang w:val="fr-FR" w:eastAsia="ja-JP"/>
        </w:rPr>
        <w:t> ».</w:t>
      </w:r>
    </w:p>
    <w:bookmarkEnd w:id="1"/>
    <w:p w:rsidR="00D751B3" w:rsidRPr="006263D8" w:rsidRDefault="00D751B3" w:rsidP="00D751B3">
      <w:pPr>
        <w:pStyle w:val="HChG"/>
        <w:rPr>
          <w:rFonts w:eastAsia="Times New Roman"/>
          <w:lang w:val="fr-FR"/>
        </w:rPr>
      </w:pPr>
      <w:r w:rsidRPr="006263D8">
        <w:rPr>
          <w:rFonts w:eastAsia="Times New Roman"/>
          <w:lang w:val="fr-FR"/>
        </w:rPr>
        <w:tab/>
        <w:t>II.</w:t>
      </w:r>
      <w:r w:rsidRPr="006263D8">
        <w:rPr>
          <w:rFonts w:eastAsia="Times New Roman"/>
          <w:lang w:val="fr-FR"/>
        </w:rPr>
        <w:tab/>
        <w:t>Justification</w:t>
      </w:r>
    </w:p>
    <w:p w:rsidR="00D751B3" w:rsidRPr="006263D8" w:rsidRDefault="00D751B3" w:rsidP="00D751B3">
      <w:pPr>
        <w:widowControl w:val="0"/>
        <w:tabs>
          <w:tab w:val="left" w:pos="-1440"/>
        </w:tabs>
        <w:spacing w:after="120"/>
        <w:ind w:left="1134" w:right="1134"/>
        <w:jc w:val="both"/>
        <w:rPr>
          <w:lang w:val="fr-FR"/>
        </w:rPr>
      </w:pPr>
      <w:r w:rsidRPr="006263D8">
        <w:rPr>
          <w:lang w:val="fr-FR"/>
        </w:rPr>
        <w:t>1.</w:t>
      </w:r>
      <w:r w:rsidRPr="006263D8">
        <w:rPr>
          <w:lang w:val="fr-FR"/>
        </w:rPr>
        <w:tab/>
        <w:t>La présente proposition est une version révisée de celles qui figuraient dans les documents ECE/TRANS/WP.29/GRE/2017/25 et GRE-78-07 et tient compte des observations formulées par les parties prenantes à la session d</w:t>
      </w:r>
      <w:r>
        <w:rPr>
          <w:lang w:val="fr-FR"/>
        </w:rPr>
        <w:t>’</w:t>
      </w:r>
      <w:r w:rsidRPr="006263D8">
        <w:rPr>
          <w:lang w:val="fr-FR"/>
        </w:rPr>
        <w:t>octobre 2017 du Groupe de travail de l</w:t>
      </w:r>
      <w:r>
        <w:rPr>
          <w:lang w:val="fr-FR"/>
        </w:rPr>
        <w:t>’</w:t>
      </w:r>
      <w:r w:rsidRPr="006263D8">
        <w:rPr>
          <w:lang w:val="fr-FR"/>
        </w:rPr>
        <w:t>éclairage et de la signalisation lumineuse (GRE).</w:t>
      </w:r>
    </w:p>
    <w:p w:rsidR="00D751B3" w:rsidRPr="006263D8" w:rsidRDefault="00D751B3" w:rsidP="00D751B3">
      <w:pPr>
        <w:widowControl w:val="0"/>
        <w:tabs>
          <w:tab w:val="left" w:pos="-1440"/>
        </w:tabs>
        <w:spacing w:after="120"/>
        <w:ind w:left="1134" w:right="1134"/>
        <w:jc w:val="both"/>
        <w:rPr>
          <w:lang w:val="fr-FR"/>
        </w:rPr>
      </w:pPr>
      <w:r w:rsidRPr="006263D8">
        <w:rPr>
          <w:lang w:val="fr-FR"/>
        </w:rPr>
        <w:t>2.</w:t>
      </w:r>
      <w:r w:rsidRPr="006263D8">
        <w:rPr>
          <w:lang w:val="fr-FR"/>
        </w:rPr>
        <w:tab/>
        <w:t>Il s</w:t>
      </w:r>
      <w:r>
        <w:rPr>
          <w:lang w:val="fr-FR"/>
        </w:rPr>
        <w:t>’</w:t>
      </w:r>
      <w:r w:rsidRPr="006263D8">
        <w:rPr>
          <w:lang w:val="fr-FR"/>
        </w:rPr>
        <w:t>agit d</w:t>
      </w:r>
      <w:r>
        <w:rPr>
          <w:lang w:val="fr-FR"/>
        </w:rPr>
        <w:t>’</w:t>
      </w:r>
      <w:r w:rsidRPr="006263D8">
        <w:rPr>
          <w:lang w:val="fr-FR"/>
        </w:rPr>
        <w:t>ac</w:t>
      </w:r>
      <w:r w:rsidR="00252A58">
        <w:rPr>
          <w:lang w:val="fr-FR"/>
        </w:rPr>
        <w:t>tualiser la définition des feux-</w:t>
      </w:r>
      <w:r w:rsidRPr="006263D8">
        <w:rPr>
          <w:lang w:val="fr-FR"/>
        </w:rPr>
        <w:t>stop de sorte à autoriser l</w:t>
      </w:r>
      <w:r>
        <w:rPr>
          <w:lang w:val="fr-FR"/>
        </w:rPr>
        <w:t>’</w:t>
      </w:r>
      <w:r w:rsidRPr="006263D8">
        <w:rPr>
          <w:lang w:val="fr-FR"/>
        </w:rPr>
        <w:t>application de diverses méthodes d</w:t>
      </w:r>
      <w:r>
        <w:rPr>
          <w:lang w:val="fr-FR"/>
        </w:rPr>
        <w:t>’</w:t>
      </w:r>
      <w:r w:rsidRPr="006263D8">
        <w:rPr>
          <w:lang w:val="fr-FR"/>
        </w:rPr>
        <w:t>activation pour les deux-roues motorisés, qui s</w:t>
      </w:r>
      <w:r>
        <w:rPr>
          <w:lang w:val="fr-FR"/>
        </w:rPr>
        <w:t>’</w:t>
      </w:r>
      <w:r w:rsidRPr="006263D8">
        <w:rPr>
          <w:lang w:val="fr-FR"/>
        </w:rPr>
        <w:t>appliquent actuellement aux véhicules à quatre roues ; par exemple, par l</w:t>
      </w:r>
      <w:r>
        <w:rPr>
          <w:lang w:val="fr-FR"/>
        </w:rPr>
        <w:t>’</w:t>
      </w:r>
      <w:r w:rsidRPr="006263D8">
        <w:rPr>
          <w:lang w:val="fr-FR"/>
        </w:rPr>
        <w:t>action d</w:t>
      </w:r>
      <w:r>
        <w:rPr>
          <w:lang w:val="fr-FR"/>
        </w:rPr>
        <w:t>’</w:t>
      </w:r>
      <w:r w:rsidRPr="006263D8">
        <w:rPr>
          <w:lang w:val="fr-FR"/>
        </w:rPr>
        <w:t>un ralentisseur ou d</w:t>
      </w:r>
      <w:r>
        <w:rPr>
          <w:lang w:val="fr-FR"/>
        </w:rPr>
        <w:t>’</w:t>
      </w:r>
      <w:r w:rsidRPr="006263D8">
        <w:rPr>
          <w:lang w:val="fr-FR"/>
        </w:rPr>
        <w:t xml:space="preserve">un dispositif analogue.  </w:t>
      </w:r>
    </w:p>
    <w:p w:rsidR="00D751B3" w:rsidRPr="006263D8" w:rsidRDefault="00D751B3" w:rsidP="00D751B3">
      <w:pPr>
        <w:widowControl w:val="0"/>
        <w:tabs>
          <w:tab w:val="left" w:pos="-1440"/>
        </w:tabs>
        <w:spacing w:after="120"/>
        <w:ind w:left="1134" w:right="1134"/>
        <w:jc w:val="both"/>
        <w:rPr>
          <w:lang w:val="fr-FR"/>
        </w:rPr>
      </w:pPr>
      <w:r w:rsidRPr="006263D8">
        <w:rPr>
          <w:lang w:val="fr-FR"/>
        </w:rPr>
        <w:t>3.</w:t>
      </w:r>
      <w:r w:rsidRPr="006263D8">
        <w:rPr>
          <w:lang w:val="fr-FR"/>
        </w:rPr>
        <w:tab/>
        <w:t xml:space="preserve">La nouvelle </w:t>
      </w:r>
      <w:r w:rsidR="00FC405F">
        <w:rPr>
          <w:lang w:val="fr-FR"/>
        </w:rPr>
        <w:t>définition proposée (par. </w:t>
      </w:r>
      <w:r w:rsidRPr="006263D8">
        <w:rPr>
          <w:lang w:val="fr-FR"/>
        </w:rPr>
        <w:t>2.5.9) est alignée sur la définition qui figure dans la série 06 d</w:t>
      </w:r>
      <w:r>
        <w:rPr>
          <w:lang w:val="fr-FR"/>
        </w:rPr>
        <w:t>’</w:t>
      </w:r>
      <w:r w:rsidRPr="006263D8">
        <w:rPr>
          <w:lang w:val="fr-FR"/>
        </w:rPr>
        <w:t>amendements au Règlement n</w:t>
      </w:r>
      <w:r w:rsidRPr="006263D8">
        <w:rPr>
          <w:vertAlign w:val="superscript"/>
          <w:lang w:val="fr-FR"/>
        </w:rPr>
        <w:t>o</w:t>
      </w:r>
      <w:r w:rsidRPr="006263D8">
        <w:rPr>
          <w:lang w:val="fr-FR"/>
        </w:rPr>
        <w:t> 48. En outre, le paragraphe 6.4.6.1 est fondé sur le paragraphe 6.7.7.1 du Règlement n</w:t>
      </w:r>
      <w:r w:rsidRPr="006263D8">
        <w:rPr>
          <w:vertAlign w:val="superscript"/>
          <w:lang w:val="fr-FR"/>
        </w:rPr>
        <w:t>o</w:t>
      </w:r>
      <w:r w:rsidRPr="006263D8">
        <w:rPr>
          <w:lang w:val="fr-FR"/>
        </w:rPr>
        <w:t> 48 et le paragraphe 6.4.6.2 est similaire au paragraphe 6.7.7.2 du même Règlement.</w:t>
      </w:r>
    </w:p>
    <w:p w:rsidR="00D751B3" w:rsidRDefault="00D751B3" w:rsidP="00D751B3">
      <w:pPr>
        <w:pStyle w:val="bulletpoint"/>
        <w:numPr>
          <w:ilvl w:val="0"/>
          <w:numId w:val="0"/>
        </w:numPr>
        <w:spacing w:after="120" w:line="240" w:lineRule="atLeast"/>
        <w:ind w:left="1134" w:right="1134"/>
        <w:rPr>
          <w:sz w:val="20"/>
          <w:szCs w:val="20"/>
          <w:lang w:val="fr-FR"/>
        </w:rPr>
      </w:pPr>
      <w:r w:rsidRPr="006263D8">
        <w:rPr>
          <w:sz w:val="20"/>
          <w:szCs w:val="20"/>
          <w:lang w:val="fr-FR"/>
        </w:rPr>
        <w:t>4.</w:t>
      </w:r>
      <w:r w:rsidRPr="006263D8">
        <w:rPr>
          <w:sz w:val="20"/>
          <w:szCs w:val="20"/>
          <w:lang w:val="fr-FR"/>
        </w:rPr>
        <w:tab/>
        <w:t>Une proposition correspondante d</w:t>
      </w:r>
      <w:r>
        <w:rPr>
          <w:sz w:val="20"/>
          <w:szCs w:val="20"/>
          <w:lang w:val="fr-FR"/>
        </w:rPr>
        <w:t>’</w:t>
      </w:r>
      <w:r w:rsidR="00FC405F">
        <w:rPr>
          <w:sz w:val="20"/>
          <w:szCs w:val="20"/>
          <w:lang w:val="fr-FR"/>
        </w:rPr>
        <w:t xml:space="preserve">amendements au Règlement </w:t>
      </w:r>
      <w:r w:rsidR="00FC405F" w:rsidRPr="00FC405F">
        <w:rPr>
          <w:sz w:val="20"/>
          <w:szCs w:val="20"/>
          <w:lang w:val="fr-FR"/>
        </w:rPr>
        <w:t>n</w:t>
      </w:r>
      <w:r w:rsidR="00FC405F" w:rsidRPr="00FC405F">
        <w:rPr>
          <w:sz w:val="20"/>
          <w:szCs w:val="20"/>
          <w:vertAlign w:val="superscript"/>
          <w:lang w:val="fr-FR"/>
        </w:rPr>
        <w:t>o</w:t>
      </w:r>
      <w:r w:rsidR="00FC405F" w:rsidRPr="00FC405F">
        <w:rPr>
          <w:sz w:val="20"/>
          <w:szCs w:val="20"/>
          <w:lang w:val="fr-FR"/>
        </w:rPr>
        <w:t> </w:t>
      </w:r>
      <w:r w:rsidRPr="006263D8">
        <w:rPr>
          <w:sz w:val="20"/>
          <w:szCs w:val="20"/>
          <w:lang w:val="fr-FR"/>
        </w:rPr>
        <w:t>78 a été soumise au Groupe de travail en matière de roulement et de freinage (GRRF) (ECE/TRANS/WP.29/GRRF/2017/14).</w:t>
      </w:r>
    </w:p>
    <w:p w:rsidR="00F9573C" w:rsidRDefault="00D751B3" w:rsidP="00D751B3">
      <w:pPr>
        <w:pStyle w:val="bulletpoint"/>
        <w:numPr>
          <w:ilvl w:val="0"/>
          <w:numId w:val="0"/>
        </w:numPr>
        <w:spacing w:after="120" w:line="240" w:lineRule="atLeast"/>
        <w:ind w:left="1134" w:right="1134"/>
        <w:rPr>
          <w:sz w:val="20"/>
          <w:szCs w:val="20"/>
          <w:lang w:val="fr-FR"/>
        </w:rPr>
      </w:pPr>
      <w:r w:rsidRPr="006263D8">
        <w:rPr>
          <w:sz w:val="20"/>
          <w:szCs w:val="20"/>
          <w:lang w:val="fr-FR"/>
        </w:rPr>
        <w:t xml:space="preserve">5. </w:t>
      </w:r>
      <w:r w:rsidRPr="006263D8">
        <w:rPr>
          <w:sz w:val="20"/>
          <w:szCs w:val="20"/>
          <w:lang w:val="fr-FR"/>
        </w:rPr>
        <w:tab/>
        <w:t>La présente proposition devrait être examinée en tant que complément plutôt qu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en tant que nouvelle série d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amendements. En effet, à sa session de novembre 2017, le Forum mondial de l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harmonisation des Règlements concernant les véhicules (WP.29) a adopté des Directives générales concernant l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élaboration des Règlements de l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ONU et les dispositions transitoires qu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ils contiennent (ECE/TRANS/WP.29/2017/107 et Add.1), dont le paragraphe</w:t>
      </w:r>
      <w:r w:rsidR="00FC405F">
        <w:rPr>
          <w:sz w:val="20"/>
          <w:szCs w:val="20"/>
          <w:lang w:val="fr-FR"/>
        </w:rPr>
        <w:t> </w:t>
      </w:r>
      <w:r w:rsidRPr="006263D8">
        <w:rPr>
          <w:sz w:val="20"/>
          <w:szCs w:val="20"/>
          <w:lang w:val="fr-FR"/>
        </w:rPr>
        <w:t>22 apporte des éclaircissements sur la distinction entre les séries d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 xml:space="preserve">amendements et les compléments. Dans le cas </w:t>
      </w:r>
      <w:r>
        <w:rPr>
          <w:sz w:val="20"/>
          <w:szCs w:val="20"/>
          <w:lang w:val="fr-FR"/>
        </w:rPr>
        <w:t>présent</w:t>
      </w:r>
      <w:r w:rsidRPr="006263D8">
        <w:rPr>
          <w:sz w:val="20"/>
          <w:szCs w:val="20"/>
          <w:lang w:val="fr-FR"/>
        </w:rPr>
        <w:t>, il n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y a pas de modification du niveau d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exigence puisque le libellé actuel du paragraphe 6.4.6 du Règlement n</w:t>
      </w:r>
      <w:r w:rsidRPr="006263D8">
        <w:rPr>
          <w:sz w:val="20"/>
          <w:szCs w:val="20"/>
          <w:vertAlign w:val="superscript"/>
          <w:lang w:val="fr-FR"/>
        </w:rPr>
        <w:t>o</w:t>
      </w:r>
      <w:r w:rsidRPr="006263D8">
        <w:rPr>
          <w:sz w:val="20"/>
          <w:szCs w:val="20"/>
          <w:lang w:val="fr-FR"/>
        </w:rPr>
        <w:t xml:space="preserve"> 53 dispose que </w:t>
      </w:r>
      <w:r w:rsidR="00851E2F">
        <w:rPr>
          <w:sz w:val="20"/>
          <w:szCs w:val="20"/>
          <w:lang w:val="fr-FR"/>
        </w:rPr>
        <w:t>« </w:t>
      </w:r>
      <w:r w:rsidRPr="006263D8">
        <w:rPr>
          <w:sz w:val="20"/>
          <w:szCs w:val="20"/>
          <w:lang w:val="fr-FR"/>
        </w:rPr>
        <w:t>[t]</w:t>
      </w:r>
      <w:r>
        <w:rPr>
          <w:sz w:val="20"/>
          <w:szCs w:val="20"/>
          <w:lang w:val="fr-FR"/>
        </w:rPr>
        <w:t>ous les feux</w:t>
      </w:r>
      <w:r w:rsidR="00AA2AE6">
        <w:rPr>
          <w:sz w:val="20"/>
          <w:szCs w:val="20"/>
          <w:lang w:val="fr-FR"/>
        </w:rPr>
        <w:t>-</w:t>
      </w:r>
      <w:r w:rsidRPr="006263D8">
        <w:rPr>
          <w:sz w:val="20"/>
          <w:szCs w:val="20"/>
          <w:lang w:val="fr-FR"/>
        </w:rPr>
        <w:t>stop doivent s</w:t>
      </w:r>
      <w:r>
        <w:rPr>
          <w:sz w:val="20"/>
          <w:szCs w:val="20"/>
          <w:lang w:val="fr-FR"/>
        </w:rPr>
        <w:t>’</w:t>
      </w:r>
      <w:r w:rsidRPr="006263D8">
        <w:rPr>
          <w:sz w:val="20"/>
          <w:szCs w:val="20"/>
          <w:lang w:val="fr-FR"/>
        </w:rPr>
        <w:t>allumer</w:t>
      </w:r>
      <w:r w:rsidR="00851E2F">
        <w:rPr>
          <w:sz w:val="20"/>
          <w:szCs w:val="20"/>
          <w:lang w:val="fr-FR"/>
        </w:rPr>
        <w:t>... ».</w:t>
      </w:r>
    </w:p>
    <w:p w:rsidR="00D751B3" w:rsidRPr="00D751B3" w:rsidRDefault="00D751B3" w:rsidP="00D751B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51B3" w:rsidRPr="00D751B3" w:rsidSect="00D751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4A" w:rsidRDefault="005B624A" w:rsidP="00F95C08">
      <w:pPr>
        <w:spacing w:line="240" w:lineRule="auto"/>
      </w:pPr>
    </w:p>
  </w:endnote>
  <w:endnote w:type="continuationSeparator" w:id="0">
    <w:p w:rsidR="005B624A" w:rsidRPr="00AC3823" w:rsidRDefault="005B624A" w:rsidP="00AC3823">
      <w:pPr>
        <w:pStyle w:val="Footer"/>
      </w:pPr>
    </w:p>
  </w:endnote>
  <w:endnote w:type="continuationNotice" w:id="1">
    <w:p w:rsidR="005B624A" w:rsidRDefault="005B62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3" w:rsidRPr="00D751B3" w:rsidRDefault="00D751B3" w:rsidP="00D751B3">
    <w:pPr>
      <w:pStyle w:val="Footer"/>
      <w:tabs>
        <w:tab w:val="right" w:pos="9638"/>
      </w:tabs>
    </w:pPr>
    <w:r w:rsidRPr="00D751B3">
      <w:rPr>
        <w:b/>
        <w:sz w:val="18"/>
      </w:rPr>
      <w:fldChar w:fldCharType="begin"/>
    </w:r>
    <w:r w:rsidRPr="00D751B3">
      <w:rPr>
        <w:b/>
        <w:sz w:val="18"/>
      </w:rPr>
      <w:instrText xml:space="preserve"> PAGE  \* MERGEFORMAT </w:instrText>
    </w:r>
    <w:r w:rsidRPr="00D751B3">
      <w:rPr>
        <w:b/>
        <w:sz w:val="18"/>
      </w:rPr>
      <w:fldChar w:fldCharType="separate"/>
    </w:r>
    <w:r w:rsidR="00E03DD4">
      <w:rPr>
        <w:b/>
        <w:noProof/>
        <w:sz w:val="18"/>
      </w:rPr>
      <w:t>2</w:t>
    </w:r>
    <w:r w:rsidRPr="00D751B3">
      <w:rPr>
        <w:b/>
        <w:sz w:val="18"/>
      </w:rPr>
      <w:fldChar w:fldCharType="end"/>
    </w:r>
    <w:r>
      <w:rPr>
        <w:b/>
        <w:sz w:val="18"/>
      </w:rPr>
      <w:tab/>
    </w:r>
    <w:r>
      <w:t>GE.18-02026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3" w:rsidRPr="00D751B3" w:rsidRDefault="00D751B3" w:rsidP="00D751B3">
    <w:pPr>
      <w:pStyle w:val="Footer"/>
      <w:tabs>
        <w:tab w:val="right" w:pos="9638"/>
      </w:tabs>
      <w:rPr>
        <w:b/>
        <w:sz w:val="18"/>
      </w:rPr>
    </w:pPr>
    <w:r>
      <w:t>GE.18-02026</w:t>
    </w:r>
    <w:r>
      <w:tab/>
    </w:r>
    <w:r w:rsidRPr="00D751B3">
      <w:rPr>
        <w:b/>
        <w:sz w:val="18"/>
      </w:rPr>
      <w:fldChar w:fldCharType="begin"/>
    </w:r>
    <w:r w:rsidRPr="00D751B3">
      <w:rPr>
        <w:b/>
        <w:sz w:val="18"/>
      </w:rPr>
      <w:instrText xml:space="preserve"> PAGE  \* MERGEFORMAT </w:instrText>
    </w:r>
    <w:r w:rsidRPr="00D751B3">
      <w:rPr>
        <w:b/>
        <w:sz w:val="18"/>
      </w:rPr>
      <w:fldChar w:fldCharType="separate"/>
    </w:r>
    <w:r w:rsidR="00F858C1">
      <w:rPr>
        <w:b/>
        <w:noProof/>
        <w:sz w:val="18"/>
      </w:rPr>
      <w:t>2</w:t>
    </w:r>
    <w:r w:rsidRPr="00D751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751B3" w:rsidRDefault="00D751B3" w:rsidP="00D751B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18-02026  (F)    270218    270218</w:t>
    </w:r>
    <w:r>
      <w:rPr>
        <w:sz w:val="20"/>
      </w:rPr>
      <w:br/>
    </w:r>
    <w:r w:rsidRPr="00D751B3">
      <w:rPr>
        <w:rFonts w:ascii="C39T30Lfz" w:hAnsi="C39T30Lfz"/>
        <w:sz w:val="56"/>
      </w:rPr>
      <w:t></w:t>
    </w:r>
    <w:r w:rsidRPr="00D751B3">
      <w:rPr>
        <w:rFonts w:ascii="C39T30Lfz" w:hAnsi="C39T30Lfz"/>
        <w:sz w:val="56"/>
      </w:rPr>
      <w:t></w:t>
    </w:r>
    <w:r w:rsidRPr="00D751B3">
      <w:rPr>
        <w:rFonts w:ascii="C39T30Lfz" w:hAnsi="C39T30Lfz"/>
        <w:sz w:val="56"/>
      </w:rPr>
      <w:t></w:t>
    </w:r>
    <w:r w:rsidRPr="00D751B3">
      <w:rPr>
        <w:rFonts w:ascii="C39T30Lfz" w:hAnsi="C39T30Lfz"/>
        <w:sz w:val="56"/>
      </w:rPr>
      <w:t></w:t>
    </w:r>
    <w:r w:rsidRPr="00D751B3">
      <w:rPr>
        <w:rFonts w:ascii="C39T30Lfz" w:hAnsi="C39T30Lfz"/>
        <w:sz w:val="56"/>
      </w:rPr>
      <w:t></w:t>
    </w:r>
    <w:r w:rsidRPr="00D751B3">
      <w:rPr>
        <w:rFonts w:ascii="C39T30Lfz" w:hAnsi="C39T30Lfz"/>
        <w:sz w:val="56"/>
      </w:rPr>
      <w:t></w:t>
    </w:r>
    <w:r w:rsidRPr="00D751B3">
      <w:rPr>
        <w:rFonts w:ascii="C39T30Lfz" w:hAnsi="C39T30Lfz"/>
        <w:sz w:val="56"/>
      </w:rPr>
      <w:t></w:t>
    </w:r>
    <w:r w:rsidRPr="00D751B3">
      <w:rPr>
        <w:rFonts w:ascii="C39T30Lfz" w:hAnsi="C39T30Lfz"/>
        <w:sz w:val="56"/>
      </w:rPr>
      <w:t></w:t>
    </w:r>
    <w:r w:rsidRPr="00D751B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4A" w:rsidRPr="00AC3823" w:rsidRDefault="005B62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624A" w:rsidRPr="00AC3823" w:rsidRDefault="005B62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624A" w:rsidRPr="00AC3823" w:rsidRDefault="005B624A">
      <w:pPr>
        <w:spacing w:line="240" w:lineRule="auto"/>
        <w:rPr>
          <w:sz w:val="2"/>
          <w:szCs w:val="2"/>
        </w:rPr>
      </w:pPr>
    </w:p>
  </w:footnote>
  <w:footnote w:id="2">
    <w:p w:rsidR="004E5BA7" w:rsidRPr="004E5BA7" w:rsidRDefault="004E5BA7">
      <w:pPr>
        <w:pStyle w:val="FootnoteText"/>
      </w:pPr>
      <w:r>
        <w:rPr>
          <w:rStyle w:val="FootnoteReference"/>
        </w:rPr>
        <w:tab/>
      </w:r>
      <w:r w:rsidRPr="004E5BA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0858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2014</w:t>
      </w:r>
      <w:r>
        <w:rPr>
          <w:lang w:val="fr-FR"/>
        </w:rPr>
        <w:noBreakHyphen/>
      </w:r>
      <w:r w:rsidRPr="00780858">
        <w:rPr>
          <w:lang w:val="fr-FR"/>
        </w:rPr>
        <w:t xml:space="preserve">2018 (ECE/TRANS/240, par. 105, et ECE/TRANS/2014/26, </w:t>
      </w:r>
      <w:r>
        <w:rPr>
          <w:lang w:val="fr-FR"/>
        </w:rPr>
        <w:t>activité</w:t>
      </w:r>
      <w:r w:rsidRPr="00780858">
        <w:rPr>
          <w:lang w:val="fr-FR"/>
        </w:rPr>
        <w:t> 02.4), le Forum mondial a pour mission d’élaborer, d’harmoniser et de mettre à jour les Règlements en vue d’améliorer les caractéristiques fonctionnelles des véhicules. Le présent document est soumis en vertu de ce mandat</w:t>
      </w:r>
      <w:r w:rsidRPr="009D5122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3" w:rsidRPr="00D751B3" w:rsidRDefault="00E03D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F5C01">
      <w:t>ECE/TRANS/WP.29/GRE/2018/29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B3" w:rsidRPr="00D751B3" w:rsidRDefault="00E03DD4" w:rsidP="00D751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F5C01">
      <w:t>ECE/TRANS/WP.29/GRE/2018/29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4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2A58"/>
    <w:rsid w:val="00257168"/>
    <w:rsid w:val="002744B8"/>
    <w:rsid w:val="002832AC"/>
    <w:rsid w:val="002B3D73"/>
    <w:rsid w:val="002D7C93"/>
    <w:rsid w:val="00305801"/>
    <w:rsid w:val="003916DE"/>
    <w:rsid w:val="00441C3B"/>
    <w:rsid w:val="00446FE5"/>
    <w:rsid w:val="00452396"/>
    <w:rsid w:val="00466C84"/>
    <w:rsid w:val="004837D8"/>
    <w:rsid w:val="004E468C"/>
    <w:rsid w:val="004E5BA7"/>
    <w:rsid w:val="005348B9"/>
    <w:rsid w:val="005505B7"/>
    <w:rsid w:val="00573BE5"/>
    <w:rsid w:val="00586ED3"/>
    <w:rsid w:val="00596AA9"/>
    <w:rsid w:val="005B624A"/>
    <w:rsid w:val="00621710"/>
    <w:rsid w:val="0071601D"/>
    <w:rsid w:val="0079115B"/>
    <w:rsid w:val="007A62E6"/>
    <w:rsid w:val="007F20FA"/>
    <w:rsid w:val="0080684C"/>
    <w:rsid w:val="00851E2F"/>
    <w:rsid w:val="00871C75"/>
    <w:rsid w:val="008776DC"/>
    <w:rsid w:val="009446C0"/>
    <w:rsid w:val="009705C8"/>
    <w:rsid w:val="009C1CF4"/>
    <w:rsid w:val="009F6B74"/>
    <w:rsid w:val="00A30353"/>
    <w:rsid w:val="00AA2AE6"/>
    <w:rsid w:val="00AC3823"/>
    <w:rsid w:val="00AE323C"/>
    <w:rsid w:val="00AF0CB5"/>
    <w:rsid w:val="00AF5C01"/>
    <w:rsid w:val="00B00181"/>
    <w:rsid w:val="00B00B0D"/>
    <w:rsid w:val="00B765F7"/>
    <w:rsid w:val="00BA0CA9"/>
    <w:rsid w:val="00C02897"/>
    <w:rsid w:val="00C97039"/>
    <w:rsid w:val="00D23BA2"/>
    <w:rsid w:val="00D3439C"/>
    <w:rsid w:val="00D751B3"/>
    <w:rsid w:val="00DA713F"/>
    <w:rsid w:val="00DB1831"/>
    <w:rsid w:val="00DD3BFD"/>
    <w:rsid w:val="00DE2F13"/>
    <w:rsid w:val="00DF6678"/>
    <w:rsid w:val="00E0299A"/>
    <w:rsid w:val="00E03DD4"/>
    <w:rsid w:val="00E85C74"/>
    <w:rsid w:val="00EA6547"/>
    <w:rsid w:val="00EE5C8B"/>
    <w:rsid w:val="00EF2E22"/>
    <w:rsid w:val="00F35BAF"/>
    <w:rsid w:val="00F660DF"/>
    <w:rsid w:val="00F858C1"/>
    <w:rsid w:val="00F94664"/>
    <w:rsid w:val="00F9573C"/>
    <w:rsid w:val="00F95C08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E077BA-91D8-47D1-BFF7-DB1E7626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751B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751B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bulletpoint">
    <w:name w:val="bullet point"/>
    <w:basedOn w:val="ListParagraph"/>
    <w:link w:val="bulletpointChar"/>
    <w:qFormat/>
    <w:rsid w:val="00D751B3"/>
    <w:pPr>
      <w:numPr>
        <w:numId w:val="17"/>
      </w:numPr>
      <w:suppressAutoHyphens w:val="0"/>
      <w:kinsoku/>
      <w:overflowPunct/>
      <w:autoSpaceDE/>
      <w:autoSpaceDN/>
      <w:adjustRightInd/>
      <w:snapToGrid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D751B3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semiHidden/>
    <w:qFormat/>
    <w:rsid w:val="00D7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ECE/TRANS/WP.29/GRE/2018/29</vt:lpstr>
      <vt:lpstr/>
    </vt:vector>
  </TitlesOfParts>
  <Company>DCM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ECE/TRANS/WP.29/GRE/2018/29</dc:title>
  <dc:subject/>
  <dc:creator>Sylvie LAMY</dc:creator>
  <cp:keywords/>
  <cp:lastModifiedBy>Benedicte Boudol</cp:lastModifiedBy>
  <cp:revision>2</cp:revision>
  <cp:lastPrinted>2018-02-27T13:42:00Z</cp:lastPrinted>
  <dcterms:created xsi:type="dcterms:W3CDTF">2018-03-01T10:43:00Z</dcterms:created>
  <dcterms:modified xsi:type="dcterms:W3CDTF">2018-03-01T10:43:00Z</dcterms:modified>
</cp:coreProperties>
</file>