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2F5C9C">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2F5C9C" w:rsidP="002F5C9C">
            <w:pPr>
              <w:jc w:val="right"/>
            </w:pPr>
            <w:r w:rsidRPr="002F5C9C">
              <w:rPr>
                <w:sz w:val="40"/>
              </w:rPr>
              <w:t>ECE</w:t>
            </w:r>
            <w:r>
              <w:t>/TRANS/WP.29/GRE/2018/25</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2F5C9C" w:rsidP="00C97039">
            <w:pPr>
              <w:spacing w:before="240"/>
            </w:pPr>
            <w:proofErr w:type="spellStart"/>
            <w:r>
              <w:t>Distr</w:t>
            </w:r>
            <w:proofErr w:type="spellEnd"/>
            <w:r>
              <w:t>. générale</w:t>
            </w:r>
          </w:p>
          <w:p w:rsidR="002F5C9C" w:rsidRDefault="002F5C9C" w:rsidP="002F5C9C">
            <w:pPr>
              <w:spacing w:line="240" w:lineRule="exact"/>
            </w:pPr>
            <w:r>
              <w:t>8 février 2018</w:t>
            </w:r>
          </w:p>
          <w:p w:rsidR="002F5C9C" w:rsidRDefault="002F5C9C" w:rsidP="002F5C9C">
            <w:pPr>
              <w:spacing w:line="240" w:lineRule="exact"/>
            </w:pPr>
            <w:r>
              <w:t>Français</w:t>
            </w:r>
          </w:p>
          <w:p w:rsidR="002F5C9C" w:rsidRPr="00DB58B5" w:rsidRDefault="002F5C9C" w:rsidP="002F5C9C">
            <w:pPr>
              <w:spacing w:line="240" w:lineRule="exact"/>
            </w:pPr>
            <w:r>
              <w:t>Original</w:t>
            </w:r>
            <w:r w:rsidR="00433FC7">
              <w:t> :</w:t>
            </w:r>
            <w:r>
              <w:t xml:space="preserve">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2F5C9C" w:rsidRDefault="002F5C9C" w:rsidP="00AF0CB5">
      <w:pPr>
        <w:spacing w:before="120"/>
        <w:rPr>
          <w:b/>
          <w:sz w:val="24"/>
          <w:szCs w:val="24"/>
        </w:rPr>
      </w:pPr>
      <w:r w:rsidRPr="00685843">
        <w:rPr>
          <w:b/>
          <w:sz w:val="24"/>
          <w:szCs w:val="24"/>
        </w:rPr>
        <w:t>Forum mondial de l’harmonisation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rsidR="002F5C9C" w:rsidRPr="00C00A44" w:rsidRDefault="002F5C9C" w:rsidP="002F5C9C">
      <w:pPr>
        <w:spacing w:before="120" w:after="120"/>
        <w:rPr>
          <w:b/>
          <w:bCs/>
          <w:lang w:val="fr-FR"/>
        </w:rPr>
      </w:pPr>
      <w:r w:rsidRPr="00C00A44">
        <w:rPr>
          <w:b/>
          <w:bCs/>
          <w:lang w:val="fr-FR"/>
        </w:rPr>
        <w:t>Groupe de travail de l</w:t>
      </w:r>
      <w:r>
        <w:rPr>
          <w:b/>
          <w:bCs/>
          <w:lang w:val="fr-FR"/>
        </w:rPr>
        <w:t>’</w:t>
      </w:r>
      <w:r w:rsidRPr="00C00A44">
        <w:rPr>
          <w:b/>
          <w:bCs/>
          <w:lang w:val="fr-FR"/>
        </w:rPr>
        <w:t>éclairage et de la signalisation lumineuse</w:t>
      </w:r>
    </w:p>
    <w:p w:rsidR="002F5C9C" w:rsidRPr="00C00A44" w:rsidRDefault="002F5C9C" w:rsidP="002F5C9C">
      <w:pPr>
        <w:rPr>
          <w:b/>
          <w:lang w:val="fr-FR"/>
        </w:rPr>
      </w:pPr>
      <w:r w:rsidRPr="00C00A44">
        <w:rPr>
          <w:b/>
          <w:lang w:val="fr-FR"/>
        </w:rPr>
        <w:t>Soixante-dix-neuvième session</w:t>
      </w:r>
    </w:p>
    <w:p w:rsidR="002F5C9C" w:rsidRPr="00C00A44" w:rsidRDefault="002F5C9C" w:rsidP="002F5C9C">
      <w:pPr>
        <w:rPr>
          <w:bCs/>
          <w:lang w:val="fr-FR"/>
        </w:rPr>
      </w:pPr>
      <w:r w:rsidRPr="00C00A44">
        <w:rPr>
          <w:lang w:val="fr-FR"/>
        </w:rPr>
        <w:t>Genève</w:t>
      </w:r>
      <w:r w:rsidRPr="00C00A44">
        <w:rPr>
          <w:bCs/>
          <w:lang w:val="fr-FR"/>
        </w:rPr>
        <w:t>, 24-27 avril 2018</w:t>
      </w:r>
    </w:p>
    <w:p w:rsidR="002F5C9C" w:rsidRPr="00C00A44" w:rsidRDefault="002F5C9C" w:rsidP="002F5C9C">
      <w:pPr>
        <w:ind w:right="1134"/>
        <w:rPr>
          <w:b/>
          <w:bCs/>
          <w:lang w:val="fr-FR"/>
        </w:rPr>
      </w:pPr>
      <w:r w:rsidRPr="00C00A44">
        <w:rPr>
          <w:bCs/>
          <w:lang w:val="fr-FR"/>
        </w:rPr>
        <w:t>Point 7 c) de l</w:t>
      </w:r>
      <w:r>
        <w:rPr>
          <w:bCs/>
          <w:lang w:val="fr-FR"/>
        </w:rPr>
        <w:t>’</w:t>
      </w:r>
      <w:r w:rsidRPr="00C00A44">
        <w:rPr>
          <w:bCs/>
          <w:lang w:val="fr-FR"/>
        </w:rPr>
        <w:t>ordre du jour provisoire</w:t>
      </w:r>
      <w:r w:rsidRPr="00C00A44">
        <w:rPr>
          <w:bCs/>
          <w:lang w:val="fr-FR"/>
        </w:rPr>
        <w:br/>
      </w:r>
      <w:r w:rsidRPr="00C00A44">
        <w:rPr>
          <w:b/>
          <w:bCs/>
          <w:lang w:val="fr-FR"/>
        </w:rPr>
        <w:t>Autres Règlements</w:t>
      </w:r>
      <w:r w:rsidR="00433FC7">
        <w:rPr>
          <w:b/>
          <w:bCs/>
          <w:lang w:val="fr-FR"/>
        </w:rPr>
        <w:t> :</w:t>
      </w:r>
      <w:r w:rsidRPr="00C00A44">
        <w:rPr>
          <w:b/>
          <w:bCs/>
          <w:lang w:val="fr-FR"/>
        </w:rPr>
        <w:t xml:space="preserve"> </w:t>
      </w:r>
    </w:p>
    <w:p w:rsidR="002F5C9C" w:rsidRPr="00C00A44" w:rsidRDefault="002F5C9C" w:rsidP="002F5C9C">
      <w:pPr>
        <w:ind w:right="1134"/>
        <w:rPr>
          <w:b/>
          <w:bCs/>
          <w:lang w:val="fr-FR"/>
        </w:rPr>
      </w:pPr>
      <w:r w:rsidRPr="00C00A44">
        <w:rPr>
          <w:b/>
          <w:bCs/>
          <w:lang w:val="fr-FR"/>
        </w:rPr>
        <w:t>Règlement n</w:t>
      </w:r>
      <w:r w:rsidRPr="00C00A44">
        <w:rPr>
          <w:b/>
          <w:bCs/>
          <w:vertAlign w:val="superscript"/>
          <w:lang w:val="fr-FR"/>
        </w:rPr>
        <w:t>o</w:t>
      </w:r>
      <w:r w:rsidRPr="00C00A44">
        <w:rPr>
          <w:b/>
          <w:bCs/>
          <w:lang w:val="fr-FR"/>
        </w:rPr>
        <w:t> 53 (Installation des dispositifs d</w:t>
      </w:r>
      <w:r>
        <w:rPr>
          <w:b/>
          <w:bCs/>
          <w:lang w:val="fr-FR"/>
        </w:rPr>
        <w:t>’</w:t>
      </w:r>
      <w:r w:rsidRPr="00C00A44">
        <w:rPr>
          <w:b/>
          <w:bCs/>
          <w:lang w:val="fr-FR"/>
        </w:rPr>
        <w:t xml:space="preserve">éclairage </w:t>
      </w:r>
      <w:r>
        <w:rPr>
          <w:b/>
          <w:bCs/>
          <w:lang w:val="fr-FR"/>
        </w:rPr>
        <w:br/>
      </w:r>
      <w:r w:rsidRPr="00C00A44">
        <w:rPr>
          <w:b/>
          <w:bCs/>
          <w:lang w:val="fr-FR"/>
        </w:rPr>
        <w:t xml:space="preserve">et de signalisation lumineuse sur les véhicules </w:t>
      </w:r>
      <w:r>
        <w:rPr>
          <w:b/>
          <w:bCs/>
          <w:lang w:val="fr-FR"/>
        </w:rPr>
        <w:br/>
      </w:r>
      <w:r w:rsidRPr="00C00A44">
        <w:rPr>
          <w:b/>
          <w:bCs/>
          <w:lang w:val="fr-FR"/>
        </w:rPr>
        <w:t>de la catégorie L</w:t>
      </w:r>
      <w:r w:rsidRPr="00C00A44">
        <w:rPr>
          <w:b/>
          <w:bCs/>
          <w:vertAlign w:val="subscript"/>
          <w:lang w:val="fr-FR"/>
        </w:rPr>
        <w:t>3</w:t>
      </w:r>
      <w:r w:rsidRPr="00C00A44">
        <w:rPr>
          <w:b/>
          <w:bCs/>
          <w:lang w:val="fr-FR"/>
        </w:rPr>
        <w:t>)</w:t>
      </w:r>
    </w:p>
    <w:p w:rsidR="002F5C9C" w:rsidRPr="00C00A44" w:rsidRDefault="002F5C9C" w:rsidP="002F5C9C">
      <w:pPr>
        <w:pStyle w:val="HChG"/>
        <w:rPr>
          <w:lang w:val="fr-FR"/>
        </w:rPr>
      </w:pPr>
      <w:r>
        <w:rPr>
          <w:lang w:val="fr-FR"/>
        </w:rPr>
        <w:tab/>
      </w:r>
      <w:r>
        <w:rPr>
          <w:lang w:val="fr-FR"/>
        </w:rPr>
        <w:tab/>
      </w:r>
      <w:r w:rsidRPr="00C00A44">
        <w:rPr>
          <w:lang w:val="fr-FR"/>
        </w:rPr>
        <w:t>Proposition de projet d</w:t>
      </w:r>
      <w:r>
        <w:rPr>
          <w:lang w:val="fr-FR"/>
        </w:rPr>
        <w:t>’</w:t>
      </w:r>
      <w:r w:rsidRPr="00C00A44">
        <w:rPr>
          <w:lang w:val="fr-FR"/>
        </w:rPr>
        <w:t>amendement au Règlement n</w:t>
      </w:r>
      <w:r w:rsidRPr="00C00A44">
        <w:rPr>
          <w:vertAlign w:val="superscript"/>
          <w:lang w:val="fr-FR"/>
        </w:rPr>
        <w:t>o</w:t>
      </w:r>
      <w:r w:rsidRPr="00C00A44">
        <w:rPr>
          <w:lang w:val="fr-FR"/>
        </w:rPr>
        <w:t> 53 (Installation des dispositifs d</w:t>
      </w:r>
      <w:r>
        <w:rPr>
          <w:lang w:val="fr-FR"/>
        </w:rPr>
        <w:t>’</w:t>
      </w:r>
      <w:r w:rsidRPr="00C00A44">
        <w:rPr>
          <w:lang w:val="fr-FR"/>
        </w:rPr>
        <w:t>éclairage et de signalisation lumineuse sur les véhicules de la catégorie L</w:t>
      </w:r>
      <w:r w:rsidRPr="00C00A44">
        <w:rPr>
          <w:vertAlign w:val="subscript"/>
          <w:lang w:val="fr-FR"/>
        </w:rPr>
        <w:t>3</w:t>
      </w:r>
      <w:r w:rsidRPr="00C00A44">
        <w:rPr>
          <w:lang w:val="fr-FR"/>
        </w:rPr>
        <w:t>)</w:t>
      </w:r>
    </w:p>
    <w:p w:rsidR="002F5C9C" w:rsidRPr="00C00A44" w:rsidRDefault="002F5C9C" w:rsidP="002F5C9C">
      <w:pPr>
        <w:pStyle w:val="H1G"/>
        <w:rPr>
          <w:lang w:val="fr-FR"/>
        </w:rPr>
      </w:pPr>
      <w:r>
        <w:rPr>
          <w:lang w:val="fr-FR"/>
        </w:rPr>
        <w:tab/>
      </w:r>
      <w:r>
        <w:rPr>
          <w:lang w:val="fr-FR"/>
        </w:rPr>
        <w:tab/>
      </w:r>
      <w:r w:rsidRPr="00C00A44">
        <w:rPr>
          <w:lang w:val="fr-FR"/>
        </w:rPr>
        <w:t>Communication de l</w:t>
      </w:r>
      <w:r>
        <w:rPr>
          <w:lang w:val="fr-FR"/>
        </w:rPr>
        <w:t>’</w:t>
      </w:r>
      <w:r w:rsidRPr="00C00A44">
        <w:rPr>
          <w:lang w:val="fr-FR"/>
        </w:rPr>
        <w:t>expert de l</w:t>
      </w:r>
      <w:r>
        <w:rPr>
          <w:lang w:val="fr-FR"/>
        </w:rPr>
        <w:t>’</w:t>
      </w:r>
      <w:r w:rsidRPr="00C00A44">
        <w:rPr>
          <w:lang w:val="fr-FR"/>
        </w:rPr>
        <w:t xml:space="preserve">Association internationale </w:t>
      </w:r>
      <w:r>
        <w:rPr>
          <w:lang w:val="fr-FR"/>
        </w:rPr>
        <w:br/>
      </w:r>
      <w:r w:rsidRPr="00C00A44">
        <w:rPr>
          <w:lang w:val="fr-FR"/>
        </w:rPr>
        <w:t>des constructeurs de motocycles (IMMA)</w:t>
      </w:r>
      <w:r w:rsidRPr="001409D9">
        <w:rPr>
          <w:b w:val="0"/>
          <w:sz w:val="20"/>
          <w:lang w:val="fr-FR"/>
        </w:rPr>
        <w:footnoteReference w:customMarkFollows="1" w:id="2"/>
        <w:t>*</w:t>
      </w:r>
    </w:p>
    <w:p w:rsidR="002F5C9C" w:rsidRDefault="002F5C9C" w:rsidP="002F5C9C">
      <w:pPr>
        <w:pStyle w:val="SingleTxtG"/>
        <w:ind w:firstLine="567"/>
        <w:rPr>
          <w:lang w:val="fr-FR"/>
        </w:rPr>
      </w:pPr>
      <w:r w:rsidRPr="00C00A44">
        <w:rPr>
          <w:rFonts w:eastAsia="Calibri"/>
          <w:lang w:val="fr-FR"/>
        </w:rPr>
        <w:t>Le texte ci-après, établi par l</w:t>
      </w:r>
      <w:r>
        <w:rPr>
          <w:rFonts w:eastAsia="Calibri"/>
          <w:lang w:val="fr-FR"/>
        </w:rPr>
        <w:t>’</w:t>
      </w:r>
      <w:r w:rsidRPr="00C00A44">
        <w:rPr>
          <w:rFonts w:eastAsia="Calibri"/>
          <w:lang w:val="fr-FR"/>
        </w:rPr>
        <w:t>expert de l</w:t>
      </w:r>
      <w:r>
        <w:rPr>
          <w:rFonts w:eastAsia="Calibri"/>
          <w:lang w:val="fr-FR"/>
        </w:rPr>
        <w:t>’</w:t>
      </w:r>
      <w:r w:rsidRPr="00C00A44">
        <w:rPr>
          <w:rFonts w:eastAsia="Calibri"/>
          <w:lang w:val="fr-FR"/>
        </w:rPr>
        <w:t>IMMA, vise à mieux préciser les possibilités d</w:t>
      </w:r>
      <w:r>
        <w:rPr>
          <w:rFonts w:eastAsia="Calibri"/>
          <w:lang w:val="fr-FR"/>
        </w:rPr>
        <w:t>’</w:t>
      </w:r>
      <w:r w:rsidRPr="00C00A44">
        <w:rPr>
          <w:lang w:val="fr-FR"/>
        </w:rPr>
        <w:t>activation des feux indicateurs de direction lorsque le moteur est arrêté</w:t>
      </w:r>
      <w:r w:rsidRPr="00C00A44">
        <w:rPr>
          <w:rFonts w:eastAsia="Calibri"/>
          <w:lang w:val="fr-FR"/>
        </w:rPr>
        <w:t xml:space="preserve">. </w:t>
      </w:r>
      <w:r w:rsidRPr="00C00A44">
        <w:rPr>
          <w:lang w:val="fr-FR"/>
        </w:rPr>
        <w:t>Les</w:t>
      </w:r>
      <w:r w:rsidR="001409D9">
        <w:rPr>
          <w:lang w:val="fr-FR"/>
        </w:rPr>
        <w:t> </w:t>
      </w:r>
      <w:r w:rsidRPr="00C00A44">
        <w:rPr>
          <w:lang w:val="fr-FR"/>
        </w:rPr>
        <w:t>modifications qu</w:t>
      </w:r>
      <w:r>
        <w:rPr>
          <w:lang w:val="fr-FR"/>
        </w:rPr>
        <w:t>’</w:t>
      </w:r>
      <w:r w:rsidRPr="00C00A44">
        <w:rPr>
          <w:lang w:val="fr-FR"/>
        </w:rPr>
        <w:t>il est proposé d</w:t>
      </w:r>
      <w:r>
        <w:rPr>
          <w:lang w:val="fr-FR"/>
        </w:rPr>
        <w:t>’</w:t>
      </w:r>
      <w:r w:rsidRPr="00C00A44">
        <w:rPr>
          <w:lang w:val="fr-FR"/>
        </w:rPr>
        <w:t>apporter au texte actuel du Règlement n</w:t>
      </w:r>
      <w:r w:rsidRPr="00C00A44">
        <w:rPr>
          <w:vertAlign w:val="superscript"/>
          <w:lang w:val="fr-FR"/>
        </w:rPr>
        <w:t>o</w:t>
      </w:r>
      <w:r w:rsidRPr="00C00A44">
        <w:rPr>
          <w:lang w:val="fr-FR"/>
        </w:rPr>
        <w:t> </w:t>
      </w:r>
      <w:r w:rsidRPr="00C00A44">
        <w:rPr>
          <w:rFonts w:eastAsia="Calibri"/>
          <w:lang w:val="fr-FR"/>
        </w:rPr>
        <w:t xml:space="preserve">53 </w:t>
      </w:r>
      <w:r w:rsidRPr="00C00A44">
        <w:rPr>
          <w:lang w:val="fr-FR"/>
        </w:rPr>
        <w:t>figurent en caractères gras pour les ajouts et biffés pour les suppressions</w:t>
      </w:r>
      <w:r w:rsidRPr="00C00A44">
        <w:rPr>
          <w:rFonts w:eastAsia="Calibri"/>
          <w:lang w:val="fr-FR"/>
        </w:rPr>
        <w:t xml:space="preserve">. </w:t>
      </w:r>
    </w:p>
    <w:p w:rsidR="002F5C9C" w:rsidRPr="00C00A44" w:rsidRDefault="002F5C9C" w:rsidP="004C553D">
      <w:pPr>
        <w:pStyle w:val="HChG"/>
        <w:rPr>
          <w:lang w:val="fr-FR"/>
        </w:rPr>
      </w:pPr>
      <w:r>
        <w:rPr>
          <w:lang w:val="fr-FR"/>
        </w:rPr>
        <w:br w:type="page"/>
      </w:r>
      <w:r w:rsidRPr="00C00A44">
        <w:rPr>
          <w:lang w:val="fr-FR"/>
        </w:rPr>
        <w:lastRenderedPageBreak/>
        <w:tab/>
        <w:t>I.</w:t>
      </w:r>
      <w:r w:rsidRPr="00C00A44">
        <w:rPr>
          <w:lang w:val="fr-FR"/>
        </w:rPr>
        <w:tab/>
        <w:t>Proposition</w:t>
      </w:r>
    </w:p>
    <w:p w:rsidR="002F5C9C" w:rsidRPr="00C00A44" w:rsidRDefault="002F5C9C" w:rsidP="004C553D">
      <w:pPr>
        <w:pStyle w:val="SingleTxtG"/>
        <w:rPr>
          <w:i/>
          <w:lang w:val="fr-FR"/>
        </w:rPr>
      </w:pPr>
      <w:r w:rsidRPr="00C00A44">
        <w:rPr>
          <w:i/>
          <w:lang w:val="fr-FR"/>
        </w:rPr>
        <w:t>Paragraphe 6.3.6</w:t>
      </w:r>
      <w:r w:rsidRPr="00C00A44">
        <w:rPr>
          <w:lang w:val="fr-FR"/>
        </w:rPr>
        <w:t>, modifier comme suit</w:t>
      </w:r>
      <w:r w:rsidR="00433FC7">
        <w:rPr>
          <w:lang w:val="fr-FR"/>
        </w:rPr>
        <w:t> :</w:t>
      </w:r>
    </w:p>
    <w:p w:rsidR="002F5C9C" w:rsidRPr="00C00A44" w:rsidRDefault="004C553D" w:rsidP="004C553D">
      <w:pPr>
        <w:pStyle w:val="SingleTxtG"/>
        <w:ind w:left="2268" w:hanging="1134"/>
        <w:rPr>
          <w:lang w:val="fr-FR"/>
        </w:rPr>
      </w:pPr>
      <w:r>
        <w:rPr>
          <w:lang w:val="fr-FR"/>
        </w:rPr>
        <w:t>« </w:t>
      </w:r>
      <w:r w:rsidR="002F5C9C" w:rsidRPr="00C00A44">
        <w:rPr>
          <w:lang w:val="fr-FR"/>
        </w:rPr>
        <w:t>6.3.6</w:t>
      </w:r>
      <w:r w:rsidR="002F5C9C" w:rsidRPr="00C00A44">
        <w:rPr>
          <w:lang w:val="fr-FR"/>
        </w:rPr>
        <w:tab/>
      </w:r>
      <w:r w:rsidR="002F5C9C" w:rsidRPr="00C00A44">
        <w:rPr>
          <w:lang w:val="fr-FR"/>
        </w:rPr>
        <w:tab/>
        <w:t>Branchements électriques</w:t>
      </w:r>
    </w:p>
    <w:p w:rsidR="002F5C9C" w:rsidRPr="00C00A44" w:rsidRDefault="002F5C9C" w:rsidP="004C553D">
      <w:pPr>
        <w:pStyle w:val="SingleTxtG"/>
        <w:ind w:left="2268" w:hanging="1134"/>
        <w:rPr>
          <w:color w:val="000000"/>
          <w:lang w:val="fr-FR"/>
        </w:rPr>
      </w:pPr>
      <w:r w:rsidRPr="00C00A44">
        <w:rPr>
          <w:b/>
          <w:color w:val="000000"/>
          <w:lang w:val="fr-FR"/>
        </w:rPr>
        <w:t>6.3.6.1</w:t>
      </w:r>
      <w:r w:rsidRPr="00C00A44">
        <w:rPr>
          <w:b/>
          <w:color w:val="000000"/>
          <w:lang w:val="fr-FR"/>
        </w:rPr>
        <w:tab/>
      </w:r>
      <w:r w:rsidRPr="00C00A44">
        <w:rPr>
          <w:b/>
          <w:color w:val="000000"/>
          <w:lang w:val="fr-FR"/>
        </w:rPr>
        <w:tab/>
      </w:r>
      <w:r w:rsidRPr="00C00A44">
        <w:rPr>
          <w:color w:val="000000"/>
          <w:lang w:val="fr-FR"/>
        </w:rPr>
        <w:t>L</w:t>
      </w:r>
      <w:r>
        <w:rPr>
          <w:color w:val="000000"/>
          <w:lang w:val="fr-FR"/>
        </w:rPr>
        <w:t>’</w:t>
      </w:r>
      <w:r w:rsidRPr="00C00A44">
        <w:rPr>
          <w:color w:val="000000"/>
          <w:lang w:val="fr-FR"/>
        </w:rPr>
        <w:t xml:space="preserve">allumage des feux indicateurs de direction est indépendant de celui des autres feux. Tous les indicateurs de direction situés sur un même côté du véhicule sont allumés et éteints par la même commande.  </w:t>
      </w:r>
    </w:p>
    <w:p w:rsidR="002F5C9C" w:rsidRPr="00C00A44" w:rsidRDefault="002F5C9C" w:rsidP="004C553D">
      <w:pPr>
        <w:pStyle w:val="SingleTxtG"/>
        <w:ind w:left="2268" w:hanging="1134"/>
        <w:rPr>
          <w:b/>
          <w:color w:val="000000"/>
          <w:lang w:val="fr-FR"/>
        </w:rPr>
      </w:pPr>
      <w:r w:rsidRPr="00C00A44">
        <w:rPr>
          <w:b/>
          <w:color w:val="000000"/>
          <w:lang w:val="fr-FR"/>
        </w:rPr>
        <w:t>6.3.6.2</w:t>
      </w:r>
      <w:r w:rsidRPr="00C00A44">
        <w:rPr>
          <w:b/>
          <w:color w:val="000000"/>
          <w:lang w:val="fr-FR"/>
        </w:rPr>
        <w:tab/>
        <w:t xml:space="preserve">Les feux indicateurs de direction </w:t>
      </w:r>
      <w:r w:rsidR="009455EB">
        <w:rPr>
          <w:b/>
          <w:color w:val="000000"/>
          <w:lang w:val="fr-FR"/>
        </w:rPr>
        <w:t>peuvent être activés</w:t>
      </w:r>
      <w:r w:rsidRPr="00C00A44">
        <w:rPr>
          <w:b/>
          <w:color w:val="000000"/>
          <w:lang w:val="fr-FR"/>
        </w:rPr>
        <w:t xml:space="preserve"> pour indiquer l</w:t>
      </w:r>
      <w:r>
        <w:rPr>
          <w:b/>
          <w:color w:val="000000"/>
          <w:lang w:val="fr-FR"/>
        </w:rPr>
        <w:t>’</w:t>
      </w:r>
      <w:r w:rsidRPr="00C00A44">
        <w:rPr>
          <w:b/>
          <w:color w:val="000000"/>
          <w:lang w:val="fr-FR"/>
        </w:rPr>
        <w:t>état du véhicule (par exemple, en tant qu</w:t>
      </w:r>
      <w:r>
        <w:rPr>
          <w:b/>
          <w:color w:val="000000"/>
          <w:lang w:val="fr-FR"/>
        </w:rPr>
        <w:t>’</w:t>
      </w:r>
      <w:r w:rsidRPr="00C00A44">
        <w:rPr>
          <w:b/>
          <w:color w:val="000000"/>
          <w:lang w:val="fr-FR"/>
        </w:rPr>
        <w:t>élément d</w:t>
      </w:r>
      <w:r>
        <w:rPr>
          <w:b/>
          <w:color w:val="000000"/>
          <w:lang w:val="fr-FR"/>
        </w:rPr>
        <w:t>’</w:t>
      </w:r>
      <w:r w:rsidRPr="00C00A44">
        <w:rPr>
          <w:b/>
          <w:color w:val="000000"/>
          <w:lang w:val="fr-FR"/>
        </w:rPr>
        <w:t>un système de verrouillage) ou signaler la présence du véhicule, lorsque le dispositif qui commande le démarrage et/ou l</w:t>
      </w:r>
      <w:r>
        <w:rPr>
          <w:b/>
          <w:color w:val="000000"/>
          <w:lang w:val="fr-FR"/>
        </w:rPr>
        <w:t>’</w:t>
      </w:r>
      <w:r w:rsidRPr="00C00A44">
        <w:rPr>
          <w:b/>
          <w:color w:val="000000"/>
          <w:lang w:val="fr-FR"/>
        </w:rPr>
        <w:t>arrêt du moteur (système de propulsion) est placé dans une position dans laquelle le moteur (système de propulsion) ne peut pas fonctionner.</w:t>
      </w:r>
      <w:r w:rsidR="00877040">
        <w:rPr>
          <w:color w:val="000000"/>
          <w:lang w:val="fr-FR"/>
        </w:rPr>
        <w:t> »</w:t>
      </w:r>
      <w:r w:rsidRPr="00C00A44">
        <w:rPr>
          <w:color w:val="000000"/>
          <w:lang w:val="fr-FR"/>
        </w:rPr>
        <w:t>.</w:t>
      </w:r>
    </w:p>
    <w:p w:rsidR="002F5C9C" w:rsidRPr="00C00A44" w:rsidRDefault="002F5C9C" w:rsidP="00877040">
      <w:pPr>
        <w:pStyle w:val="HChG"/>
        <w:rPr>
          <w:lang w:val="fr-FR"/>
        </w:rPr>
      </w:pPr>
      <w:r w:rsidRPr="00C00A44">
        <w:rPr>
          <w:lang w:val="fr-FR"/>
        </w:rPr>
        <w:tab/>
        <w:t>II.</w:t>
      </w:r>
      <w:r w:rsidRPr="00C00A44">
        <w:rPr>
          <w:lang w:val="fr-FR"/>
        </w:rPr>
        <w:tab/>
        <w:t>Justification</w:t>
      </w:r>
    </w:p>
    <w:p w:rsidR="002F5C9C" w:rsidRPr="00C00A44" w:rsidRDefault="002F5C9C" w:rsidP="00877040">
      <w:pPr>
        <w:pStyle w:val="SingleTxtG"/>
        <w:rPr>
          <w:lang w:val="fr-FR"/>
        </w:rPr>
      </w:pPr>
      <w:r w:rsidRPr="00C00A44">
        <w:rPr>
          <w:lang w:val="fr-FR"/>
        </w:rPr>
        <w:t>1.</w:t>
      </w:r>
      <w:r w:rsidRPr="00C00A44">
        <w:rPr>
          <w:lang w:val="fr-FR"/>
        </w:rPr>
        <w:tab/>
        <w:t>La présente proposition est une version améliorée de celle qui figurait dans le document ECE/TRANS/WP.29/GRE/2</w:t>
      </w:r>
      <w:r w:rsidRPr="00C00A44">
        <w:rPr>
          <w:lang w:val="fr-FR" w:eastAsia="ja-JP"/>
        </w:rPr>
        <w:t>0</w:t>
      </w:r>
      <w:r w:rsidRPr="00C00A44">
        <w:rPr>
          <w:lang w:val="fr-FR"/>
        </w:rPr>
        <w:t>17/27, qui n</w:t>
      </w:r>
      <w:r>
        <w:rPr>
          <w:lang w:val="fr-FR"/>
        </w:rPr>
        <w:t>’</w:t>
      </w:r>
      <w:r w:rsidRPr="00C00A44">
        <w:rPr>
          <w:lang w:val="fr-FR"/>
        </w:rPr>
        <w:t>a pas été examiné à la session d</w:t>
      </w:r>
      <w:r>
        <w:rPr>
          <w:lang w:val="fr-FR"/>
        </w:rPr>
        <w:t>’</w:t>
      </w:r>
      <w:r w:rsidRPr="00C00A44">
        <w:rPr>
          <w:lang w:val="fr-FR"/>
        </w:rPr>
        <w:t>octobre 2017 du Groupe de travail de l</w:t>
      </w:r>
      <w:r>
        <w:rPr>
          <w:lang w:val="fr-FR"/>
        </w:rPr>
        <w:t>’</w:t>
      </w:r>
      <w:r w:rsidRPr="00C00A44">
        <w:rPr>
          <w:lang w:val="fr-FR"/>
        </w:rPr>
        <w:t>éclairage et de la signalisation lumineuse (GRE) faute de temps.</w:t>
      </w:r>
    </w:p>
    <w:p w:rsidR="002F5C9C" w:rsidRPr="00C00A44" w:rsidRDefault="002F5C9C" w:rsidP="00877040">
      <w:pPr>
        <w:pStyle w:val="SingleTxtG"/>
        <w:rPr>
          <w:lang w:val="fr-FR"/>
        </w:rPr>
      </w:pPr>
      <w:bookmarkStart w:id="1" w:name="_Hlk504739624"/>
      <w:r w:rsidRPr="00C00A44">
        <w:rPr>
          <w:lang w:val="fr-FR"/>
        </w:rPr>
        <w:t>2.</w:t>
      </w:r>
      <w:r w:rsidRPr="00C00A44">
        <w:rPr>
          <w:lang w:val="fr-FR"/>
        </w:rPr>
        <w:tab/>
        <w:t>Elle vise à spécifier clairement</w:t>
      </w:r>
      <w:r w:rsidRPr="00C00A44" w:rsidDel="00A905D7">
        <w:rPr>
          <w:lang w:val="fr-FR"/>
        </w:rPr>
        <w:t xml:space="preserve"> </w:t>
      </w:r>
      <w:r w:rsidRPr="00C00A44">
        <w:rPr>
          <w:lang w:val="fr-FR"/>
        </w:rPr>
        <w:t>que les feux indicateurs de direction peuvent aussi être activés</w:t>
      </w:r>
      <w:r w:rsidR="00433FC7">
        <w:rPr>
          <w:lang w:val="fr-FR"/>
        </w:rPr>
        <w:t> :</w:t>
      </w:r>
    </w:p>
    <w:p w:rsidR="002F5C9C" w:rsidRPr="00C00A44" w:rsidRDefault="002F5C9C" w:rsidP="00877040">
      <w:pPr>
        <w:pStyle w:val="SingleTxtG"/>
        <w:ind w:firstLine="567"/>
        <w:rPr>
          <w:lang w:val="fr-FR"/>
        </w:rPr>
      </w:pPr>
      <w:r w:rsidRPr="00C00A44">
        <w:rPr>
          <w:lang w:val="fr-FR"/>
        </w:rPr>
        <w:t>a)</w:t>
      </w:r>
      <w:r w:rsidRPr="00C00A44">
        <w:rPr>
          <w:lang w:val="fr-FR"/>
        </w:rPr>
        <w:tab/>
        <w:t>Pour indiquer l</w:t>
      </w:r>
      <w:r>
        <w:rPr>
          <w:lang w:val="fr-FR"/>
        </w:rPr>
        <w:t>’</w:t>
      </w:r>
      <w:r w:rsidRPr="00C00A44">
        <w:rPr>
          <w:lang w:val="fr-FR"/>
        </w:rPr>
        <w:t>état du véhicule (par exemple, en tant qu</w:t>
      </w:r>
      <w:r>
        <w:rPr>
          <w:lang w:val="fr-FR"/>
        </w:rPr>
        <w:t>’</w:t>
      </w:r>
      <w:r w:rsidRPr="00C00A44">
        <w:rPr>
          <w:lang w:val="fr-FR"/>
        </w:rPr>
        <w:t>élément d</w:t>
      </w:r>
      <w:r>
        <w:rPr>
          <w:lang w:val="fr-FR"/>
        </w:rPr>
        <w:t>’</w:t>
      </w:r>
      <w:r w:rsidRPr="00C00A44">
        <w:rPr>
          <w:lang w:val="fr-FR"/>
        </w:rPr>
        <w:t>un système de verrouillage) lorsque le véhicule est stationné</w:t>
      </w:r>
      <w:r w:rsidR="00433FC7">
        <w:rPr>
          <w:lang w:val="fr-FR"/>
        </w:rPr>
        <w:t> ;</w:t>
      </w:r>
      <w:r w:rsidRPr="00C00A44">
        <w:rPr>
          <w:lang w:val="fr-FR"/>
        </w:rPr>
        <w:t xml:space="preserve"> </w:t>
      </w:r>
    </w:p>
    <w:p w:rsidR="002F5C9C" w:rsidRPr="00C00A44" w:rsidRDefault="002F5C9C" w:rsidP="00877040">
      <w:pPr>
        <w:pStyle w:val="SingleTxtG"/>
        <w:ind w:firstLine="567"/>
        <w:rPr>
          <w:lang w:val="fr-FR"/>
        </w:rPr>
      </w:pPr>
      <w:r w:rsidRPr="00C00A44">
        <w:rPr>
          <w:lang w:val="fr-FR"/>
        </w:rPr>
        <w:t>b)</w:t>
      </w:r>
      <w:r w:rsidRPr="00C00A44">
        <w:rPr>
          <w:lang w:val="fr-FR"/>
        </w:rPr>
        <w:tab/>
        <w:t>Pour permettre au conducteur ou à la conductrice de reconnaître son propre véhicule à une certaine distance, au moyen d</w:t>
      </w:r>
      <w:r>
        <w:rPr>
          <w:lang w:val="fr-FR"/>
        </w:rPr>
        <w:t>’</w:t>
      </w:r>
      <w:r w:rsidRPr="00C00A44">
        <w:rPr>
          <w:lang w:val="fr-FR"/>
        </w:rPr>
        <w:t>une télécommande</w:t>
      </w:r>
      <w:r w:rsidR="00433FC7">
        <w:rPr>
          <w:lang w:val="fr-FR"/>
        </w:rPr>
        <w:t> ;</w:t>
      </w:r>
      <w:r w:rsidRPr="00C00A44">
        <w:rPr>
          <w:lang w:val="fr-FR"/>
        </w:rPr>
        <w:t xml:space="preserve"> </w:t>
      </w:r>
    </w:p>
    <w:p w:rsidR="002F5C9C" w:rsidRPr="00C00A44" w:rsidRDefault="002F5C9C" w:rsidP="00877040">
      <w:pPr>
        <w:pStyle w:val="SingleTxtG"/>
        <w:ind w:firstLine="567"/>
        <w:rPr>
          <w:lang w:val="fr-FR"/>
        </w:rPr>
      </w:pPr>
      <w:r w:rsidRPr="00C00A44">
        <w:rPr>
          <w:lang w:val="fr-FR"/>
        </w:rPr>
        <w:t>c)</w:t>
      </w:r>
      <w:r w:rsidRPr="00C00A44">
        <w:rPr>
          <w:lang w:val="fr-FR"/>
        </w:rPr>
        <w:tab/>
        <w:t>Dans le cas d</w:t>
      </w:r>
      <w:r>
        <w:rPr>
          <w:lang w:val="fr-FR"/>
        </w:rPr>
        <w:t>’</w:t>
      </w:r>
      <w:r w:rsidRPr="00C00A44">
        <w:rPr>
          <w:lang w:val="fr-FR"/>
        </w:rPr>
        <w:t>un système d</w:t>
      </w:r>
      <w:r>
        <w:rPr>
          <w:lang w:val="fr-FR"/>
        </w:rPr>
        <w:t>’</w:t>
      </w:r>
      <w:r w:rsidRPr="00C00A44">
        <w:rPr>
          <w:lang w:val="fr-FR"/>
        </w:rPr>
        <w:t>accès sans cl</w:t>
      </w:r>
      <w:r w:rsidR="009455EB">
        <w:rPr>
          <w:lang w:val="fr-FR"/>
        </w:rPr>
        <w:t>ef</w:t>
      </w:r>
      <w:r w:rsidRPr="00C00A44">
        <w:rPr>
          <w:lang w:val="fr-FR"/>
        </w:rPr>
        <w:t>, lorsque le conducteur ou la conductrice a perdu son émetteur en route, pour l</w:t>
      </w:r>
      <w:r>
        <w:rPr>
          <w:lang w:val="fr-FR"/>
        </w:rPr>
        <w:t>’</w:t>
      </w:r>
      <w:r w:rsidRPr="00C00A44">
        <w:rPr>
          <w:lang w:val="fr-FR"/>
        </w:rPr>
        <w:t>informer qu</w:t>
      </w:r>
      <w:r>
        <w:rPr>
          <w:lang w:val="fr-FR"/>
        </w:rPr>
        <w:t>’</w:t>
      </w:r>
      <w:r w:rsidRPr="00C00A44">
        <w:rPr>
          <w:lang w:val="fr-FR"/>
        </w:rPr>
        <w:t>il ou elle n</w:t>
      </w:r>
      <w:r>
        <w:rPr>
          <w:lang w:val="fr-FR"/>
        </w:rPr>
        <w:t>’</w:t>
      </w:r>
      <w:r w:rsidRPr="00C00A44">
        <w:rPr>
          <w:lang w:val="fr-FR"/>
        </w:rPr>
        <w:t>est plus en possession de l</w:t>
      </w:r>
      <w:r>
        <w:rPr>
          <w:lang w:val="fr-FR"/>
        </w:rPr>
        <w:t>’</w:t>
      </w:r>
      <w:r w:rsidRPr="00C00A44">
        <w:rPr>
          <w:lang w:val="fr-FR"/>
        </w:rPr>
        <w:t>émetteur et que le véhicule ne pourra bientôt plus être redémarré</w:t>
      </w:r>
      <w:bookmarkEnd w:id="1"/>
      <w:r w:rsidRPr="00C00A44">
        <w:rPr>
          <w:lang w:val="fr-FR"/>
        </w:rPr>
        <w:t>.</w:t>
      </w:r>
    </w:p>
    <w:p w:rsidR="002F5C9C" w:rsidRPr="00C00A44" w:rsidRDefault="002F5C9C" w:rsidP="00877040">
      <w:pPr>
        <w:pStyle w:val="SingleTxtG"/>
        <w:rPr>
          <w:color w:val="000000" w:themeColor="text1"/>
          <w:lang w:val="fr-FR"/>
        </w:rPr>
      </w:pPr>
      <w:r w:rsidRPr="00C00A44">
        <w:rPr>
          <w:color w:val="000000" w:themeColor="text1"/>
          <w:lang w:val="fr-FR"/>
        </w:rPr>
        <w:t>3.</w:t>
      </w:r>
      <w:r w:rsidRPr="00C00A44">
        <w:rPr>
          <w:color w:val="000000" w:themeColor="text1"/>
          <w:lang w:val="fr-FR"/>
        </w:rPr>
        <w:tab/>
      </w:r>
      <w:r w:rsidRPr="00C00A44">
        <w:rPr>
          <w:lang w:val="fr-FR"/>
        </w:rPr>
        <w:t xml:space="preserve">Certains motocycles sont actuellement équipés de telles fonctions. Cependant, on ne sait pas avec certitude si </w:t>
      </w:r>
      <w:r>
        <w:rPr>
          <w:lang w:val="fr-FR"/>
        </w:rPr>
        <w:t>ces fonctions relèvent du</w:t>
      </w:r>
      <w:r w:rsidRPr="00C00A44">
        <w:rPr>
          <w:lang w:val="fr-FR"/>
        </w:rPr>
        <w:t xml:space="preserve"> champ d</w:t>
      </w:r>
      <w:r>
        <w:rPr>
          <w:lang w:val="fr-FR"/>
        </w:rPr>
        <w:t>’</w:t>
      </w:r>
      <w:r w:rsidRPr="00C00A44">
        <w:rPr>
          <w:lang w:val="fr-FR"/>
        </w:rPr>
        <w:t>application du Règlement n</w:t>
      </w:r>
      <w:r w:rsidRPr="00C00A44">
        <w:rPr>
          <w:vertAlign w:val="superscript"/>
          <w:lang w:val="fr-FR"/>
        </w:rPr>
        <w:t>o</w:t>
      </w:r>
      <w:r w:rsidRPr="00C00A44">
        <w:rPr>
          <w:lang w:val="fr-FR"/>
        </w:rPr>
        <w:t xml:space="preserve"> 53. </w:t>
      </w:r>
    </w:p>
    <w:p w:rsidR="002F5C9C" w:rsidRPr="00C00A44" w:rsidRDefault="002F5C9C" w:rsidP="009B5231">
      <w:pPr>
        <w:pStyle w:val="SingleTxtG"/>
        <w:keepNext/>
        <w:rPr>
          <w:lang w:val="fr-FR"/>
        </w:rPr>
      </w:pPr>
      <w:bookmarkStart w:id="2" w:name="_Hlk504739728"/>
      <w:r w:rsidRPr="00C00A44">
        <w:rPr>
          <w:color w:val="000000" w:themeColor="text1"/>
          <w:lang w:val="fr-FR"/>
        </w:rPr>
        <w:t>4.</w:t>
      </w:r>
      <w:r w:rsidRPr="00C00A44">
        <w:rPr>
          <w:color w:val="000000" w:themeColor="text1"/>
          <w:lang w:val="fr-FR"/>
        </w:rPr>
        <w:tab/>
        <w:t>Il convient de préciser que la présente proposition n</w:t>
      </w:r>
      <w:r>
        <w:rPr>
          <w:color w:val="000000" w:themeColor="text1"/>
          <w:lang w:val="fr-FR"/>
        </w:rPr>
        <w:t>’</w:t>
      </w:r>
      <w:r w:rsidRPr="00C00A44">
        <w:rPr>
          <w:color w:val="000000" w:themeColor="text1"/>
          <w:lang w:val="fr-FR"/>
        </w:rPr>
        <w:t>est pas nécessairement liée à l</w:t>
      </w:r>
      <w:r>
        <w:rPr>
          <w:color w:val="000000" w:themeColor="text1"/>
          <w:lang w:val="fr-FR"/>
        </w:rPr>
        <w:t>’</w:t>
      </w:r>
      <w:r w:rsidRPr="00C00A44">
        <w:rPr>
          <w:color w:val="000000" w:themeColor="text1"/>
          <w:lang w:val="fr-FR"/>
        </w:rPr>
        <w:t>activation ou à la désactivation d</w:t>
      </w:r>
      <w:r>
        <w:rPr>
          <w:color w:val="000000" w:themeColor="text1"/>
          <w:lang w:val="fr-FR"/>
        </w:rPr>
        <w:t>’</w:t>
      </w:r>
      <w:r w:rsidRPr="00C00A44">
        <w:rPr>
          <w:color w:val="000000" w:themeColor="text1"/>
          <w:lang w:val="fr-FR"/>
        </w:rPr>
        <w:t>un système d</w:t>
      </w:r>
      <w:r>
        <w:rPr>
          <w:color w:val="000000" w:themeColor="text1"/>
          <w:lang w:val="fr-FR"/>
        </w:rPr>
        <w:t>’</w:t>
      </w:r>
      <w:r w:rsidRPr="00C00A44">
        <w:rPr>
          <w:color w:val="000000" w:themeColor="text1"/>
          <w:lang w:val="fr-FR"/>
        </w:rPr>
        <w:t>alarme ou d</w:t>
      </w:r>
      <w:r>
        <w:rPr>
          <w:color w:val="000000" w:themeColor="text1"/>
          <w:lang w:val="fr-FR"/>
        </w:rPr>
        <w:t>’</w:t>
      </w:r>
      <w:r w:rsidRPr="00C00A44">
        <w:rPr>
          <w:color w:val="000000" w:themeColor="text1"/>
          <w:lang w:val="fr-FR"/>
        </w:rPr>
        <w:t>immobilisation. Si le motocycle est équipé d</w:t>
      </w:r>
      <w:r>
        <w:rPr>
          <w:color w:val="000000" w:themeColor="text1"/>
          <w:lang w:val="fr-FR"/>
        </w:rPr>
        <w:t>’</w:t>
      </w:r>
      <w:r w:rsidRPr="00C00A44">
        <w:rPr>
          <w:color w:val="000000" w:themeColor="text1"/>
          <w:lang w:val="fr-FR"/>
        </w:rPr>
        <w:t>un système d</w:t>
      </w:r>
      <w:r>
        <w:rPr>
          <w:color w:val="000000" w:themeColor="text1"/>
          <w:lang w:val="fr-FR"/>
        </w:rPr>
        <w:t>’</w:t>
      </w:r>
      <w:r w:rsidRPr="00C00A44">
        <w:rPr>
          <w:color w:val="000000" w:themeColor="text1"/>
          <w:lang w:val="fr-FR"/>
        </w:rPr>
        <w:t>alarme ou d</w:t>
      </w:r>
      <w:r>
        <w:rPr>
          <w:color w:val="000000" w:themeColor="text1"/>
          <w:lang w:val="fr-FR"/>
        </w:rPr>
        <w:t>’</w:t>
      </w:r>
      <w:r w:rsidRPr="00C00A44">
        <w:rPr>
          <w:color w:val="000000" w:themeColor="text1"/>
          <w:lang w:val="fr-FR"/>
        </w:rPr>
        <w:t>immobilisation conforme au Règlement n</w:t>
      </w:r>
      <w:r w:rsidRPr="00C00A44">
        <w:rPr>
          <w:color w:val="000000" w:themeColor="text1"/>
          <w:vertAlign w:val="superscript"/>
          <w:lang w:val="fr-FR"/>
        </w:rPr>
        <w:t>o</w:t>
      </w:r>
      <w:r w:rsidRPr="00C00A44">
        <w:rPr>
          <w:color w:val="000000" w:themeColor="text1"/>
          <w:lang w:val="fr-FR"/>
        </w:rPr>
        <w:t> </w:t>
      </w:r>
      <w:r w:rsidRPr="00C00A44">
        <w:rPr>
          <w:lang w:val="fr-FR"/>
        </w:rPr>
        <w:t>97, l</w:t>
      </w:r>
      <w:r>
        <w:rPr>
          <w:lang w:val="fr-FR"/>
        </w:rPr>
        <w:t>’</w:t>
      </w:r>
      <w:r w:rsidRPr="00C00A44">
        <w:rPr>
          <w:color w:val="000000" w:themeColor="text1"/>
          <w:lang w:val="fr-FR"/>
        </w:rPr>
        <w:t>activation des feux indicateurs de direction est déjà autorisée au paragraphe</w:t>
      </w:r>
      <w:r w:rsidR="00877040">
        <w:rPr>
          <w:color w:val="000000" w:themeColor="text1"/>
          <w:lang w:val="fr-FR"/>
        </w:rPr>
        <w:t> </w:t>
      </w:r>
      <w:r w:rsidRPr="00C00A44">
        <w:rPr>
          <w:color w:val="000000" w:themeColor="text1"/>
          <w:lang w:val="fr-FR"/>
        </w:rPr>
        <w:t>2.5.8 du Règlement n</w:t>
      </w:r>
      <w:r w:rsidRPr="00C00A44">
        <w:rPr>
          <w:color w:val="000000" w:themeColor="text1"/>
          <w:vertAlign w:val="superscript"/>
          <w:lang w:val="fr-FR"/>
        </w:rPr>
        <w:t>o</w:t>
      </w:r>
      <w:r w:rsidRPr="00C00A44">
        <w:rPr>
          <w:color w:val="000000" w:themeColor="text1"/>
          <w:lang w:val="fr-FR"/>
        </w:rPr>
        <w:t> </w:t>
      </w:r>
      <w:r w:rsidRPr="00C00A44">
        <w:rPr>
          <w:lang w:val="fr-FR"/>
        </w:rPr>
        <w:t>53</w:t>
      </w:r>
      <w:r w:rsidR="00433FC7">
        <w:rPr>
          <w:lang w:val="fr-FR"/>
        </w:rPr>
        <w:t> :</w:t>
      </w:r>
      <w:r w:rsidRPr="00C00A44">
        <w:rPr>
          <w:lang w:val="fr-FR"/>
        </w:rPr>
        <w:t xml:space="preserve"> </w:t>
      </w:r>
    </w:p>
    <w:p w:rsidR="009455EB" w:rsidRDefault="00877040" w:rsidP="002F5C9C">
      <w:pPr>
        <w:pStyle w:val="SingleTxtG"/>
        <w:ind w:left="2268" w:hanging="1134"/>
        <w:rPr>
          <w:lang w:val="fr-FR"/>
        </w:rPr>
      </w:pPr>
      <w:r>
        <w:rPr>
          <w:lang w:val="fr-FR"/>
        </w:rPr>
        <w:t>« </w:t>
      </w:r>
      <w:r w:rsidR="002F5C9C" w:rsidRPr="00C00A44">
        <w:rPr>
          <w:lang w:val="fr-FR"/>
        </w:rPr>
        <w:t>2.5.8</w:t>
      </w:r>
      <w:r w:rsidR="002F5C9C" w:rsidRPr="00C00A44">
        <w:rPr>
          <w:lang w:val="fr-FR"/>
        </w:rPr>
        <w:tab/>
        <w:t xml:space="preserve">[On entend par] </w:t>
      </w:r>
      <w:r w:rsidR="009455EB">
        <w:rPr>
          <w:lang w:val="fr-FR"/>
        </w:rPr>
        <w:t>“</w:t>
      </w:r>
      <w:r w:rsidR="002F5C9C" w:rsidRPr="00C00A44">
        <w:rPr>
          <w:i/>
          <w:lang w:val="fr-FR"/>
        </w:rPr>
        <w:t>[f]eu indicateur de direction</w:t>
      </w:r>
      <w:r w:rsidR="009455EB">
        <w:rPr>
          <w:lang w:val="fr-FR"/>
        </w:rPr>
        <w:t>”</w:t>
      </w:r>
      <w:r w:rsidR="002F5C9C" w:rsidRPr="00C00A44">
        <w:rPr>
          <w:lang w:val="fr-FR"/>
        </w:rPr>
        <w:t>, le feu servant à indiquer aux autres usagers de la route que le conducteur a l</w:t>
      </w:r>
      <w:r w:rsidR="002F5C9C">
        <w:rPr>
          <w:lang w:val="fr-FR"/>
        </w:rPr>
        <w:t>’</w:t>
      </w:r>
      <w:r w:rsidR="002F5C9C" w:rsidRPr="00C00A44">
        <w:rPr>
          <w:lang w:val="fr-FR"/>
        </w:rPr>
        <w:t>intention de changer de direction vers la droite ou vers la gauche</w:t>
      </w:r>
      <w:r w:rsidR="00B5402E">
        <w:rPr>
          <w:lang w:val="fr-FR"/>
        </w:rPr>
        <w:t>.</w:t>
      </w:r>
    </w:p>
    <w:p w:rsidR="002F5C9C" w:rsidRPr="00C00A44" w:rsidRDefault="009455EB" w:rsidP="009455EB">
      <w:pPr>
        <w:pStyle w:val="SingleTxtG"/>
        <w:ind w:left="2268"/>
        <w:rPr>
          <w:lang w:val="fr-FR"/>
        </w:rPr>
      </w:pPr>
      <w:r>
        <w:rPr>
          <w:lang w:val="fr-FR"/>
        </w:rPr>
        <w:t>L</w:t>
      </w:r>
      <w:r w:rsidR="002F5C9C" w:rsidRPr="00C00A44">
        <w:rPr>
          <w:lang w:val="fr-FR"/>
        </w:rPr>
        <w:t xml:space="preserve">e ou les feux indicateurs de direction peuvent aussi être utilisés selon les dispositions du Règlement </w:t>
      </w:r>
      <w:r w:rsidR="009B5231" w:rsidRPr="009B5231">
        <w:rPr>
          <w:rFonts w:eastAsia="MS Mincho"/>
          <w:lang w:val="fr-FR"/>
        </w:rPr>
        <w:t>n</w:t>
      </w:r>
      <w:r w:rsidR="009B5231" w:rsidRPr="009B5231">
        <w:rPr>
          <w:rFonts w:eastAsia="MS Mincho"/>
          <w:vertAlign w:val="superscript"/>
          <w:lang w:val="fr-FR"/>
        </w:rPr>
        <w:t>o</w:t>
      </w:r>
      <w:r w:rsidR="009B5231">
        <w:rPr>
          <w:lang w:val="fr-FR"/>
        </w:rPr>
        <w:t> </w:t>
      </w:r>
      <w:r w:rsidR="002F5C9C" w:rsidRPr="00C00A44">
        <w:rPr>
          <w:lang w:val="fr-FR"/>
        </w:rPr>
        <w:t>97.</w:t>
      </w:r>
      <w:r w:rsidR="009B5231">
        <w:rPr>
          <w:lang w:val="fr-FR"/>
        </w:rPr>
        <w:t> »</w:t>
      </w:r>
      <w:r w:rsidR="002F5C9C" w:rsidRPr="00C00A44">
        <w:rPr>
          <w:lang w:val="fr-FR"/>
        </w:rPr>
        <w:t>.</w:t>
      </w:r>
    </w:p>
    <w:p w:rsidR="002F5C9C" w:rsidRPr="00C00A44" w:rsidRDefault="002F5C9C" w:rsidP="009B5231">
      <w:pPr>
        <w:pStyle w:val="ListParagraph"/>
        <w:keepNext/>
        <w:spacing w:after="120"/>
        <w:ind w:left="1134" w:right="1134"/>
        <w:contextualSpacing w:val="0"/>
        <w:jc w:val="both"/>
        <w:rPr>
          <w:lang w:val="fr-FR"/>
        </w:rPr>
      </w:pPr>
      <w:r w:rsidRPr="00C00A44">
        <w:rPr>
          <w:lang w:val="fr-FR"/>
        </w:rPr>
        <w:t>5.</w:t>
      </w:r>
      <w:r w:rsidRPr="00C00A44">
        <w:rPr>
          <w:lang w:val="fr-FR"/>
        </w:rPr>
        <w:tab/>
        <w:t>Le paragraphe 32.6.1 du Règlement n</w:t>
      </w:r>
      <w:r w:rsidRPr="00C00A44">
        <w:rPr>
          <w:vertAlign w:val="superscript"/>
          <w:lang w:val="fr-FR"/>
        </w:rPr>
        <w:t>o</w:t>
      </w:r>
      <w:r w:rsidRPr="00C00A44">
        <w:rPr>
          <w:lang w:val="fr-FR"/>
        </w:rPr>
        <w:t> 97 dispose en outre que</w:t>
      </w:r>
      <w:r w:rsidR="00433FC7">
        <w:rPr>
          <w:lang w:val="fr-FR"/>
        </w:rPr>
        <w:t> :</w:t>
      </w:r>
    </w:p>
    <w:p w:rsidR="002F5C9C" w:rsidRPr="00C00A44" w:rsidRDefault="009B5231" w:rsidP="002F5C9C">
      <w:pPr>
        <w:pStyle w:val="SingleTxtG"/>
        <w:ind w:left="2268" w:hanging="1134"/>
        <w:rPr>
          <w:lang w:val="fr-FR"/>
        </w:rPr>
      </w:pPr>
      <w:r>
        <w:rPr>
          <w:lang w:val="fr-FR"/>
        </w:rPr>
        <w:t>« </w:t>
      </w:r>
      <w:r w:rsidR="002F5C9C" w:rsidRPr="00C00A44">
        <w:rPr>
          <w:lang w:val="fr-FR"/>
        </w:rPr>
        <w:t>32.6.1</w:t>
      </w:r>
      <w:r w:rsidR="002F5C9C" w:rsidRPr="00C00A44">
        <w:rPr>
          <w:lang w:val="fr-FR"/>
        </w:rPr>
        <w:tab/>
        <w:t>Les indicateurs optiques sont autorisés à l</w:t>
      </w:r>
      <w:r w:rsidR="002F5C9C">
        <w:rPr>
          <w:lang w:val="fr-FR"/>
        </w:rPr>
        <w:t>’</w:t>
      </w:r>
      <w:r w:rsidR="002F5C9C" w:rsidRPr="00C00A44">
        <w:rPr>
          <w:lang w:val="fr-FR"/>
        </w:rPr>
        <w:t>intérieur et à l</w:t>
      </w:r>
      <w:r w:rsidR="002F5C9C">
        <w:rPr>
          <w:lang w:val="fr-FR"/>
        </w:rPr>
        <w:t>’</w:t>
      </w:r>
      <w:r w:rsidR="002F5C9C" w:rsidRPr="00C00A44">
        <w:rPr>
          <w:lang w:val="fr-FR"/>
        </w:rPr>
        <w:t>extérieur de l</w:t>
      </w:r>
      <w:r w:rsidR="002F5C9C">
        <w:rPr>
          <w:lang w:val="fr-FR"/>
        </w:rPr>
        <w:t>’</w:t>
      </w:r>
      <w:r w:rsidR="002F5C9C" w:rsidRPr="00C00A44">
        <w:rPr>
          <w:lang w:val="fr-FR"/>
        </w:rPr>
        <w:t>habitacle pour fournir des renseignements sur la position du système d</w:t>
      </w:r>
      <w:r w:rsidR="002F5C9C">
        <w:rPr>
          <w:lang w:val="fr-FR"/>
        </w:rPr>
        <w:t>’</w:t>
      </w:r>
      <w:r w:rsidR="002F5C9C" w:rsidRPr="00C00A44">
        <w:rPr>
          <w:lang w:val="fr-FR"/>
        </w:rPr>
        <w:t>immobilisation (branché, débranché, passage de branché à débranché et vice versa). L</w:t>
      </w:r>
      <w:r w:rsidR="002F5C9C">
        <w:rPr>
          <w:lang w:val="fr-FR"/>
        </w:rPr>
        <w:t>’</w:t>
      </w:r>
      <w:r w:rsidR="002F5C9C" w:rsidRPr="00C00A44">
        <w:rPr>
          <w:lang w:val="fr-FR"/>
        </w:rPr>
        <w:t>intensité lumineuse des signaux optiques à l</w:t>
      </w:r>
      <w:r w:rsidR="002F5C9C">
        <w:rPr>
          <w:lang w:val="fr-FR"/>
        </w:rPr>
        <w:t>’</w:t>
      </w:r>
      <w:r w:rsidR="002F5C9C" w:rsidRPr="00C00A44">
        <w:rPr>
          <w:lang w:val="fr-FR"/>
        </w:rPr>
        <w:t>extérieur de l</w:t>
      </w:r>
      <w:r w:rsidR="002F5C9C">
        <w:rPr>
          <w:lang w:val="fr-FR"/>
        </w:rPr>
        <w:t>’</w:t>
      </w:r>
      <w:r w:rsidR="002F5C9C" w:rsidRPr="00C00A44">
        <w:rPr>
          <w:lang w:val="fr-FR"/>
        </w:rPr>
        <w:t>habitacle ne doit pas dépasser 0,5 cd.</w:t>
      </w:r>
      <w:r>
        <w:rPr>
          <w:lang w:val="fr-FR"/>
        </w:rPr>
        <w:t> »</w:t>
      </w:r>
      <w:r w:rsidR="002F5C9C" w:rsidRPr="00C00A44">
        <w:rPr>
          <w:lang w:val="fr-FR"/>
        </w:rPr>
        <w:t>.</w:t>
      </w:r>
    </w:p>
    <w:p w:rsidR="002F5C9C" w:rsidRPr="00C00A44" w:rsidRDefault="002F5C9C" w:rsidP="009B5231">
      <w:pPr>
        <w:pStyle w:val="ListParagraph"/>
        <w:keepLines/>
        <w:spacing w:after="120"/>
        <w:ind w:left="1134" w:right="1134"/>
        <w:contextualSpacing w:val="0"/>
        <w:jc w:val="both"/>
        <w:rPr>
          <w:lang w:val="fr-FR"/>
        </w:rPr>
      </w:pPr>
      <w:r w:rsidRPr="00C00A44">
        <w:rPr>
          <w:lang w:val="fr-FR"/>
        </w:rPr>
        <w:lastRenderedPageBreak/>
        <w:t>6.</w:t>
      </w:r>
      <w:r w:rsidRPr="00C00A44">
        <w:rPr>
          <w:lang w:val="fr-FR"/>
        </w:rPr>
        <w:tab/>
        <w:t>Les indicateurs optiques à l</w:t>
      </w:r>
      <w:r>
        <w:rPr>
          <w:lang w:val="fr-FR"/>
        </w:rPr>
        <w:t>’</w:t>
      </w:r>
      <w:r w:rsidRPr="00C00A44">
        <w:rPr>
          <w:lang w:val="fr-FR"/>
        </w:rPr>
        <w:t>intérieur et les signaux optiques émis à l</w:t>
      </w:r>
      <w:r>
        <w:rPr>
          <w:lang w:val="fr-FR"/>
        </w:rPr>
        <w:t>’</w:t>
      </w:r>
      <w:r w:rsidRPr="00C00A44">
        <w:rPr>
          <w:lang w:val="fr-FR"/>
        </w:rPr>
        <w:t>extérieur de l</w:t>
      </w:r>
      <w:r>
        <w:rPr>
          <w:lang w:val="fr-FR"/>
        </w:rPr>
        <w:t>’</w:t>
      </w:r>
      <w:r w:rsidRPr="00C00A44">
        <w:rPr>
          <w:lang w:val="fr-FR"/>
        </w:rPr>
        <w:t>habitacle sont autorisés pour fournir des informations sur la position du système d</w:t>
      </w:r>
      <w:r>
        <w:rPr>
          <w:lang w:val="fr-FR"/>
        </w:rPr>
        <w:t>’</w:t>
      </w:r>
      <w:r w:rsidRPr="00C00A44">
        <w:rPr>
          <w:lang w:val="fr-FR"/>
        </w:rPr>
        <w:t>immobilisation (branché, débranché, passage de branché à débranché et vice versa). Tout signal optique émis ou toute utilisation des dispositifs d</w:t>
      </w:r>
      <w:r>
        <w:rPr>
          <w:lang w:val="fr-FR"/>
        </w:rPr>
        <w:t>’</w:t>
      </w:r>
      <w:r w:rsidRPr="00C00A44">
        <w:rPr>
          <w:lang w:val="fr-FR"/>
        </w:rPr>
        <w:t>éclairage ou de signalisation lumineuse à l</w:t>
      </w:r>
      <w:r>
        <w:rPr>
          <w:lang w:val="fr-FR"/>
        </w:rPr>
        <w:t>’</w:t>
      </w:r>
      <w:r w:rsidRPr="00C00A44">
        <w:rPr>
          <w:lang w:val="fr-FR"/>
        </w:rPr>
        <w:t>extérieur de l</w:t>
      </w:r>
      <w:r>
        <w:rPr>
          <w:lang w:val="fr-FR"/>
        </w:rPr>
        <w:t>’</w:t>
      </w:r>
      <w:r w:rsidRPr="00C00A44">
        <w:rPr>
          <w:lang w:val="fr-FR"/>
        </w:rPr>
        <w:t xml:space="preserve">habitacle doit satisfaire aux prescriptions du Règlement </w:t>
      </w:r>
      <w:r w:rsidR="009B5231" w:rsidRPr="009B5231">
        <w:rPr>
          <w:rFonts w:eastAsia="MS Mincho"/>
          <w:lang w:val="fr-FR"/>
        </w:rPr>
        <w:t>n</w:t>
      </w:r>
      <w:r w:rsidR="009B5231" w:rsidRPr="009B5231">
        <w:rPr>
          <w:rFonts w:eastAsia="MS Mincho"/>
          <w:vertAlign w:val="superscript"/>
          <w:lang w:val="fr-FR"/>
        </w:rPr>
        <w:t>o</w:t>
      </w:r>
      <w:r w:rsidR="009B5231">
        <w:rPr>
          <w:lang w:val="fr-FR"/>
        </w:rPr>
        <w:t> </w:t>
      </w:r>
      <w:r w:rsidRPr="00C00A44">
        <w:rPr>
          <w:lang w:val="fr-FR"/>
        </w:rPr>
        <w:t>48.</w:t>
      </w:r>
    </w:p>
    <w:bookmarkEnd w:id="2"/>
    <w:p w:rsidR="00F9573C" w:rsidRDefault="002F5C9C" w:rsidP="009B5231">
      <w:pPr>
        <w:pStyle w:val="SingleTxtG"/>
        <w:rPr>
          <w:color w:val="000000" w:themeColor="text1"/>
          <w:lang w:val="fr-FR"/>
        </w:rPr>
      </w:pPr>
      <w:r w:rsidRPr="009B5231">
        <w:t>7.</w:t>
      </w:r>
      <w:r w:rsidRPr="009B5231">
        <w:tab/>
        <w:t>Toutefois, les motocycles ne sont pas nécessairement équipés d’un système d’immobilisation ou d’alarme tel que</w:t>
      </w:r>
      <w:r>
        <w:rPr>
          <w:color w:val="000000" w:themeColor="text1"/>
          <w:lang w:val="fr-FR"/>
        </w:rPr>
        <w:t xml:space="preserve"> défini</w:t>
      </w:r>
      <w:r w:rsidRPr="00C00A44">
        <w:rPr>
          <w:color w:val="000000" w:themeColor="text1"/>
          <w:lang w:val="fr-FR"/>
        </w:rPr>
        <w:t xml:space="preserve"> dans le Règlement n</w:t>
      </w:r>
      <w:r w:rsidRPr="00C00A44">
        <w:rPr>
          <w:color w:val="000000" w:themeColor="text1"/>
          <w:vertAlign w:val="superscript"/>
          <w:lang w:val="fr-FR"/>
        </w:rPr>
        <w:t>o</w:t>
      </w:r>
      <w:r w:rsidRPr="00C00A44">
        <w:rPr>
          <w:color w:val="000000" w:themeColor="text1"/>
          <w:lang w:val="fr-FR"/>
        </w:rPr>
        <w:t> 97.</w:t>
      </w:r>
    </w:p>
    <w:p w:rsidR="009B5231" w:rsidRPr="009B5231" w:rsidRDefault="009B5231" w:rsidP="009B5231">
      <w:pPr>
        <w:pStyle w:val="SingleTxtG"/>
        <w:spacing w:before="240" w:after="0"/>
        <w:jc w:val="center"/>
        <w:rPr>
          <w:u w:val="single"/>
        </w:rPr>
      </w:pPr>
      <w:r>
        <w:rPr>
          <w:u w:val="single"/>
        </w:rPr>
        <w:tab/>
      </w:r>
      <w:r>
        <w:rPr>
          <w:u w:val="single"/>
        </w:rPr>
        <w:tab/>
      </w:r>
      <w:r>
        <w:rPr>
          <w:u w:val="single"/>
        </w:rPr>
        <w:tab/>
      </w:r>
    </w:p>
    <w:sectPr w:rsidR="009B5231" w:rsidRPr="009B5231" w:rsidSect="002F5C9C">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B7" w:rsidRDefault="007C17B7" w:rsidP="00F95C08">
      <w:pPr>
        <w:spacing w:line="240" w:lineRule="auto"/>
      </w:pPr>
    </w:p>
  </w:endnote>
  <w:endnote w:type="continuationSeparator" w:id="0">
    <w:p w:rsidR="007C17B7" w:rsidRPr="00AC3823" w:rsidRDefault="007C17B7" w:rsidP="00AC3823">
      <w:pPr>
        <w:pStyle w:val="Footer"/>
      </w:pPr>
    </w:p>
  </w:endnote>
  <w:endnote w:type="continuationNotice" w:id="1">
    <w:p w:rsidR="007C17B7" w:rsidRDefault="007C17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9C" w:rsidRPr="002F5C9C" w:rsidRDefault="002F5C9C" w:rsidP="002F5C9C">
    <w:pPr>
      <w:pStyle w:val="Footer"/>
      <w:tabs>
        <w:tab w:val="right" w:pos="9638"/>
      </w:tabs>
    </w:pPr>
    <w:r w:rsidRPr="002F5C9C">
      <w:rPr>
        <w:b/>
        <w:sz w:val="18"/>
      </w:rPr>
      <w:fldChar w:fldCharType="begin"/>
    </w:r>
    <w:r w:rsidRPr="002F5C9C">
      <w:rPr>
        <w:b/>
        <w:sz w:val="18"/>
      </w:rPr>
      <w:instrText xml:space="preserve"> PAGE  \* MERGEFORMAT </w:instrText>
    </w:r>
    <w:r w:rsidRPr="002F5C9C">
      <w:rPr>
        <w:b/>
        <w:sz w:val="18"/>
      </w:rPr>
      <w:fldChar w:fldCharType="separate"/>
    </w:r>
    <w:r w:rsidR="008B7702">
      <w:rPr>
        <w:b/>
        <w:noProof/>
        <w:sz w:val="18"/>
      </w:rPr>
      <w:t>2</w:t>
    </w:r>
    <w:r w:rsidRPr="002F5C9C">
      <w:rPr>
        <w:b/>
        <w:sz w:val="18"/>
      </w:rPr>
      <w:fldChar w:fldCharType="end"/>
    </w:r>
    <w:r>
      <w:rPr>
        <w:b/>
        <w:sz w:val="18"/>
      </w:rPr>
      <w:tab/>
    </w:r>
    <w:r>
      <w:t>GE.18-01966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9C" w:rsidRPr="002F5C9C" w:rsidRDefault="002F5C9C" w:rsidP="002F5C9C">
    <w:pPr>
      <w:pStyle w:val="Footer"/>
      <w:tabs>
        <w:tab w:val="right" w:pos="9638"/>
      </w:tabs>
      <w:rPr>
        <w:b/>
        <w:sz w:val="18"/>
      </w:rPr>
    </w:pPr>
    <w:r>
      <w:t>GE.18-01966</w:t>
    </w:r>
    <w:r>
      <w:tab/>
    </w:r>
    <w:r w:rsidRPr="002F5C9C">
      <w:rPr>
        <w:b/>
        <w:sz w:val="18"/>
      </w:rPr>
      <w:fldChar w:fldCharType="begin"/>
    </w:r>
    <w:r w:rsidRPr="002F5C9C">
      <w:rPr>
        <w:b/>
        <w:sz w:val="18"/>
      </w:rPr>
      <w:instrText xml:space="preserve"> PAGE  \* MERGEFORMAT </w:instrText>
    </w:r>
    <w:r w:rsidRPr="002F5C9C">
      <w:rPr>
        <w:b/>
        <w:sz w:val="18"/>
      </w:rPr>
      <w:fldChar w:fldCharType="separate"/>
    </w:r>
    <w:r w:rsidR="008B7702">
      <w:rPr>
        <w:b/>
        <w:noProof/>
        <w:sz w:val="18"/>
      </w:rPr>
      <w:t>3</w:t>
    </w:r>
    <w:r w:rsidRPr="002F5C9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2F5C9C" w:rsidRDefault="002F5C9C" w:rsidP="002F5C9C">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18-01966  (F)    190218    190218</w:t>
    </w:r>
    <w:r>
      <w:rPr>
        <w:sz w:val="20"/>
      </w:rPr>
      <w:br/>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sidRPr="002F5C9C">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E/2018/2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25&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B7" w:rsidRPr="00AC3823" w:rsidRDefault="007C17B7" w:rsidP="00AC3823">
      <w:pPr>
        <w:pStyle w:val="Footer"/>
        <w:tabs>
          <w:tab w:val="right" w:pos="2155"/>
        </w:tabs>
        <w:spacing w:after="80" w:line="240" w:lineRule="atLeast"/>
        <w:ind w:left="680"/>
        <w:rPr>
          <w:u w:val="single"/>
        </w:rPr>
      </w:pPr>
      <w:r>
        <w:rPr>
          <w:u w:val="single"/>
        </w:rPr>
        <w:tab/>
      </w:r>
    </w:p>
  </w:footnote>
  <w:footnote w:type="continuationSeparator" w:id="0">
    <w:p w:rsidR="007C17B7" w:rsidRPr="00AC3823" w:rsidRDefault="007C17B7" w:rsidP="00AC3823">
      <w:pPr>
        <w:pStyle w:val="Footer"/>
        <w:tabs>
          <w:tab w:val="right" w:pos="2155"/>
        </w:tabs>
        <w:spacing w:after="80" w:line="240" w:lineRule="atLeast"/>
        <w:ind w:left="680"/>
        <w:rPr>
          <w:u w:val="single"/>
        </w:rPr>
      </w:pPr>
      <w:r>
        <w:rPr>
          <w:u w:val="single"/>
        </w:rPr>
        <w:tab/>
      </w:r>
    </w:p>
  </w:footnote>
  <w:footnote w:type="continuationNotice" w:id="1">
    <w:p w:rsidR="007C17B7" w:rsidRPr="00AC3823" w:rsidRDefault="007C17B7">
      <w:pPr>
        <w:spacing w:line="240" w:lineRule="auto"/>
        <w:rPr>
          <w:sz w:val="2"/>
          <w:szCs w:val="2"/>
        </w:rPr>
      </w:pPr>
    </w:p>
  </w:footnote>
  <w:footnote w:id="2">
    <w:p w:rsidR="002F5C9C" w:rsidRPr="00E37EF6" w:rsidRDefault="002F5C9C" w:rsidP="002F5C9C">
      <w:pPr>
        <w:pStyle w:val="FootnoteText"/>
        <w:rPr>
          <w:szCs w:val="18"/>
        </w:rPr>
      </w:pPr>
      <w:r w:rsidRPr="00950DCE">
        <w:rPr>
          <w:szCs w:val="18"/>
          <w:lang w:val="fr-FR"/>
        </w:rPr>
        <w:tab/>
        <w:t>*</w:t>
      </w:r>
      <w:r w:rsidRPr="00950DCE">
        <w:rPr>
          <w:szCs w:val="18"/>
          <w:lang w:val="fr-FR"/>
        </w:rPr>
        <w:tab/>
      </w:r>
      <w:r w:rsidRPr="00780858">
        <w:rPr>
          <w:lang w:val="fr-FR"/>
        </w:rPr>
        <w:t>Conformément au programme de travail du Comité des transports intérieurs pour la période 2014</w:t>
      </w:r>
      <w:r>
        <w:rPr>
          <w:lang w:val="fr-FR"/>
        </w:rPr>
        <w:noBreakHyphen/>
      </w:r>
      <w:r w:rsidRPr="00780858">
        <w:rPr>
          <w:lang w:val="fr-FR"/>
        </w:rPr>
        <w:t xml:space="preserve">2018 (ECE/TRANS/240, par. 105, et ECE/TRANS/2014/26, </w:t>
      </w:r>
      <w:r>
        <w:rPr>
          <w:lang w:val="fr-FR"/>
        </w:rPr>
        <w:t>module</w:t>
      </w:r>
      <w:r w:rsidRPr="00780858">
        <w:rPr>
          <w:lang w:val="fr-FR"/>
        </w:rPr>
        <w:t> 02.4), le Forum mondial a</w:t>
      </w:r>
      <w:r>
        <w:rPr>
          <w:lang w:val="fr-FR"/>
        </w:rPr>
        <w:t> </w:t>
      </w:r>
      <w:r w:rsidRPr="00780858">
        <w:rPr>
          <w:lang w:val="fr-FR"/>
        </w:rPr>
        <w:t>pour mission d’élaborer, d’harmoniser et de mettre à jour les Règlements en vue d’améliorer les caractéristiques fonctionnelles des véhicules. Le présent document est soumis en vertu de ce mandat</w:t>
      </w:r>
      <w:r w:rsidRPr="00E37EF6">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9C" w:rsidRPr="002F5C9C" w:rsidRDefault="008B7702">
    <w:pPr>
      <w:pStyle w:val="Header"/>
    </w:pPr>
    <w:r>
      <w:fldChar w:fldCharType="begin"/>
    </w:r>
    <w:r>
      <w:instrText xml:space="preserve"> TITLE  \* MERGEFORMAT </w:instrText>
    </w:r>
    <w:r>
      <w:fldChar w:fldCharType="separate"/>
    </w:r>
    <w:r w:rsidR="001156BF">
      <w:t>ECE/TRANS/WP.29/GRE/2018/25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9C" w:rsidRPr="002F5C9C" w:rsidRDefault="008B7702" w:rsidP="002F5C9C">
    <w:pPr>
      <w:pStyle w:val="Header"/>
      <w:jc w:val="right"/>
    </w:pPr>
    <w:r>
      <w:fldChar w:fldCharType="begin"/>
    </w:r>
    <w:r>
      <w:instrText xml:space="preserve"> TITLE  \* MERGEFORMAT </w:instrText>
    </w:r>
    <w:r>
      <w:fldChar w:fldCharType="separate"/>
    </w:r>
    <w:r w:rsidR="001156BF">
      <w:t>ECE/TRANS/WP.29/GRE/2018/25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B7"/>
    <w:rsid w:val="00017F94"/>
    <w:rsid w:val="00023842"/>
    <w:rsid w:val="000334F9"/>
    <w:rsid w:val="00045FEB"/>
    <w:rsid w:val="0007796D"/>
    <w:rsid w:val="000B7790"/>
    <w:rsid w:val="00103726"/>
    <w:rsid w:val="00111F2F"/>
    <w:rsid w:val="001156BF"/>
    <w:rsid w:val="001409D9"/>
    <w:rsid w:val="0014365E"/>
    <w:rsid w:val="00143C66"/>
    <w:rsid w:val="00176178"/>
    <w:rsid w:val="001F525A"/>
    <w:rsid w:val="00223272"/>
    <w:rsid w:val="0024779E"/>
    <w:rsid w:val="00257168"/>
    <w:rsid w:val="002744B8"/>
    <w:rsid w:val="002832AC"/>
    <w:rsid w:val="002D7C93"/>
    <w:rsid w:val="002F5C9C"/>
    <w:rsid w:val="00305801"/>
    <w:rsid w:val="003916DE"/>
    <w:rsid w:val="00433FC7"/>
    <w:rsid w:val="00441C3B"/>
    <w:rsid w:val="004466E6"/>
    <w:rsid w:val="00446FE5"/>
    <w:rsid w:val="00452396"/>
    <w:rsid w:val="004837D8"/>
    <w:rsid w:val="004C553D"/>
    <w:rsid w:val="004E468C"/>
    <w:rsid w:val="005505B7"/>
    <w:rsid w:val="00573BE5"/>
    <w:rsid w:val="00586ED3"/>
    <w:rsid w:val="00596AA9"/>
    <w:rsid w:val="006B21CD"/>
    <w:rsid w:val="0071601D"/>
    <w:rsid w:val="007A62E6"/>
    <w:rsid w:val="007C17B7"/>
    <w:rsid w:val="007F20FA"/>
    <w:rsid w:val="0080684C"/>
    <w:rsid w:val="00871C75"/>
    <w:rsid w:val="00877040"/>
    <w:rsid w:val="008776DC"/>
    <w:rsid w:val="008B7702"/>
    <w:rsid w:val="00907C8C"/>
    <w:rsid w:val="009446C0"/>
    <w:rsid w:val="009455EB"/>
    <w:rsid w:val="009705C8"/>
    <w:rsid w:val="009B5231"/>
    <w:rsid w:val="009C1CF4"/>
    <w:rsid w:val="009F6B74"/>
    <w:rsid w:val="00A30353"/>
    <w:rsid w:val="00AC3823"/>
    <w:rsid w:val="00AE323C"/>
    <w:rsid w:val="00AF0CB5"/>
    <w:rsid w:val="00B00181"/>
    <w:rsid w:val="00B00B0D"/>
    <w:rsid w:val="00B5402E"/>
    <w:rsid w:val="00B765F7"/>
    <w:rsid w:val="00BA0CA9"/>
    <w:rsid w:val="00C02897"/>
    <w:rsid w:val="00C97039"/>
    <w:rsid w:val="00D3439C"/>
    <w:rsid w:val="00DB1831"/>
    <w:rsid w:val="00DD3BFD"/>
    <w:rsid w:val="00DF6678"/>
    <w:rsid w:val="00E0299A"/>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E00416-F956-470F-9AF2-CDEDE5C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2F5C9C"/>
    <w:rPr>
      <w:rFonts w:ascii="Times New Roman" w:eastAsiaTheme="minorHAnsi" w:hAnsi="Times New Roman" w:cs="Times New Roman"/>
      <w:sz w:val="20"/>
      <w:szCs w:val="20"/>
      <w:lang w:eastAsia="en-US"/>
    </w:rPr>
  </w:style>
  <w:style w:type="paragraph" w:styleId="NormalWeb">
    <w:name w:val="Normal (Web)"/>
    <w:basedOn w:val="Normal"/>
    <w:uiPriority w:val="99"/>
    <w:rsid w:val="002F5C9C"/>
    <w:rPr>
      <w:sz w:val="24"/>
      <w:szCs w:val="24"/>
    </w:rPr>
  </w:style>
  <w:style w:type="character" w:customStyle="1" w:styleId="HChGChar">
    <w:name w:val="_ H _Ch_G Char"/>
    <w:link w:val="HChG"/>
    <w:rsid w:val="002F5C9C"/>
    <w:rPr>
      <w:rFonts w:ascii="Times New Roman" w:eastAsiaTheme="minorHAnsi" w:hAnsi="Times New Roman" w:cs="Times New Roman"/>
      <w:b/>
      <w:sz w:val="28"/>
      <w:szCs w:val="20"/>
      <w:lang w:eastAsia="en-US"/>
    </w:rPr>
  </w:style>
  <w:style w:type="character" w:customStyle="1" w:styleId="H1GChar">
    <w:name w:val="_ H_1_G Char"/>
    <w:link w:val="H1G"/>
    <w:rsid w:val="002F5C9C"/>
    <w:rPr>
      <w:rFonts w:ascii="Times New Roman" w:eastAsiaTheme="minorHAnsi" w:hAnsi="Times New Roman" w:cs="Times New Roman"/>
      <w:b/>
      <w:sz w:val="24"/>
      <w:szCs w:val="20"/>
      <w:lang w:eastAsia="en-US"/>
    </w:rPr>
  </w:style>
  <w:style w:type="paragraph" w:styleId="ListParagraph">
    <w:name w:val="List Paragraph"/>
    <w:basedOn w:val="Normal"/>
    <w:uiPriority w:val="34"/>
    <w:qFormat/>
    <w:rsid w:val="002F5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ECE/TRANS/WP.29/GRE/2018/25</vt:lpstr>
      <vt:lpstr/>
    </vt:vector>
  </TitlesOfParts>
  <Company>DCM</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ECE/TRANS/WP.29/GRE/2018/25</dc:title>
  <dc:subject/>
  <dc:creator>Nathalie VITTOZ</dc:creator>
  <cp:keywords/>
  <cp:lastModifiedBy>Benedicte Boudol</cp:lastModifiedBy>
  <cp:revision>2</cp:revision>
  <cp:lastPrinted>2018-02-19T07:11:00Z</cp:lastPrinted>
  <dcterms:created xsi:type="dcterms:W3CDTF">2018-02-20T14:49:00Z</dcterms:created>
  <dcterms:modified xsi:type="dcterms:W3CDTF">2018-02-20T14:49:00Z</dcterms:modified>
</cp:coreProperties>
</file>