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C97039">
        <w:trPr>
          <w:trHeight w:hRule="exact" w:val="851"/>
        </w:trPr>
        <w:tc>
          <w:tcPr>
            <w:tcW w:w="1276" w:type="dxa"/>
            <w:tcBorders>
              <w:bottom w:val="single" w:sz="4" w:space="0" w:color="auto"/>
            </w:tcBorders>
          </w:tcPr>
          <w:p w:rsidR="00F35BAF" w:rsidRPr="00DB58B5" w:rsidRDefault="00F35BAF" w:rsidP="00E44E89">
            <w:bookmarkStart w:id="0" w:name="_GoBack"/>
            <w:bookmarkEnd w:id="0"/>
          </w:p>
        </w:tc>
        <w:tc>
          <w:tcPr>
            <w:tcW w:w="2268" w:type="dxa"/>
            <w:tcBorders>
              <w:bottom w:val="single" w:sz="4" w:space="0" w:color="auto"/>
            </w:tcBorders>
            <w:vAlign w:val="bottom"/>
          </w:tcPr>
          <w:p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E44E89" w:rsidP="00E44E89">
            <w:pPr>
              <w:jc w:val="right"/>
            </w:pPr>
            <w:r w:rsidRPr="00E44E89">
              <w:rPr>
                <w:sz w:val="40"/>
              </w:rPr>
              <w:t>ECE</w:t>
            </w:r>
            <w:r>
              <w:t>/TRANS/WP.29/GRE/2018/23</w:t>
            </w:r>
          </w:p>
        </w:tc>
      </w:tr>
      <w:tr w:rsidR="00F35BAF" w:rsidRPr="00DB58B5" w:rsidTr="00C97039">
        <w:trPr>
          <w:trHeight w:hRule="exact" w:val="2835"/>
        </w:trPr>
        <w:tc>
          <w:tcPr>
            <w:tcW w:w="1276" w:type="dxa"/>
            <w:tcBorders>
              <w:top w:val="single" w:sz="4" w:space="0" w:color="auto"/>
              <w:bottom w:val="single" w:sz="12" w:space="0" w:color="auto"/>
            </w:tcBorders>
          </w:tcPr>
          <w:p w:rsidR="00F35BAF" w:rsidRPr="00DB58B5" w:rsidRDefault="00F35BAF" w:rsidP="00C97039">
            <w:pPr>
              <w:spacing w:before="120"/>
              <w:jc w:val="center"/>
            </w:pPr>
            <w:r>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E44E89" w:rsidP="00C97039">
            <w:pPr>
              <w:spacing w:before="240"/>
            </w:pPr>
            <w:r>
              <w:t>Distr. générale</w:t>
            </w:r>
          </w:p>
          <w:p w:rsidR="00E44E89" w:rsidRDefault="00E44E89" w:rsidP="00E44E89">
            <w:pPr>
              <w:spacing w:line="240" w:lineRule="exact"/>
            </w:pPr>
            <w:r>
              <w:t>8 février 2018</w:t>
            </w:r>
          </w:p>
          <w:p w:rsidR="00E44E89" w:rsidRDefault="00E44E89" w:rsidP="00E44E89">
            <w:pPr>
              <w:spacing w:line="240" w:lineRule="exact"/>
            </w:pPr>
            <w:r>
              <w:t>Français</w:t>
            </w:r>
          </w:p>
          <w:p w:rsidR="00E44E89" w:rsidRPr="00DB58B5" w:rsidRDefault="00E44E89" w:rsidP="00E44E89">
            <w:pPr>
              <w:spacing w:line="240" w:lineRule="exact"/>
            </w:pPr>
            <w:r>
              <w:t>Original : anglais</w:t>
            </w:r>
          </w:p>
        </w:tc>
      </w:tr>
    </w:tbl>
    <w:p w:rsidR="007F20FA" w:rsidRPr="000312C0" w:rsidRDefault="007F20FA" w:rsidP="007F20FA">
      <w:pPr>
        <w:spacing w:before="120"/>
        <w:rPr>
          <w:b/>
          <w:sz w:val="28"/>
          <w:szCs w:val="28"/>
        </w:rPr>
      </w:pPr>
      <w:r w:rsidRPr="000312C0">
        <w:rPr>
          <w:b/>
          <w:sz w:val="28"/>
          <w:szCs w:val="28"/>
        </w:rPr>
        <w:t>Commission économique pour l</w:t>
      </w:r>
      <w:r w:rsidR="00170EEF">
        <w:rPr>
          <w:b/>
          <w:sz w:val="28"/>
          <w:szCs w:val="28"/>
        </w:rPr>
        <w:t>’</w:t>
      </w:r>
      <w:r w:rsidRPr="000312C0">
        <w:rPr>
          <w:b/>
          <w:sz w:val="28"/>
          <w:szCs w:val="28"/>
        </w:rPr>
        <w:t>Europe</w:t>
      </w:r>
    </w:p>
    <w:p w:rsidR="007F20FA" w:rsidRDefault="007F20FA" w:rsidP="007F20FA">
      <w:pPr>
        <w:spacing w:before="120"/>
        <w:rPr>
          <w:sz w:val="28"/>
          <w:szCs w:val="28"/>
        </w:rPr>
      </w:pPr>
      <w:r w:rsidRPr="00685843">
        <w:rPr>
          <w:sz w:val="28"/>
          <w:szCs w:val="28"/>
        </w:rPr>
        <w:t>Comité des transports intérieurs</w:t>
      </w:r>
    </w:p>
    <w:p w:rsidR="00E44E89" w:rsidRDefault="00E44E89" w:rsidP="00AF0CB5">
      <w:pPr>
        <w:spacing w:before="120"/>
        <w:rPr>
          <w:b/>
          <w:sz w:val="24"/>
          <w:szCs w:val="24"/>
        </w:rPr>
      </w:pPr>
      <w:r w:rsidRPr="00685843">
        <w:rPr>
          <w:b/>
          <w:sz w:val="24"/>
          <w:szCs w:val="24"/>
        </w:rPr>
        <w:t>Forum mondial de l</w:t>
      </w:r>
      <w:r w:rsidR="00170EEF">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rsidR="00E44E89" w:rsidRDefault="00E44E89" w:rsidP="00257168">
      <w:pPr>
        <w:spacing w:before="120" w:after="120" w:line="240" w:lineRule="exact"/>
        <w:rPr>
          <w:b/>
        </w:rPr>
      </w:pPr>
      <w:r>
        <w:rPr>
          <w:b/>
        </w:rPr>
        <w:t>Groupe de travail de l</w:t>
      </w:r>
      <w:r w:rsidR="00170EEF">
        <w:rPr>
          <w:b/>
        </w:rPr>
        <w:t>’</w:t>
      </w:r>
      <w:r>
        <w:rPr>
          <w:b/>
        </w:rPr>
        <w:t>éclairage et de la signalisation lumineuse</w:t>
      </w:r>
    </w:p>
    <w:p w:rsidR="00DD5E6F" w:rsidRPr="0080249A" w:rsidRDefault="00DD5E6F" w:rsidP="00DD5E6F">
      <w:pPr>
        <w:rPr>
          <w:b/>
        </w:rPr>
      </w:pPr>
      <w:r w:rsidRPr="0080249A">
        <w:rPr>
          <w:b/>
          <w:lang w:val="fr-FR"/>
        </w:rPr>
        <w:t>Soixante-dix-</w:t>
      </w:r>
      <w:r>
        <w:rPr>
          <w:b/>
          <w:lang w:val="fr-FR"/>
        </w:rPr>
        <w:t>neuvi</w:t>
      </w:r>
      <w:r w:rsidRPr="0080249A">
        <w:rPr>
          <w:b/>
          <w:lang w:val="fr-FR"/>
        </w:rPr>
        <w:t>ème session</w:t>
      </w:r>
    </w:p>
    <w:p w:rsidR="00DD5E6F" w:rsidRPr="000539D8" w:rsidRDefault="00DD5E6F" w:rsidP="00DD5E6F">
      <w:pPr>
        <w:rPr>
          <w:bCs/>
        </w:rPr>
      </w:pPr>
      <w:r>
        <w:rPr>
          <w:lang w:val="fr-FR"/>
        </w:rPr>
        <w:t>Genève, 24-27 avril 2018</w:t>
      </w:r>
    </w:p>
    <w:p w:rsidR="00DD5E6F" w:rsidRDefault="00DD5E6F" w:rsidP="00DD5E6F">
      <w:pPr>
        <w:ind w:right="1134"/>
        <w:rPr>
          <w:bCs/>
        </w:rPr>
      </w:pPr>
      <w:r>
        <w:rPr>
          <w:lang w:val="fr-FR"/>
        </w:rPr>
        <w:t>Point 7 d) de l</w:t>
      </w:r>
      <w:r w:rsidR="00170EEF">
        <w:rPr>
          <w:lang w:val="fr-FR"/>
        </w:rPr>
        <w:t>’</w:t>
      </w:r>
      <w:r>
        <w:rPr>
          <w:lang w:val="fr-FR"/>
        </w:rPr>
        <w:t>ordre du jour provisoire</w:t>
      </w:r>
    </w:p>
    <w:p w:rsidR="00DD5E6F" w:rsidRPr="0080249A" w:rsidRDefault="00DD5E6F" w:rsidP="00DD5E6F">
      <w:pPr>
        <w:ind w:right="1134"/>
        <w:rPr>
          <w:b/>
        </w:rPr>
      </w:pPr>
      <w:r w:rsidRPr="0080249A">
        <w:rPr>
          <w:b/>
          <w:lang w:val="fr-FR"/>
        </w:rPr>
        <w:t>Autres Règlements</w:t>
      </w:r>
      <w:r>
        <w:rPr>
          <w:b/>
          <w:lang w:val="fr-FR"/>
        </w:rPr>
        <w:t> </w:t>
      </w:r>
      <w:r w:rsidRPr="0080249A">
        <w:rPr>
          <w:b/>
          <w:lang w:val="fr-FR"/>
        </w:rPr>
        <w:t>:</w:t>
      </w:r>
    </w:p>
    <w:p w:rsidR="00E44E89" w:rsidRDefault="00DD5E6F" w:rsidP="00DD5E6F">
      <w:pPr>
        <w:spacing w:line="240" w:lineRule="exact"/>
      </w:pPr>
      <w:r w:rsidRPr="0080249A">
        <w:rPr>
          <w:b/>
          <w:lang w:val="fr-FR"/>
        </w:rPr>
        <w:t>Règlement n</w:t>
      </w:r>
      <w:r>
        <w:rPr>
          <w:b/>
          <w:lang w:val="fr-FR"/>
        </w:rPr>
        <w:t>° </w:t>
      </w:r>
      <w:r w:rsidRPr="0080249A">
        <w:rPr>
          <w:b/>
          <w:lang w:val="fr-FR"/>
        </w:rPr>
        <w:t>74 (Installation des dispositifs d</w:t>
      </w:r>
      <w:r w:rsidR="00170EEF">
        <w:rPr>
          <w:b/>
          <w:lang w:val="fr-FR"/>
        </w:rPr>
        <w:t>’</w:t>
      </w:r>
      <w:r w:rsidRPr="0080249A">
        <w:rPr>
          <w:b/>
          <w:lang w:val="fr-FR"/>
        </w:rPr>
        <w:t xml:space="preserve">éclairage </w:t>
      </w:r>
      <w:r>
        <w:rPr>
          <w:b/>
          <w:lang w:val="fr-FR"/>
        </w:rPr>
        <w:br/>
      </w:r>
      <w:r w:rsidRPr="0080249A">
        <w:rPr>
          <w:b/>
          <w:lang w:val="fr-FR"/>
        </w:rPr>
        <w:t>et de signalisation lumineuse sur les cyclomoteurs)</w:t>
      </w:r>
    </w:p>
    <w:p w:rsidR="00DD5E6F" w:rsidRPr="000539D8" w:rsidRDefault="00DD5E6F" w:rsidP="00DD5E6F">
      <w:pPr>
        <w:pStyle w:val="HChG"/>
        <w:rPr>
          <w:szCs w:val="28"/>
        </w:rPr>
      </w:pPr>
      <w:r>
        <w:rPr>
          <w:lang w:val="fr-FR"/>
        </w:rPr>
        <w:tab/>
      </w:r>
      <w:r>
        <w:rPr>
          <w:lang w:val="fr-FR"/>
        </w:rPr>
        <w:tab/>
        <w:t>Proposition de série 02 d</w:t>
      </w:r>
      <w:r w:rsidR="00170EEF">
        <w:rPr>
          <w:lang w:val="fr-FR"/>
        </w:rPr>
        <w:t>’</w:t>
      </w:r>
      <w:r>
        <w:rPr>
          <w:lang w:val="fr-FR"/>
        </w:rPr>
        <w:t xml:space="preserve">amendements au Règlement </w:t>
      </w:r>
      <w:r w:rsidRPr="00DD5E6F">
        <w:rPr>
          <w:rFonts w:eastAsia="MS Mincho"/>
          <w:szCs w:val="22"/>
          <w:lang w:val="fr-FR"/>
        </w:rPr>
        <w:t>n</w:t>
      </w:r>
      <w:r w:rsidRPr="00DD5E6F">
        <w:rPr>
          <w:rFonts w:eastAsia="MS Mincho"/>
          <w:szCs w:val="22"/>
          <w:vertAlign w:val="superscript"/>
          <w:lang w:val="fr-FR"/>
        </w:rPr>
        <w:t>o</w:t>
      </w:r>
      <w:r>
        <w:rPr>
          <w:lang w:val="fr-FR"/>
        </w:rPr>
        <w:t> 74 (Installation des dispositifs d</w:t>
      </w:r>
      <w:r w:rsidR="00170EEF">
        <w:rPr>
          <w:lang w:val="fr-FR"/>
        </w:rPr>
        <w:t>’</w:t>
      </w:r>
      <w:r>
        <w:rPr>
          <w:lang w:val="fr-FR"/>
        </w:rPr>
        <w:t xml:space="preserve">éclairage et de signalisation </w:t>
      </w:r>
      <w:r w:rsidRPr="00DD5E6F">
        <w:t>lumineuse</w:t>
      </w:r>
      <w:r>
        <w:rPr>
          <w:lang w:val="fr-FR"/>
        </w:rPr>
        <w:t xml:space="preserve"> sur les cyclomoteurs)</w:t>
      </w:r>
    </w:p>
    <w:p w:rsidR="00DD5E6F" w:rsidRPr="000539D8" w:rsidRDefault="00DD5E6F" w:rsidP="00DD5E6F">
      <w:pPr>
        <w:pStyle w:val="H1G"/>
        <w:ind w:right="1467" w:firstLine="0"/>
        <w:jc w:val="both"/>
      </w:pPr>
      <w:r>
        <w:rPr>
          <w:lang w:val="fr-FR"/>
        </w:rPr>
        <w:t>Communication de l</w:t>
      </w:r>
      <w:r w:rsidR="00170EEF">
        <w:rPr>
          <w:lang w:val="fr-FR"/>
        </w:rPr>
        <w:t>’</w:t>
      </w:r>
      <w:r>
        <w:rPr>
          <w:lang w:val="fr-FR"/>
        </w:rPr>
        <w:t>expert des Pays-Bas</w:t>
      </w:r>
      <w:r w:rsidRPr="00DD5E6F">
        <w:rPr>
          <w:b w:val="0"/>
          <w:sz w:val="20"/>
          <w:lang w:val="fr-FR"/>
        </w:rPr>
        <w:footnoteReference w:customMarkFollows="1" w:id="2"/>
        <w:t>*</w:t>
      </w:r>
    </w:p>
    <w:p w:rsidR="00DD5E6F" w:rsidRPr="00D33EFF" w:rsidRDefault="00DD5E6F" w:rsidP="00DD5E6F">
      <w:pPr>
        <w:spacing w:before="120"/>
        <w:ind w:left="1134" w:right="1134" w:firstLine="567"/>
        <w:jc w:val="both"/>
      </w:pPr>
      <w:r>
        <w:rPr>
          <w:lang w:val="fr-FR"/>
        </w:rPr>
        <w:t>Le texte ci-après a été établi par l</w:t>
      </w:r>
      <w:r w:rsidR="00170EEF">
        <w:rPr>
          <w:lang w:val="fr-FR"/>
        </w:rPr>
        <w:t>’</w:t>
      </w:r>
      <w:r>
        <w:rPr>
          <w:lang w:val="fr-FR"/>
        </w:rPr>
        <w:t>expert des Pays-Bas avec la contribution des experts de la Finlande et de l</w:t>
      </w:r>
      <w:r w:rsidR="00170EEF">
        <w:rPr>
          <w:lang w:val="fr-FR"/>
        </w:rPr>
        <w:t>’</w:t>
      </w:r>
      <w:r>
        <w:rPr>
          <w:lang w:val="fr-FR"/>
        </w:rPr>
        <w:t>Italie dans le but de rendre obligatoire l</w:t>
      </w:r>
      <w:r w:rsidR="00170EEF">
        <w:rPr>
          <w:lang w:val="fr-FR"/>
        </w:rPr>
        <w:t>’</w:t>
      </w:r>
      <w:r>
        <w:rPr>
          <w:lang w:val="fr-FR"/>
        </w:rPr>
        <w:t>installation de feux indicateurs de direction sur les cyclomoteurs. Les modifications qu</w:t>
      </w:r>
      <w:r w:rsidR="00170EEF">
        <w:rPr>
          <w:lang w:val="fr-FR"/>
        </w:rPr>
        <w:t>’</w:t>
      </w:r>
      <w:r>
        <w:rPr>
          <w:lang w:val="fr-FR"/>
        </w:rPr>
        <w:t>il est proposé d</w:t>
      </w:r>
      <w:r w:rsidR="00170EEF">
        <w:rPr>
          <w:lang w:val="fr-FR"/>
        </w:rPr>
        <w:t>’</w:t>
      </w:r>
      <w:r>
        <w:rPr>
          <w:lang w:val="fr-FR"/>
        </w:rPr>
        <w:t>apporter au texte actuel du Règlement figurent en caractères gras pour les ajouts et biffés pour les suppressions.</w:t>
      </w:r>
    </w:p>
    <w:p w:rsidR="00DD5E6F" w:rsidRPr="00AB0410" w:rsidRDefault="00BE483E" w:rsidP="00A31486">
      <w:pPr>
        <w:pStyle w:val="HChG"/>
        <w:rPr>
          <w:sz w:val="32"/>
        </w:rPr>
      </w:pPr>
      <w:r>
        <w:br w:type="page"/>
      </w:r>
      <w:r w:rsidR="00A31486">
        <w:lastRenderedPageBreak/>
        <w:tab/>
      </w:r>
      <w:r w:rsidR="00DD5E6F" w:rsidRPr="00AB0410">
        <w:rPr>
          <w:lang w:val="fr-FR"/>
        </w:rPr>
        <w:t>I.</w:t>
      </w:r>
      <w:r w:rsidR="00DD5E6F" w:rsidRPr="00AB0410">
        <w:rPr>
          <w:lang w:val="fr-FR"/>
        </w:rPr>
        <w:tab/>
        <w:t>Proposition</w:t>
      </w:r>
    </w:p>
    <w:p w:rsidR="00DD5E6F" w:rsidRPr="000539D8" w:rsidRDefault="00DD5E6F" w:rsidP="00A31486">
      <w:pPr>
        <w:pStyle w:val="SingleTxtG"/>
      </w:pPr>
      <w:r w:rsidRPr="0080249A">
        <w:rPr>
          <w:i/>
          <w:lang w:val="fr-FR"/>
        </w:rPr>
        <w:t>Paragraphe 4.2</w:t>
      </w:r>
      <w:r>
        <w:rPr>
          <w:lang w:val="fr-FR"/>
        </w:rPr>
        <w:t>, modifier comme suit :</w:t>
      </w:r>
    </w:p>
    <w:p w:rsidR="00DD5E6F" w:rsidRPr="00627C52" w:rsidRDefault="00DD5E6F" w:rsidP="00DD5E6F">
      <w:pPr>
        <w:spacing w:after="120"/>
        <w:ind w:left="2268" w:right="1134" w:hanging="1134"/>
        <w:jc w:val="both"/>
        <w:rPr>
          <w:bCs/>
        </w:rPr>
      </w:pPr>
      <w:r>
        <w:rPr>
          <w:lang w:val="fr-FR"/>
        </w:rPr>
        <w:t>« 4.2</w:t>
      </w:r>
      <w:r>
        <w:rPr>
          <w:lang w:val="fr-FR"/>
        </w:rPr>
        <w:tab/>
        <w:t>Chaque homologation de type comporte l</w:t>
      </w:r>
      <w:r w:rsidR="00170EEF">
        <w:rPr>
          <w:lang w:val="fr-FR"/>
        </w:rPr>
        <w:t>’</w:t>
      </w:r>
      <w:r>
        <w:rPr>
          <w:lang w:val="fr-FR"/>
        </w:rPr>
        <w:t>attribution d</w:t>
      </w:r>
      <w:r w:rsidR="00170EEF">
        <w:rPr>
          <w:lang w:val="fr-FR"/>
        </w:rPr>
        <w:t>’</w:t>
      </w:r>
      <w:r>
        <w:rPr>
          <w:lang w:val="fr-FR"/>
        </w:rPr>
        <w:t>un numéro d</w:t>
      </w:r>
      <w:r w:rsidR="00170EEF">
        <w:rPr>
          <w:lang w:val="fr-FR"/>
        </w:rPr>
        <w:t>’</w:t>
      </w:r>
      <w:r>
        <w:rPr>
          <w:lang w:val="fr-FR"/>
        </w:rPr>
        <w:t xml:space="preserve">homologation dont les deux premiers chiffres (actuellement </w:t>
      </w:r>
      <w:r>
        <w:rPr>
          <w:strike/>
          <w:lang w:val="fr-FR"/>
        </w:rPr>
        <w:t>01</w:t>
      </w:r>
      <w:r>
        <w:rPr>
          <w:b/>
          <w:bCs/>
          <w:lang w:val="fr-FR"/>
        </w:rPr>
        <w:t>02</w:t>
      </w:r>
      <w:r>
        <w:rPr>
          <w:lang w:val="fr-FR"/>
        </w:rPr>
        <w:t xml:space="preserve"> pour le Règlement modifié par sa série </w:t>
      </w:r>
      <w:r>
        <w:rPr>
          <w:strike/>
          <w:lang w:val="fr-FR"/>
        </w:rPr>
        <w:t>01</w:t>
      </w:r>
      <w:r>
        <w:rPr>
          <w:b/>
          <w:bCs/>
          <w:lang w:val="fr-FR"/>
        </w:rPr>
        <w:t>02</w:t>
      </w:r>
      <w:r w:rsidRPr="00AE7CBF">
        <w:rPr>
          <w:bCs/>
          <w:lang w:val="fr-FR"/>
        </w:rPr>
        <w:t xml:space="preserve"> </w:t>
      </w:r>
      <w:r>
        <w:rPr>
          <w:lang w:val="fr-FR"/>
        </w:rPr>
        <w:t>d</w:t>
      </w:r>
      <w:r w:rsidR="00170EEF">
        <w:rPr>
          <w:lang w:val="fr-FR"/>
        </w:rPr>
        <w:t>’</w:t>
      </w:r>
      <w:r>
        <w:rPr>
          <w:lang w:val="fr-FR"/>
        </w:rPr>
        <w:t>amendements) indiquent la série d</w:t>
      </w:r>
      <w:r w:rsidR="00170EEF">
        <w:rPr>
          <w:lang w:val="fr-FR"/>
        </w:rPr>
        <w:t>’</w:t>
      </w:r>
      <w:r>
        <w:rPr>
          <w:lang w:val="fr-FR"/>
        </w:rPr>
        <w:t>amendements correspondant aux plus récentes modifications techniques majeures apportées au Règlement à la date de délivrance de l</w:t>
      </w:r>
      <w:r w:rsidR="00170EEF">
        <w:rPr>
          <w:lang w:val="fr-FR"/>
        </w:rPr>
        <w:t>’</w:t>
      </w:r>
      <w:r>
        <w:rPr>
          <w:lang w:val="fr-FR"/>
        </w:rPr>
        <w:t>homologation. Une même Partie contractante ne peut pas attribuer ce numéro à un autre type de véhicule, ni au même type de véhicule présenté avec un équipement non prévu au bordereau mentionné au paragraphe</w:t>
      </w:r>
      <w:r w:rsidR="000C0DC7">
        <w:rPr>
          <w:lang w:val="fr-FR"/>
        </w:rPr>
        <w:t> </w:t>
      </w:r>
      <w:r>
        <w:rPr>
          <w:lang w:val="fr-FR"/>
        </w:rPr>
        <w:t>3.2.2 ci-dessus, sous réserve des dispositions du paragraphe</w:t>
      </w:r>
      <w:r w:rsidR="00A31486">
        <w:rPr>
          <w:lang w:val="fr-FR"/>
        </w:rPr>
        <w:t> </w:t>
      </w:r>
      <w:r>
        <w:rPr>
          <w:lang w:val="fr-FR"/>
        </w:rPr>
        <w:t>7 du présent Règlement. ».</w:t>
      </w:r>
    </w:p>
    <w:p w:rsidR="00DD5E6F" w:rsidRPr="000539D8" w:rsidRDefault="00DD5E6F" w:rsidP="00DD5E6F">
      <w:pPr>
        <w:spacing w:after="120"/>
        <w:ind w:left="2268" w:right="1134" w:hanging="1134"/>
        <w:jc w:val="both"/>
      </w:pPr>
      <w:r w:rsidRPr="0080249A">
        <w:rPr>
          <w:i/>
          <w:lang w:val="fr-FR"/>
        </w:rPr>
        <w:t>Ajouter un nouveau paragraphe 5.14.8</w:t>
      </w:r>
      <w:r>
        <w:rPr>
          <w:lang w:val="fr-FR"/>
        </w:rPr>
        <w:t>, libellé comme suit</w:t>
      </w:r>
      <w:r w:rsidR="00A31486">
        <w:rPr>
          <w:lang w:val="fr-FR"/>
        </w:rPr>
        <w:t> </w:t>
      </w:r>
      <w:r>
        <w:rPr>
          <w:lang w:val="fr-FR"/>
        </w:rPr>
        <w:t>:</w:t>
      </w:r>
    </w:p>
    <w:p w:rsidR="00DD5E6F" w:rsidRPr="00AE7CBF" w:rsidRDefault="00DD5E6F" w:rsidP="00DD5E6F">
      <w:pPr>
        <w:spacing w:after="120"/>
        <w:ind w:left="2268" w:right="1134" w:hanging="1134"/>
        <w:jc w:val="both"/>
      </w:pPr>
      <w:r w:rsidRPr="00AE7CBF">
        <w:rPr>
          <w:lang w:val="fr-FR"/>
        </w:rPr>
        <w:t>« </w:t>
      </w:r>
      <w:r w:rsidRPr="00AB0410">
        <w:rPr>
          <w:b/>
          <w:lang w:val="fr-FR"/>
        </w:rPr>
        <w:t>5.14.8</w:t>
      </w:r>
      <w:r w:rsidRPr="00AB0410">
        <w:rPr>
          <w:b/>
          <w:lang w:val="fr-FR"/>
        </w:rPr>
        <w:tab/>
      </w:r>
      <w:r w:rsidR="000740B2">
        <w:rPr>
          <w:b/>
          <w:lang w:val="fr-FR"/>
        </w:rPr>
        <w:t>f</w:t>
      </w:r>
      <w:r w:rsidRPr="00AB0410">
        <w:rPr>
          <w:b/>
          <w:lang w:val="fr-FR"/>
        </w:rPr>
        <w:t>eux</w:t>
      </w:r>
      <w:r>
        <w:rPr>
          <w:b/>
          <w:lang w:val="fr-FR"/>
        </w:rPr>
        <w:t xml:space="preserve"> </w:t>
      </w:r>
      <w:r w:rsidRPr="00AB0410">
        <w:rPr>
          <w:b/>
          <w:lang w:val="fr-FR"/>
        </w:rPr>
        <w:t>indicateurs de direction</w:t>
      </w:r>
      <w:r w:rsidRPr="00AE7CBF">
        <w:rPr>
          <w:b/>
          <w:sz w:val="18"/>
          <w:szCs w:val="18"/>
          <w:vertAlign w:val="superscript"/>
          <w:lang w:val="fr-FR"/>
        </w:rPr>
        <w:t>4</w:t>
      </w:r>
      <w:r w:rsidR="00FB09DC">
        <w:rPr>
          <w:b/>
          <w:lang w:val="fr-FR"/>
        </w:rPr>
        <w:t xml:space="preserve"> (par. </w:t>
      </w:r>
      <w:r w:rsidRPr="00AB0410">
        <w:rPr>
          <w:b/>
          <w:lang w:val="fr-FR"/>
        </w:rPr>
        <w:t>6.8)</w:t>
      </w:r>
      <w:r w:rsidRPr="000740B2">
        <w:rPr>
          <w:b/>
          <w:lang w:val="fr-FR"/>
        </w:rPr>
        <w:t>.</w:t>
      </w:r>
      <w:r w:rsidRPr="00AB0410">
        <w:rPr>
          <w:b/>
          <w:lang w:val="fr-FR"/>
        </w:rPr>
        <w:t> </w:t>
      </w:r>
      <w:r w:rsidRPr="00AE7CBF">
        <w:rPr>
          <w:lang w:val="fr-FR"/>
        </w:rPr>
        <w:t>».</w:t>
      </w:r>
    </w:p>
    <w:p w:rsidR="00DD5E6F" w:rsidRPr="000539D8" w:rsidRDefault="00DD5E6F" w:rsidP="00DD5E6F">
      <w:pPr>
        <w:spacing w:after="120"/>
        <w:ind w:left="2268" w:right="1134" w:hanging="1134"/>
        <w:jc w:val="both"/>
      </w:pPr>
      <w:r w:rsidRPr="0080249A">
        <w:rPr>
          <w:i/>
          <w:lang w:val="fr-FR"/>
        </w:rPr>
        <w:t>Ajouter une nouvelle note de bas de page</w:t>
      </w:r>
      <w:r>
        <w:rPr>
          <w:lang w:val="fr-FR"/>
        </w:rPr>
        <w:t xml:space="preserve"> 4, libellée comme suit</w:t>
      </w:r>
      <w:r w:rsidR="000740B2">
        <w:rPr>
          <w:lang w:val="fr-FR"/>
        </w:rPr>
        <w:t> </w:t>
      </w:r>
      <w:r>
        <w:rPr>
          <w:lang w:val="fr-FR"/>
        </w:rPr>
        <w:t>:</w:t>
      </w:r>
    </w:p>
    <w:p w:rsidR="00DD5E6F" w:rsidRPr="000740B2" w:rsidRDefault="00DD5E6F" w:rsidP="008478A5">
      <w:pPr>
        <w:spacing w:after="120"/>
        <w:ind w:left="2268" w:right="1134" w:hanging="1134"/>
        <w:jc w:val="both"/>
      </w:pPr>
      <w:r w:rsidRPr="000740B2">
        <w:t>« </w:t>
      </w:r>
      <w:r w:rsidRPr="008478A5">
        <w:rPr>
          <w:b/>
          <w:sz w:val="18"/>
          <w:szCs w:val="18"/>
          <w:vertAlign w:val="superscript"/>
          <w:lang w:val="fr-FR"/>
        </w:rPr>
        <w:t>4</w:t>
      </w:r>
      <w:r w:rsidRPr="008478A5">
        <w:rPr>
          <w:b/>
          <w:sz w:val="18"/>
          <w:szCs w:val="18"/>
          <w:lang w:val="fr-FR"/>
        </w:rPr>
        <w:tab/>
        <w:t>Les feux indicateurs de direction sont obligatoires sur les véhicules dont la vitesse maximale par construction dépasse 25</w:t>
      </w:r>
      <w:r w:rsidR="00FB09DC" w:rsidRPr="008478A5">
        <w:rPr>
          <w:b/>
          <w:sz w:val="18"/>
          <w:szCs w:val="18"/>
          <w:lang w:val="fr-FR"/>
        </w:rPr>
        <w:t> </w:t>
      </w:r>
      <w:r w:rsidRPr="008478A5">
        <w:rPr>
          <w:b/>
          <w:sz w:val="18"/>
          <w:szCs w:val="18"/>
          <w:lang w:val="fr-FR"/>
        </w:rPr>
        <w:t>km/h.</w:t>
      </w:r>
      <w:r w:rsidRPr="00AB0410">
        <w:rPr>
          <w:b/>
          <w:lang w:val="fr-FR"/>
        </w:rPr>
        <w:t> </w:t>
      </w:r>
      <w:r w:rsidRPr="000740B2">
        <w:rPr>
          <w:lang w:val="fr-FR"/>
        </w:rPr>
        <w:t>».</w:t>
      </w:r>
    </w:p>
    <w:p w:rsidR="00DD5E6F" w:rsidRPr="000539D8" w:rsidRDefault="00DD5E6F" w:rsidP="00DD5E6F">
      <w:pPr>
        <w:spacing w:after="120"/>
        <w:ind w:left="2268" w:right="1134" w:hanging="1134"/>
        <w:jc w:val="both"/>
      </w:pPr>
      <w:r w:rsidRPr="0080249A">
        <w:rPr>
          <w:i/>
          <w:lang w:val="fr-FR"/>
        </w:rPr>
        <w:t>Paragraphe 5.15.4</w:t>
      </w:r>
      <w:r>
        <w:rPr>
          <w:lang w:val="fr-FR"/>
        </w:rPr>
        <w:t>, modifier comme suit</w:t>
      </w:r>
      <w:r w:rsidR="000740B2">
        <w:rPr>
          <w:lang w:val="fr-FR"/>
        </w:rPr>
        <w:t> </w:t>
      </w:r>
      <w:r>
        <w:rPr>
          <w:lang w:val="fr-FR"/>
        </w:rPr>
        <w:t>:</w:t>
      </w:r>
    </w:p>
    <w:p w:rsidR="00DD5E6F" w:rsidRPr="000539D8" w:rsidRDefault="00DD5E6F" w:rsidP="00DD5E6F">
      <w:pPr>
        <w:spacing w:after="120"/>
        <w:ind w:left="2268" w:right="1134" w:hanging="1134"/>
        <w:jc w:val="both"/>
        <w:rPr>
          <w:bCs/>
        </w:rPr>
      </w:pPr>
      <w:r>
        <w:rPr>
          <w:lang w:val="fr-FR"/>
        </w:rPr>
        <w:t>« 5.15.4</w:t>
      </w:r>
      <w:r>
        <w:rPr>
          <w:lang w:val="fr-FR"/>
        </w:rPr>
        <w:tab/>
        <w:t>feux indicateurs de direction</w:t>
      </w:r>
      <w:r w:rsidRPr="00FB09DC">
        <w:rPr>
          <w:b/>
          <w:sz w:val="18"/>
          <w:szCs w:val="18"/>
          <w:vertAlign w:val="superscript"/>
          <w:lang w:val="fr-FR"/>
        </w:rPr>
        <w:t>5</w:t>
      </w:r>
      <w:r>
        <w:rPr>
          <w:lang w:val="fr-FR"/>
        </w:rPr>
        <w:t xml:space="preserve"> (par.</w:t>
      </w:r>
      <w:r w:rsidR="00FB09DC">
        <w:rPr>
          <w:lang w:val="fr-FR"/>
        </w:rPr>
        <w:t> </w:t>
      </w:r>
      <w:r>
        <w:rPr>
          <w:lang w:val="fr-FR"/>
        </w:rPr>
        <w:t>6.8). ».</w:t>
      </w:r>
    </w:p>
    <w:p w:rsidR="00DD5E6F" w:rsidRPr="000539D8" w:rsidRDefault="00DD5E6F" w:rsidP="00DD5E6F">
      <w:pPr>
        <w:spacing w:after="120"/>
        <w:ind w:left="2268" w:right="1134" w:hanging="1134"/>
        <w:jc w:val="both"/>
      </w:pPr>
      <w:r w:rsidRPr="0080249A">
        <w:rPr>
          <w:i/>
          <w:lang w:val="fr-FR"/>
        </w:rPr>
        <w:t>Insérer une nouvelle note de bas de page</w:t>
      </w:r>
      <w:r>
        <w:rPr>
          <w:lang w:val="fr-FR"/>
        </w:rPr>
        <w:t xml:space="preserve"> 5, libellée comme suit</w:t>
      </w:r>
      <w:r w:rsidR="000740B2">
        <w:rPr>
          <w:lang w:val="fr-FR"/>
        </w:rPr>
        <w:t> </w:t>
      </w:r>
      <w:r>
        <w:rPr>
          <w:lang w:val="fr-FR"/>
        </w:rPr>
        <w:t>:</w:t>
      </w:r>
    </w:p>
    <w:p w:rsidR="00DD5E6F" w:rsidRPr="000740B2" w:rsidRDefault="00DD5E6F" w:rsidP="008478A5">
      <w:pPr>
        <w:spacing w:after="120"/>
        <w:ind w:left="2268" w:right="1134" w:hanging="1134"/>
      </w:pPr>
      <w:r w:rsidRPr="00713BCF">
        <w:t>«</w:t>
      </w:r>
      <w:r w:rsidRPr="009A1EDA">
        <w:rPr>
          <w:b/>
        </w:rPr>
        <w:t> </w:t>
      </w:r>
      <w:r w:rsidRPr="008478A5">
        <w:rPr>
          <w:b/>
          <w:sz w:val="18"/>
          <w:szCs w:val="18"/>
          <w:vertAlign w:val="superscript"/>
          <w:lang w:val="fr-FR"/>
        </w:rPr>
        <w:t>5</w:t>
      </w:r>
      <w:r w:rsidRPr="008478A5">
        <w:rPr>
          <w:b/>
          <w:sz w:val="18"/>
          <w:szCs w:val="18"/>
          <w:lang w:val="fr-FR"/>
        </w:rPr>
        <w:tab/>
        <w:t>Les feux indicateurs de direction sont facultatifs sur les véhicules dont la vitesse est limitée par construction à 25</w:t>
      </w:r>
      <w:r w:rsidR="00FB09DC" w:rsidRPr="008478A5">
        <w:rPr>
          <w:b/>
          <w:sz w:val="18"/>
          <w:szCs w:val="18"/>
          <w:lang w:val="fr-FR"/>
        </w:rPr>
        <w:t> </w:t>
      </w:r>
      <w:r w:rsidRPr="008478A5">
        <w:rPr>
          <w:b/>
          <w:sz w:val="18"/>
          <w:szCs w:val="18"/>
          <w:lang w:val="fr-FR"/>
        </w:rPr>
        <w:t>km/h (la propulsion auxiliaire est coupée lorsque le véhicule atteint une vitesse ≤25</w:t>
      </w:r>
      <w:r w:rsidR="000740B2" w:rsidRPr="008478A5">
        <w:rPr>
          <w:b/>
          <w:sz w:val="18"/>
          <w:szCs w:val="18"/>
          <w:lang w:val="fr-FR"/>
        </w:rPr>
        <w:t> </w:t>
      </w:r>
      <w:r w:rsidRPr="008478A5">
        <w:rPr>
          <w:b/>
          <w:sz w:val="18"/>
          <w:szCs w:val="18"/>
          <w:lang w:val="fr-FR"/>
        </w:rPr>
        <w:t>km/h).</w:t>
      </w:r>
      <w:r w:rsidRPr="009A1EDA">
        <w:rPr>
          <w:b/>
          <w:lang w:val="fr-FR"/>
        </w:rPr>
        <w:t> </w:t>
      </w:r>
      <w:r w:rsidRPr="000740B2">
        <w:rPr>
          <w:lang w:val="fr-FR"/>
        </w:rPr>
        <w:t>».</w:t>
      </w:r>
    </w:p>
    <w:p w:rsidR="00DD5E6F" w:rsidRPr="000539D8" w:rsidRDefault="00DD5E6F" w:rsidP="00DD5E6F">
      <w:pPr>
        <w:pStyle w:val="SingleTxtG"/>
        <w:ind w:left="2268" w:hanging="1134"/>
        <w:rPr>
          <w:i/>
          <w:iCs/>
        </w:rPr>
      </w:pPr>
      <w:r w:rsidRPr="0080249A">
        <w:rPr>
          <w:i/>
          <w:lang w:val="fr-FR"/>
        </w:rPr>
        <w:t>Les notes de bas de page suivantes</w:t>
      </w:r>
      <w:r>
        <w:rPr>
          <w:lang w:val="fr-FR"/>
        </w:rPr>
        <w:t xml:space="preserve"> sont renumérotées en conséquence.</w:t>
      </w:r>
    </w:p>
    <w:p w:rsidR="00DD5E6F" w:rsidRPr="000539D8" w:rsidRDefault="00DD5E6F" w:rsidP="00DD5E6F">
      <w:pPr>
        <w:pStyle w:val="SingleTxtG"/>
        <w:ind w:left="2268" w:hanging="1134"/>
      </w:pPr>
      <w:r w:rsidRPr="0080249A">
        <w:rPr>
          <w:i/>
          <w:lang w:val="fr-FR"/>
        </w:rPr>
        <w:t>Ajou</w:t>
      </w:r>
      <w:r>
        <w:rPr>
          <w:i/>
          <w:lang w:val="fr-FR"/>
        </w:rPr>
        <w:t>ter les nouveaux paragraphes 12.4 à 12.</w:t>
      </w:r>
      <w:r w:rsidRPr="0080249A">
        <w:rPr>
          <w:i/>
          <w:lang w:val="fr-FR"/>
        </w:rPr>
        <w:t>9</w:t>
      </w:r>
      <w:r>
        <w:rPr>
          <w:lang w:val="fr-FR"/>
        </w:rPr>
        <w:t>, libellés comme suit</w:t>
      </w:r>
      <w:r w:rsidR="00AA492F">
        <w:rPr>
          <w:lang w:val="fr-FR"/>
        </w:rPr>
        <w:t> </w:t>
      </w:r>
      <w:r>
        <w:rPr>
          <w:lang w:val="fr-FR"/>
        </w:rPr>
        <w:t>:</w:t>
      </w:r>
    </w:p>
    <w:p w:rsidR="00DD5E6F" w:rsidRPr="00C268F8" w:rsidRDefault="00DD5E6F" w:rsidP="00DD5E6F">
      <w:pPr>
        <w:spacing w:after="120"/>
        <w:ind w:left="2268" w:right="1134" w:hanging="1134"/>
        <w:jc w:val="both"/>
        <w:rPr>
          <w:b/>
        </w:rPr>
      </w:pPr>
      <w:r w:rsidRPr="00713BCF">
        <w:rPr>
          <w:lang w:val="fr-FR"/>
        </w:rPr>
        <w:t>« </w:t>
      </w:r>
      <w:r w:rsidRPr="00C268F8">
        <w:rPr>
          <w:b/>
          <w:lang w:val="fr-FR"/>
        </w:rPr>
        <w:t>12.4</w:t>
      </w:r>
      <w:r w:rsidRPr="00C268F8">
        <w:rPr>
          <w:b/>
          <w:lang w:val="fr-FR"/>
        </w:rPr>
        <w:tab/>
        <w:t>À compter de la date officielle d</w:t>
      </w:r>
      <w:r w:rsidR="00170EEF">
        <w:rPr>
          <w:b/>
          <w:lang w:val="fr-FR"/>
        </w:rPr>
        <w:t>’</w:t>
      </w:r>
      <w:r w:rsidRPr="00C268F8">
        <w:rPr>
          <w:b/>
          <w:lang w:val="fr-FR"/>
        </w:rPr>
        <w:t>entrée en vigueur de la série 02 d</w:t>
      </w:r>
      <w:r w:rsidR="00170EEF">
        <w:rPr>
          <w:b/>
          <w:lang w:val="fr-FR"/>
        </w:rPr>
        <w:t>’</w:t>
      </w:r>
      <w:r w:rsidRPr="00C268F8">
        <w:rPr>
          <w:b/>
          <w:lang w:val="fr-FR"/>
        </w:rPr>
        <w:t>amendements, aucune Partie contractante appliquant le présent Règlement ne pourra refuser d</w:t>
      </w:r>
      <w:r w:rsidR="00170EEF">
        <w:rPr>
          <w:b/>
          <w:lang w:val="fr-FR"/>
        </w:rPr>
        <w:t>’</w:t>
      </w:r>
      <w:r w:rsidRPr="00C268F8">
        <w:rPr>
          <w:b/>
          <w:lang w:val="fr-FR"/>
        </w:rPr>
        <w:t>accorder ou d</w:t>
      </w:r>
      <w:r w:rsidR="00170EEF">
        <w:rPr>
          <w:b/>
          <w:lang w:val="fr-FR"/>
        </w:rPr>
        <w:t>’</w:t>
      </w:r>
      <w:r w:rsidRPr="00C268F8">
        <w:rPr>
          <w:b/>
          <w:lang w:val="fr-FR"/>
        </w:rPr>
        <w:t xml:space="preserve">accepter une homologation de type au titre </w:t>
      </w:r>
      <w:r>
        <w:rPr>
          <w:b/>
          <w:lang w:val="fr-FR"/>
        </w:rPr>
        <w:t xml:space="preserve">de ce </w:t>
      </w:r>
      <w:r w:rsidRPr="00C268F8">
        <w:rPr>
          <w:b/>
          <w:lang w:val="fr-FR"/>
        </w:rPr>
        <w:t>Règlement tel que modifié par la série 02 d</w:t>
      </w:r>
      <w:r w:rsidR="00170EEF">
        <w:rPr>
          <w:b/>
          <w:lang w:val="fr-FR"/>
        </w:rPr>
        <w:t>’</w:t>
      </w:r>
      <w:r w:rsidRPr="00C268F8">
        <w:rPr>
          <w:b/>
          <w:lang w:val="fr-FR"/>
        </w:rPr>
        <w:t>amendements.</w:t>
      </w:r>
    </w:p>
    <w:p w:rsidR="00DD5E6F" w:rsidRPr="00C268F8" w:rsidRDefault="00DD5E6F" w:rsidP="00DD5E6F">
      <w:pPr>
        <w:spacing w:after="120"/>
        <w:ind w:left="2268" w:right="1134" w:hanging="1134"/>
        <w:jc w:val="both"/>
        <w:rPr>
          <w:b/>
        </w:rPr>
      </w:pPr>
      <w:r w:rsidRPr="00C268F8">
        <w:rPr>
          <w:b/>
          <w:lang w:val="fr-FR"/>
        </w:rPr>
        <w:t>12.5</w:t>
      </w:r>
      <w:r w:rsidRPr="00C268F8">
        <w:rPr>
          <w:b/>
          <w:lang w:val="fr-FR"/>
        </w:rPr>
        <w:tab/>
        <w:t>À compter du [1</w:t>
      </w:r>
      <w:r w:rsidRPr="00077F80">
        <w:rPr>
          <w:b/>
          <w:vertAlign w:val="superscript"/>
          <w:lang w:val="fr-FR"/>
        </w:rPr>
        <w:t>er</w:t>
      </w:r>
      <w:r w:rsidR="00AA492F">
        <w:rPr>
          <w:b/>
          <w:lang w:val="fr-FR"/>
        </w:rPr>
        <w:t> </w:t>
      </w:r>
      <w:r w:rsidRPr="00C268F8">
        <w:rPr>
          <w:b/>
          <w:lang w:val="fr-FR"/>
        </w:rPr>
        <w:t>septembre 2022], les Parties contractantes appliquant la série 02 d</w:t>
      </w:r>
      <w:r w:rsidR="00170EEF">
        <w:rPr>
          <w:b/>
          <w:lang w:val="fr-FR"/>
        </w:rPr>
        <w:t>’</w:t>
      </w:r>
      <w:r w:rsidRPr="00C268F8">
        <w:rPr>
          <w:b/>
          <w:lang w:val="fr-FR"/>
        </w:rPr>
        <w:t>amendements au présent Règlement ne devront accorder d</w:t>
      </w:r>
      <w:r w:rsidR="00170EEF">
        <w:rPr>
          <w:b/>
          <w:lang w:val="fr-FR"/>
        </w:rPr>
        <w:t>’</w:t>
      </w:r>
      <w:r w:rsidRPr="00C268F8">
        <w:rPr>
          <w:b/>
          <w:lang w:val="fr-FR"/>
        </w:rPr>
        <w:t>homologation</w:t>
      </w:r>
      <w:r>
        <w:rPr>
          <w:b/>
          <w:lang w:val="fr-FR"/>
        </w:rPr>
        <w:t>s de type</w:t>
      </w:r>
      <w:r w:rsidRPr="00C268F8">
        <w:rPr>
          <w:b/>
          <w:lang w:val="fr-FR"/>
        </w:rPr>
        <w:t xml:space="preserve"> aux fins de la mise sur leurs marchés respectifs que si le type de véhicule à homologuer est co</w:t>
      </w:r>
      <w:r>
        <w:rPr>
          <w:b/>
          <w:lang w:val="fr-FR"/>
        </w:rPr>
        <w:t>nforme aux prescriptions de ce</w:t>
      </w:r>
      <w:r w:rsidRPr="00C268F8">
        <w:rPr>
          <w:b/>
          <w:lang w:val="fr-FR"/>
        </w:rPr>
        <w:t xml:space="preserve"> Règlement tel que modifié par la série 02 d</w:t>
      </w:r>
      <w:r w:rsidR="00170EEF">
        <w:rPr>
          <w:b/>
          <w:lang w:val="fr-FR"/>
        </w:rPr>
        <w:t>’</w:t>
      </w:r>
      <w:r w:rsidRPr="00C268F8">
        <w:rPr>
          <w:b/>
          <w:lang w:val="fr-FR"/>
        </w:rPr>
        <w:t>amendements.</w:t>
      </w:r>
    </w:p>
    <w:p w:rsidR="00DD5E6F" w:rsidRPr="00077F80" w:rsidRDefault="00DD5E6F" w:rsidP="00DD5E6F">
      <w:pPr>
        <w:spacing w:after="120"/>
        <w:ind w:left="2268" w:right="1134" w:hanging="1134"/>
        <w:jc w:val="both"/>
        <w:rPr>
          <w:b/>
          <w:bCs/>
        </w:rPr>
      </w:pPr>
      <w:r w:rsidRPr="00077F80">
        <w:rPr>
          <w:b/>
          <w:lang w:val="fr-FR"/>
        </w:rPr>
        <w:t>12.6</w:t>
      </w:r>
      <w:r w:rsidRPr="00077F80">
        <w:rPr>
          <w:b/>
          <w:lang w:val="fr-FR"/>
        </w:rPr>
        <w:tab/>
        <w:t>À compter du [1</w:t>
      </w:r>
      <w:r w:rsidRPr="00077F80">
        <w:rPr>
          <w:b/>
          <w:vertAlign w:val="superscript"/>
          <w:lang w:val="fr-FR"/>
        </w:rPr>
        <w:t>er</w:t>
      </w:r>
      <w:r w:rsidR="00713BCF">
        <w:rPr>
          <w:b/>
          <w:lang w:val="fr-FR"/>
        </w:rPr>
        <w:t> </w:t>
      </w:r>
      <w:r w:rsidRPr="00077F80">
        <w:rPr>
          <w:b/>
          <w:lang w:val="fr-FR"/>
        </w:rPr>
        <w:t>septembre 2022], les Parties contractantes appliquant le présent Règlement ne seront pas tenues d</w:t>
      </w:r>
      <w:r w:rsidR="00170EEF">
        <w:rPr>
          <w:b/>
          <w:lang w:val="fr-FR"/>
        </w:rPr>
        <w:t>’</w:t>
      </w:r>
      <w:r w:rsidRPr="00077F80">
        <w:rPr>
          <w:b/>
          <w:lang w:val="fr-FR"/>
        </w:rPr>
        <w:t>accepter les homologations de type au titre des séries d</w:t>
      </w:r>
      <w:r w:rsidR="00170EEF">
        <w:rPr>
          <w:b/>
          <w:lang w:val="fr-FR"/>
        </w:rPr>
        <w:t>’</w:t>
      </w:r>
      <w:r w:rsidRPr="00077F80">
        <w:rPr>
          <w:b/>
          <w:lang w:val="fr-FR"/>
        </w:rPr>
        <w:t>amendements précédant la série 02, délivrées pour la première fois après le [1</w:t>
      </w:r>
      <w:r w:rsidRPr="00077F80">
        <w:rPr>
          <w:b/>
          <w:vertAlign w:val="superscript"/>
          <w:lang w:val="fr-FR"/>
        </w:rPr>
        <w:t>er</w:t>
      </w:r>
      <w:r w:rsidR="00713BCF">
        <w:rPr>
          <w:b/>
          <w:lang w:val="fr-FR"/>
        </w:rPr>
        <w:t> </w:t>
      </w:r>
      <w:r w:rsidRPr="00077F80">
        <w:rPr>
          <w:b/>
          <w:lang w:val="fr-FR"/>
        </w:rPr>
        <w:t>septembre 2022].</w:t>
      </w:r>
    </w:p>
    <w:p w:rsidR="00DD5E6F" w:rsidRPr="00077F80" w:rsidRDefault="00DD5E6F" w:rsidP="00DD5E6F">
      <w:pPr>
        <w:spacing w:after="120"/>
        <w:ind w:left="2268" w:right="1134" w:hanging="1134"/>
        <w:jc w:val="both"/>
        <w:rPr>
          <w:b/>
        </w:rPr>
      </w:pPr>
      <w:r w:rsidRPr="00077F80">
        <w:rPr>
          <w:b/>
          <w:lang w:val="fr-FR"/>
        </w:rPr>
        <w:t>12.7</w:t>
      </w:r>
      <w:r w:rsidRPr="00077F80">
        <w:rPr>
          <w:b/>
          <w:lang w:val="fr-FR"/>
        </w:rPr>
        <w:tab/>
        <w:t>Les Parties contractantes appliquant le présent Règlement doivent continuer à reconnaître les homologations de type accordées au titre des séries d</w:t>
      </w:r>
      <w:r w:rsidR="00170EEF">
        <w:rPr>
          <w:b/>
          <w:lang w:val="fr-FR"/>
        </w:rPr>
        <w:t>’</w:t>
      </w:r>
      <w:r w:rsidRPr="00077F80">
        <w:rPr>
          <w:b/>
          <w:lang w:val="fr-FR"/>
        </w:rPr>
        <w:t xml:space="preserve">amendements précédant la série 02 </w:t>
      </w:r>
      <w:r>
        <w:rPr>
          <w:b/>
          <w:lang w:val="fr-FR"/>
        </w:rPr>
        <w:t xml:space="preserve">à ce </w:t>
      </w:r>
      <w:r w:rsidRPr="00077F80">
        <w:rPr>
          <w:b/>
          <w:lang w:val="fr-FR"/>
        </w:rPr>
        <w:t>Règlement délivrées pour la première fois avant le [1</w:t>
      </w:r>
      <w:r w:rsidRPr="00077F80">
        <w:rPr>
          <w:b/>
          <w:vertAlign w:val="superscript"/>
          <w:lang w:val="fr-FR"/>
        </w:rPr>
        <w:t>er</w:t>
      </w:r>
      <w:r w:rsidR="00713BCF">
        <w:rPr>
          <w:b/>
          <w:lang w:val="fr-FR"/>
        </w:rPr>
        <w:t> </w:t>
      </w:r>
      <w:r w:rsidRPr="00077F80">
        <w:rPr>
          <w:b/>
          <w:lang w:val="fr-FR"/>
        </w:rPr>
        <w:t>septembre 2022].</w:t>
      </w:r>
    </w:p>
    <w:p w:rsidR="00DD5E6F" w:rsidRPr="00077F80" w:rsidRDefault="00DD5E6F" w:rsidP="00DD5E6F">
      <w:pPr>
        <w:spacing w:after="120"/>
        <w:ind w:left="2268" w:right="1134" w:hanging="1134"/>
        <w:jc w:val="both"/>
        <w:rPr>
          <w:b/>
          <w:bCs/>
        </w:rPr>
      </w:pPr>
      <w:r w:rsidRPr="00077F80">
        <w:rPr>
          <w:b/>
          <w:lang w:val="fr-FR"/>
        </w:rPr>
        <w:t>12.8</w:t>
      </w:r>
      <w:r w:rsidRPr="00077F80">
        <w:rPr>
          <w:b/>
          <w:lang w:val="fr-FR"/>
        </w:rPr>
        <w:tab/>
        <w:t>Les Parties contractantes appliquant le présent Règlement ne pourront refuser d</w:t>
      </w:r>
      <w:r w:rsidR="00170EEF">
        <w:rPr>
          <w:b/>
          <w:lang w:val="fr-FR"/>
        </w:rPr>
        <w:t>’</w:t>
      </w:r>
      <w:r w:rsidRPr="00077F80">
        <w:rPr>
          <w:b/>
          <w:lang w:val="fr-FR"/>
        </w:rPr>
        <w:t>accorder des extensions des homologations de type délivrées pour la première fois avant le [1</w:t>
      </w:r>
      <w:r w:rsidRPr="00077F80">
        <w:rPr>
          <w:b/>
          <w:vertAlign w:val="superscript"/>
          <w:lang w:val="fr-FR"/>
        </w:rPr>
        <w:t>er</w:t>
      </w:r>
      <w:r w:rsidR="00713BCF">
        <w:rPr>
          <w:b/>
          <w:lang w:val="fr-FR"/>
        </w:rPr>
        <w:t> </w:t>
      </w:r>
      <w:r>
        <w:rPr>
          <w:b/>
          <w:lang w:val="fr-FR"/>
        </w:rPr>
        <w:t>septembre 2022]</w:t>
      </w:r>
      <w:r w:rsidRPr="00077F80">
        <w:rPr>
          <w:b/>
          <w:lang w:val="fr-FR"/>
        </w:rPr>
        <w:t xml:space="preserve"> pour les types existants qui auront été délivrées conformément à </w:t>
      </w:r>
      <w:r>
        <w:rPr>
          <w:b/>
          <w:lang w:val="fr-FR"/>
        </w:rPr>
        <w:t>l</w:t>
      </w:r>
      <w:r w:rsidR="00170EEF">
        <w:rPr>
          <w:b/>
          <w:lang w:val="fr-FR"/>
        </w:rPr>
        <w:t>’</w:t>
      </w:r>
      <w:r>
        <w:rPr>
          <w:b/>
          <w:lang w:val="fr-FR"/>
        </w:rPr>
        <w:t>une ou l</w:t>
      </w:r>
      <w:r w:rsidR="00170EEF">
        <w:rPr>
          <w:b/>
          <w:lang w:val="fr-FR"/>
        </w:rPr>
        <w:t>’</w:t>
      </w:r>
      <w:r>
        <w:rPr>
          <w:b/>
          <w:lang w:val="fr-FR"/>
        </w:rPr>
        <w:t>autre des</w:t>
      </w:r>
      <w:r w:rsidRPr="00077F80">
        <w:rPr>
          <w:b/>
          <w:lang w:val="fr-FR"/>
        </w:rPr>
        <w:t xml:space="preserve"> série</w:t>
      </w:r>
      <w:r>
        <w:rPr>
          <w:b/>
          <w:lang w:val="fr-FR"/>
        </w:rPr>
        <w:t>s</w:t>
      </w:r>
      <w:r w:rsidRPr="00077F80">
        <w:rPr>
          <w:b/>
          <w:lang w:val="fr-FR"/>
        </w:rPr>
        <w:t xml:space="preserve"> précédant la série 02 d</w:t>
      </w:r>
      <w:r w:rsidR="00170EEF">
        <w:rPr>
          <w:b/>
          <w:lang w:val="fr-FR"/>
        </w:rPr>
        <w:t>’</w:t>
      </w:r>
      <w:r w:rsidRPr="00077F80">
        <w:rPr>
          <w:b/>
          <w:lang w:val="fr-FR"/>
        </w:rPr>
        <w:t xml:space="preserve">amendements </w:t>
      </w:r>
      <w:r>
        <w:rPr>
          <w:b/>
          <w:lang w:val="fr-FR"/>
        </w:rPr>
        <w:t xml:space="preserve">à ce </w:t>
      </w:r>
      <w:r w:rsidRPr="00077F80">
        <w:rPr>
          <w:b/>
          <w:lang w:val="fr-FR"/>
        </w:rPr>
        <w:t>Règlement.</w:t>
      </w:r>
    </w:p>
    <w:p w:rsidR="00DD5E6F" w:rsidRPr="00713BCF" w:rsidRDefault="00DD5E6F" w:rsidP="00DD5E6F">
      <w:pPr>
        <w:tabs>
          <w:tab w:val="left" w:pos="1418"/>
        </w:tabs>
        <w:spacing w:after="120"/>
        <w:ind w:left="2268" w:right="1134" w:hanging="1134"/>
        <w:jc w:val="both"/>
      </w:pPr>
      <w:r w:rsidRPr="00077F80">
        <w:rPr>
          <w:b/>
          <w:lang w:val="fr-FR"/>
        </w:rPr>
        <w:lastRenderedPageBreak/>
        <w:t>12.9</w:t>
      </w:r>
      <w:r w:rsidRPr="00077F80">
        <w:rPr>
          <w:b/>
          <w:lang w:val="fr-FR"/>
        </w:rPr>
        <w:tab/>
        <w:t>Nonobstant les dispositions transitoires ci-dessus, les Parties contractantes pour lesquelles le présent Règlement entre en application après la date d</w:t>
      </w:r>
      <w:r w:rsidR="00170EEF">
        <w:rPr>
          <w:b/>
          <w:lang w:val="fr-FR"/>
        </w:rPr>
        <w:t>’</w:t>
      </w:r>
      <w:r w:rsidRPr="00077F80">
        <w:rPr>
          <w:b/>
          <w:lang w:val="fr-FR"/>
        </w:rPr>
        <w:t>entrée en vigueur de la série 02 d</w:t>
      </w:r>
      <w:r w:rsidR="00170EEF">
        <w:rPr>
          <w:b/>
          <w:lang w:val="fr-FR"/>
        </w:rPr>
        <w:t>’</w:t>
      </w:r>
      <w:r w:rsidRPr="00077F80">
        <w:rPr>
          <w:b/>
          <w:lang w:val="fr-FR"/>
        </w:rPr>
        <w:t>amendements ne sont pas tenues d</w:t>
      </w:r>
      <w:r w:rsidR="00170EEF">
        <w:rPr>
          <w:b/>
          <w:lang w:val="fr-FR"/>
        </w:rPr>
        <w:t>’</w:t>
      </w:r>
      <w:r w:rsidRPr="00077F80">
        <w:rPr>
          <w:b/>
          <w:lang w:val="fr-FR"/>
        </w:rPr>
        <w:t>accepter les homologations de type accordées conformément à l</w:t>
      </w:r>
      <w:r w:rsidR="00170EEF">
        <w:rPr>
          <w:b/>
          <w:lang w:val="fr-FR"/>
        </w:rPr>
        <w:t>’</w:t>
      </w:r>
      <w:r w:rsidRPr="00077F80">
        <w:rPr>
          <w:b/>
          <w:lang w:val="fr-FR"/>
        </w:rPr>
        <w:t>une ou l</w:t>
      </w:r>
      <w:r w:rsidR="00170EEF">
        <w:rPr>
          <w:b/>
          <w:lang w:val="fr-FR"/>
        </w:rPr>
        <w:t>’</w:t>
      </w:r>
      <w:r w:rsidRPr="00077F80">
        <w:rPr>
          <w:b/>
          <w:lang w:val="fr-FR"/>
        </w:rPr>
        <w:t>autre des séries précédant la série 02 d</w:t>
      </w:r>
      <w:r w:rsidR="00170EEF">
        <w:rPr>
          <w:b/>
          <w:lang w:val="fr-FR"/>
        </w:rPr>
        <w:t>’</w:t>
      </w:r>
      <w:r w:rsidRPr="00077F80">
        <w:rPr>
          <w:b/>
          <w:lang w:val="fr-FR"/>
        </w:rPr>
        <w:t xml:space="preserve">amendements </w:t>
      </w:r>
      <w:r>
        <w:rPr>
          <w:b/>
          <w:lang w:val="fr-FR"/>
        </w:rPr>
        <w:t xml:space="preserve">à ce </w:t>
      </w:r>
      <w:r w:rsidRPr="00077F80">
        <w:rPr>
          <w:b/>
          <w:lang w:val="fr-FR"/>
        </w:rPr>
        <w:t>Règlement. </w:t>
      </w:r>
      <w:r w:rsidRPr="00713BCF">
        <w:rPr>
          <w:lang w:val="fr-FR"/>
        </w:rPr>
        <w:t>».</w:t>
      </w:r>
    </w:p>
    <w:p w:rsidR="00DD5E6F" w:rsidRPr="005A22FF" w:rsidRDefault="005A22FF" w:rsidP="005A22FF">
      <w:pPr>
        <w:pStyle w:val="HChG"/>
      </w:pPr>
      <w:r>
        <w:rPr>
          <w:lang w:val="fr-FR"/>
        </w:rPr>
        <w:tab/>
      </w:r>
      <w:r w:rsidR="00DD5E6F">
        <w:rPr>
          <w:lang w:val="fr-FR"/>
        </w:rPr>
        <w:t>II.</w:t>
      </w:r>
      <w:r w:rsidR="00DD5E6F">
        <w:rPr>
          <w:lang w:val="fr-FR"/>
        </w:rPr>
        <w:tab/>
        <w:t>Justification</w:t>
      </w:r>
    </w:p>
    <w:p w:rsidR="00DD5E6F" w:rsidRPr="000539D8" w:rsidRDefault="00DD5E6F" w:rsidP="00DD5E6F">
      <w:pPr>
        <w:widowControl w:val="0"/>
        <w:tabs>
          <w:tab w:val="left" w:pos="-1440"/>
        </w:tabs>
        <w:spacing w:after="120"/>
        <w:ind w:left="1134" w:right="1134"/>
        <w:jc w:val="both"/>
      </w:pPr>
      <w:r>
        <w:rPr>
          <w:lang w:val="fr-FR"/>
        </w:rPr>
        <w:t>1.</w:t>
      </w:r>
      <w:r>
        <w:rPr>
          <w:lang w:val="fr-FR"/>
        </w:rPr>
        <w:tab/>
        <w:t>Les Pays-Bas proposent de rendre obligatoire l</w:t>
      </w:r>
      <w:r w:rsidR="00170EEF">
        <w:rPr>
          <w:lang w:val="fr-FR"/>
        </w:rPr>
        <w:t>’</w:t>
      </w:r>
      <w:r>
        <w:rPr>
          <w:lang w:val="fr-FR"/>
        </w:rPr>
        <w:t>installation de feux indicateurs de direction sur les cyclomoteurs afin de renforcer la sécurité, étant donné que cette obligation est déjà en vigueur depuis de nombreuses années pour les motocycles. Qui plus est, il apparaît que la plupart des cyclomoteurs actuels sont déjà équipés de feux indicateurs de direction.</w:t>
      </w:r>
    </w:p>
    <w:p w:rsidR="00DD5E6F" w:rsidRPr="000539D8" w:rsidRDefault="00DD5E6F" w:rsidP="00DD5E6F">
      <w:pPr>
        <w:widowControl w:val="0"/>
        <w:tabs>
          <w:tab w:val="left" w:pos="-1440"/>
        </w:tabs>
        <w:spacing w:after="120"/>
        <w:ind w:left="1134" w:right="1134"/>
        <w:jc w:val="both"/>
      </w:pPr>
      <w:r>
        <w:rPr>
          <w:lang w:val="fr-FR"/>
        </w:rPr>
        <w:t>2.</w:t>
      </w:r>
      <w:r>
        <w:rPr>
          <w:lang w:val="fr-FR"/>
        </w:rPr>
        <w:tab/>
        <w:t>Avec l</w:t>
      </w:r>
      <w:r w:rsidR="00170EEF">
        <w:rPr>
          <w:lang w:val="fr-FR"/>
        </w:rPr>
        <w:t>’</w:t>
      </w:r>
      <w:r>
        <w:rPr>
          <w:lang w:val="fr-FR"/>
        </w:rPr>
        <w:t>augmentation de l</w:t>
      </w:r>
      <w:r w:rsidR="00170EEF">
        <w:rPr>
          <w:lang w:val="fr-FR"/>
        </w:rPr>
        <w:t>’</w:t>
      </w:r>
      <w:r>
        <w:rPr>
          <w:lang w:val="fr-FR"/>
        </w:rPr>
        <w:t xml:space="preserve">utilisation de cyclomoteurs </w:t>
      </w:r>
      <w:r w:rsidRPr="006A014F">
        <w:rPr>
          <w:lang w:val="fr-FR"/>
        </w:rPr>
        <w:t>roulant à vive allure</w:t>
      </w:r>
      <w:r>
        <w:rPr>
          <w:lang w:val="fr-FR"/>
        </w:rPr>
        <w:t xml:space="preserve"> sur les routes ordinaires (plutôt que sur les voies réservées aux cycles), en particulier les vélos à assistance électrique rapides, il apparaît plus nécessaire que jamais que ces véhicules disposent de feux indicateurs de direction. Une étude menée récemment par l</w:t>
      </w:r>
      <w:r w:rsidR="00170EEF">
        <w:rPr>
          <w:lang w:val="fr-FR"/>
        </w:rPr>
        <w:t>’</w:t>
      </w:r>
      <w:r>
        <w:rPr>
          <w:lang w:val="fr-FR"/>
        </w:rPr>
        <w:t>Institut néerlandais de recherche sur la sécurité routière (SWOV) a constaté qu</w:t>
      </w:r>
      <w:r w:rsidR="00170EEF">
        <w:rPr>
          <w:lang w:val="fr-FR"/>
        </w:rPr>
        <w:t>’</w:t>
      </w:r>
      <w:r>
        <w:rPr>
          <w:lang w:val="fr-FR"/>
        </w:rPr>
        <w:t>à l</w:t>
      </w:r>
      <w:r w:rsidR="00170EEF">
        <w:rPr>
          <w:lang w:val="fr-FR"/>
        </w:rPr>
        <w:t>’</w:t>
      </w:r>
      <w:r>
        <w:rPr>
          <w:lang w:val="fr-FR"/>
        </w:rPr>
        <w:t xml:space="preserve">heure actuelle les </w:t>
      </w:r>
      <w:r w:rsidRPr="005A575D">
        <w:rPr>
          <w:lang w:val="fr-FR"/>
        </w:rPr>
        <w:t>v</w:t>
      </w:r>
      <w:r w:rsidRPr="005A575D">
        <w:rPr>
          <w:bCs/>
          <w:iCs/>
          <w:lang w:val="fr-FR"/>
        </w:rPr>
        <w:t>élos à assistance électri</w:t>
      </w:r>
      <w:r w:rsidRPr="005A575D">
        <w:rPr>
          <w:lang w:val="fr-FR"/>
        </w:rPr>
        <w:t>que rapides</w:t>
      </w:r>
      <w:r>
        <w:rPr>
          <w:lang w:val="fr-FR"/>
        </w:rPr>
        <w:t xml:space="preserve"> ne disposaient pas de la même configuration de feux arrières que la plupart des cyclomoteurs.</w:t>
      </w:r>
    </w:p>
    <w:p w:rsidR="00DD5E6F" w:rsidRPr="000539D8" w:rsidRDefault="00DD5E6F" w:rsidP="00DD5E6F">
      <w:pPr>
        <w:widowControl w:val="0"/>
        <w:tabs>
          <w:tab w:val="left" w:pos="-1440"/>
        </w:tabs>
        <w:spacing w:after="120"/>
        <w:ind w:left="1134" w:right="1134"/>
        <w:jc w:val="both"/>
      </w:pPr>
      <w:r>
        <w:rPr>
          <w:lang w:val="fr-FR"/>
        </w:rPr>
        <w:t>3.</w:t>
      </w:r>
      <w:r>
        <w:rPr>
          <w:lang w:val="fr-FR"/>
        </w:rPr>
        <w:tab/>
        <w:t>Il est toutefois suggéré d</w:t>
      </w:r>
      <w:r w:rsidR="00170EEF">
        <w:rPr>
          <w:lang w:val="fr-FR"/>
        </w:rPr>
        <w:t>’</w:t>
      </w:r>
      <w:r>
        <w:rPr>
          <w:lang w:val="fr-FR"/>
        </w:rPr>
        <w:t>envisager tout d</w:t>
      </w:r>
      <w:r w:rsidR="00170EEF">
        <w:rPr>
          <w:lang w:val="fr-FR"/>
        </w:rPr>
        <w:t>’</w:t>
      </w:r>
      <w:r>
        <w:rPr>
          <w:lang w:val="fr-FR"/>
        </w:rPr>
        <w:t>abord de rendre obligatoire l</w:t>
      </w:r>
      <w:r w:rsidR="00170EEF">
        <w:rPr>
          <w:lang w:val="fr-FR"/>
        </w:rPr>
        <w:t>’</w:t>
      </w:r>
      <w:r>
        <w:rPr>
          <w:lang w:val="fr-FR"/>
        </w:rPr>
        <w:t>installation de feux indicateurs de direction sur les cyclomoteurs dont la vitesse maximale par construction dépasse 25</w:t>
      </w:r>
      <w:r w:rsidR="00170EEF">
        <w:rPr>
          <w:lang w:val="fr-FR"/>
        </w:rPr>
        <w:t> </w:t>
      </w:r>
      <w:r>
        <w:rPr>
          <w:lang w:val="fr-FR"/>
        </w:rPr>
        <w:t>km/h et donc de laisser facultative l</w:t>
      </w:r>
      <w:r w:rsidR="00170EEF">
        <w:rPr>
          <w:lang w:val="fr-FR"/>
        </w:rPr>
        <w:t>’</w:t>
      </w:r>
      <w:r>
        <w:rPr>
          <w:lang w:val="fr-FR"/>
        </w:rPr>
        <w:t>installation de feux indicateurs de direction sur les cyclomoteurs dont la vitesse maximale par construction est limitée à 25</w:t>
      </w:r>
      <w:r w:rsidR="00170EEF">
        <w:rPr>
          <w:lang w:val="fr-FR"/>
        </w:rPr>
        <w:t> </w:t>
      </w:r>
      <w:r>
        <w:rPr>
          <w:lang w:val="fr-FR"/>
        </w:rPr>
        <w:t>km/h comme pour certains vélos à assistance électrique (vélos à assistance électrique normaux).</w:t>
      </w:r>
    </w:p>
    <w:p w:rsidR="00F9573C" w:rsidRDefault="00DD5E6F" w:rsidP="00170EEF">
      <w:pPr>
        <w:widowControl w:val="0"/>
        <w:tabs>
          <w:tab w:val="left" w:pos="-1440"/>
        </w:tabs>
        <w:spacing w:after="120"/>
        <w:ind w:left="1134" w:right="1134"/>
        <w:jc w:val="both"/>
        <w:rPr>
          <w:lang w:val="fr-FR"/>
        </w:rPr>
      </w:pPr>
      <w:r>
        <w:rPr>
          <w:lang w:val="fr-FR"/>
        </w:rPr>
        <w:t>4.</w:t>
      </w:r>
      <w:r>
        <w:rPr>
          <w:lang w:val="fr-FR"/>
        </w:rPr>
        <w:tab/>
        <w:t>Afin d</w:t>
      </w:r>
      <w:r w:rsidR="00170EEF">
        <w:rPr>
          <w:lang w:val="fr-FR"/>
        </w:rPr>
        <w:t>’</w:t>
      </w:r>
      <w:r>
        <w:rPr>
          <w:lang w:val="fr-FR"/>
        </w:rPr>
        <w:t>assurer un délai d</w:t>
      </w:r>
      <w:r w:rsidR="00170EEF">
        <w:rPr>
          <w:lang w:val="fr-FR"/>
        </w:rPr>
        <w:t>’</w:t>
      </w:r>
      <w:r>
        <w:rPr>
          <w:lang w:val="fr-FR"/>
        </w:rPr>
        <w:t>exécution suffisant à toutes les parties prenantes (administrations nationales, autorités d</w:t>
      </w:r>
      <w:r w:rsidR="00170EEF">
        <w:rPr>
          <w:lang w:val="fr-FR"/>
        </w:rPr>
        <w:t>’</w:t>
      </w:r>
      <w:r>
        <w:rPr>
          <w:lang w:val="fr-FR"/>
        </w:rPr>
        <w:t>homologation de type, constructeurs, etc.), une période transitoire d</w:t>
      </w:r>
      <w:r w:rsidR="00170EEF">
        <w:rPr>
          <w:lang w:val="fr-FR"/>
        </w:rPr>
        <w:t>’</w:t>
      </w:r>
      <w:r>
        <w:rPr>
          <w:lang w:val="fr-FR"/>
        </w:rPr>
        <w:t xml:space="preserve">environ </w:t>
      </w:r>
      <w:r w:rsidR="00170EEF">
        <w:rPr>
          <w:lang w:val="fr-FR"/>
        </w:rPr>
        <w:t>quatre </w:t>
      </w:r>
      <w:r>
        <w:rPr>
          <w:lang w:val="fr-FR"/>
        </w:rPr>
        <w:t>ans est proposée.</w:t>
      </w:r>
    </w:p>
    <w:p w:rsidR="00170EEF" w:rsidRPr="00170EEF" w:rsidRDefault="00170EEF" w:rsidP="00170EEF">
      <w:pPr>
        <w:pStyle w:val="SingleTxtG"/>
        <w:spacing w:before="240" w:after="0"/>
        <w:jc w:val="center"/>
        <w:rPr>
          <w:u w:val="single"/>
        </w:rPr>
      </w:pPr>
      <w:r>
        <w:rPr>
          <w:u w:val="single"/>
        </w:rPr>
        <w:tab/>
      </w:r>
      <w:r>
        <w:rPr>
          <w:u w:val="single"/>
        </w:rPr>
        <w:tab/>
      </w:r>
      <w:r>
        <w:rPr>
          <w:u w:val="single"/>
        </w:rPr>
        <w:tab/>
      </w:r>
    </w:p>
    <w:sectPr w:rsidR="00170EEF" w:rsidRPr="00170EEF" w:rsidSect="00E44E89">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931" w:rsidRDefault="00417931" w:rsidP="00F95C08">
      <w:pPr>
        <w:spacing w:line="240" w:lineRule="auto"/>
      </w:pPr>
    </w:p>
  </w:endnote>
  <w:endnote w:type="continuationSeparator" w:id="0">
    <w:p w:rsidR="00417931" w:rsidRPr="00AC3823" w:rsidRDefault="00417931" w:rsidP="00AC3823">
      <w:pPr>
        <w:pStyle w:val="Footer"/>
      </w:pPr>
    </w:p>
  </w:endnote>
  <w:endnote w:type="continuationNotice" w:id="1">
    <w:p w:rsidR="00417931" w:rsidRDefault="004179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E89" w:rsidRPr="00E44E89" w:rsidRDefault="00E44E89" w:rsidP="00E44E89">
    <w:pPr>
      <w:pStyle w:val="Footer"/>
      <w:tabs>
        <w:tab w:val="right" w:pos="9638"/>
      </w:tabs>
    </w:pPr>
    <w:r w:rsidRPr="00E44E89">
      <w:rPr>
        <w:b/>
        <w:sz w:val="18"/>
      </w:rPr>
      <w:fldChar w:fldCharType="begin"/>
    </w:r>
    <w:r w:rsidRPr="00E44E89">
      <w:rPr>
        <w:b/>
        <w:sz w:val="18"/>
      </w:rPr>
      <w:instrText xml:space="preserve"> PAGE  \* MERGEFORMAT </w:instrText>
    </w:r>
    <w:r w:rsidRPr="00E44E89">
      <w:rPr>
        <w:b/>
        <w:sz w:val="18"/>
      </w:rPr>
      <w:fldChar w:fldCharType="separate"/>
    </w:r>
    <w:r w:rsidR="00A46418">
      <w:rPr>
        <w:b/>
        <w:noProof/>
        <w:sz w:val="18"/>
      </w:rPr>
      <w:t>2</w:t>
    </w:r>
    <w:r w:rsidRPr="00E44E89">
      <w:rPr>
        <w:b/>
        <w:sz w:val="18"/>
      </w:rPr>
      <w:fldChar w:fldCharType="end"/>
    </w:r>
    <w:r>
      <w:rPr>
        <w:b/>
        <w:sz w:val="18"/>
      </w:rPr>
      <w:tab/>
    </w:r>
    <w:r>
      <w:t>GE.18-01961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E89" w:rsidRPr="00E44E89" w:rsidRDefault="00E44E89" w:rsidP="00E44E89">
    <w:pPr>
      <w:pStyle w:val="Footer"/>
      <w:tabs>
        <w:tab w:val="right" w:pos="9638"/>
      </w:tabs>
      <w:rPr>
        <w:b/>
        <w:sz w:val="18"/>
      </w:rPr>
    </w:pPr>
    <w:r>
      <w:t>GE.18-01961</w:t>
    </w:r>
    <w:r>
      <w:tab/>
    </w:r>
    <w:r w:rsidRPr="00E44E89">
      <w:rPr>
        <w:b/>
        <w:sz w:val="18"/>
      </w:rPr>
      <w:fldChar w:fldCharType="begin"/>
    </w:r>
    <w:r w:rsidRPr="00E44E89">
      <w:rPr>
        <w:b/>
        <w:sz w:val="18"/>
      </w:rPr>
      <w:instrText xml:space="preserve"> PAGE  \* MERGEFORMAT </w:instrText>
    </w:r>
    <w:r w:rsidRPr="00E44E89">
      <w:rPr>
        <w:b/>
        <w:sz w:val="18"/>
      </w:rPr>
      <w:fldChar w:fldCharType="separate"/>
    </w:r>
    <w:r w:rsidR="001342DF">
      <w:rPr>
        <w:b/>
        <w:noProof/>
        <w:sz w:val="18"/>
      </w:rPr>
      <w:t>3</w:t>
    </w:r>
    <w:r w:rsidRPr="00E44E8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0FA" w:rsidRPr="00E44E89" w:rsidRDefault="00E44E89" w:rsidP="00E44E89">
    <w:pPr>
      <w:pStyle w:val="Footer"/>
      <w:spacing w:before="120"/>
      <w:rPr>
        <w:sz w:val="20"/>
      </w:rPr>
    </w:pPr>
    <w:r>
      <w:rPr>
        <w:sz w:val="20"/>
      </w:rPr>
      <w:t>GE.</w:t>
    </w:r>
    <w:r w:rsidR="007F20FA">
      <w:rPr>
        <w:noProof/>
        <w:lang w:eastAsia="fr-CH"/>
      </w:rPr>
      <w:drawing>
        <wp:anchor distT="0" distB="0" distL="114300" distR="114300" simplePos="0" relativeHeight="251660288"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18-01961  (F)</w:t>
    </w:r>
    <w:r w:rsidR="00487390">
      <w:rPr>
        <w:sz w:val="20"/>
      </w:rPr>
      <w:t xml:space="preserve">    260218    260218</w:t>
    </w:r>
    <w:r>
      <w:rPr>
        <w:sz w:val="20"/>
      </w:rPr>
      <w:br/>
    </w:r>
    <w:r w:rsidRPr="00E44E89">
      <w:rPr>
        <w:rFonts w:ascii="C39T30Lfz" w:hAnsi="C39T30Lfz"/>
        <w:sz w:val="56"/>
      </w:rPr>
      <w:t></w:t>
    </w:r>
    <w:r w:rsidRPr="00E44E89">
      <w:rPr>
        <w:rFonts w:ascii="C39T30Lfz" w:hAnsi="C39T30Lfz"/>
        <w:sz w:val="56"/>
      </w:rPr>
      <w:t></w:t>
    </w:r>
    <w:r w:rsidRPr="00E44E89">
      <w:rPr>
        <w:rFonts w:ascii="C39T30Lfz" w:hAnsi="C39T30Lfz"/>
        <w:sz w:val="56"/>
      </w:rPr>
      <w:t></w:t>
    </w:r>
    <w:r w:rsidRPr="00E44E89">
      <w:rPr>
        <w:rFonts w:ascii="C39T30Lfz" w:hAnsi="C39T30Lfz"/>
        <w:sz w:val="56"/>
      </w:rPr>
      <w:t></w:t>
    </w:r>
    <w:r w:rsidRPr="00E44E89">
      <w:rPr>
        <w:rFonts w:ascii="C39T30Lfz" w:hAnsi="C39T30Lfz"/>
        <w:sz w:val="56"/>
      </w:rPr>
      <w:t></w:t>
    </w:r>
    <w:r w:rsidRPr="00E44E89">
      <w:rPr>
        <w:rFonts w:ascii="C39T30Lfz" w:hAnsi="C39T30Lfz"/>
        <w:sz w:val="56"/>
      </w:rPr>
      <w:t></w:t>
    </w:r>
    <w:r w:rsidRPr="00E44E89">
      <w:rPr>
        <w:rFonts w:ascii="C39T30Lfz" w:hAnsi="C39T30Lfz"/>
        <w:sz w:val="56"/>
      </w:rPr>
      <w:t></w:t>
    </w:r>
    <w:r w:rsidRPr="00E44E89">
      <w:rPr>
        <w:rFonts w:ascii="C39T30Lfz" w:hAnsi="C39T30Lfz"/>
        <w:sz w:val="56"/>
      </w:rPr>
      <w:t></w:t>
    </w:r>
    <w:r w:rsidRPr="00E44E89">
      <w:rPr>
        <w:rFonts w:ascii="C39T30Lfz" w:hAnsi="C39T30Lfz"/>
        <w:sz w:val="56"/>
      </w:rPr>
      <w:t></w:t>
    </w:r>
    <w:r>
      <w:rPr>
        <w:noProof/>
        <w:sz w:val="20"/>
        <w:lang w:eastAsia="fr-CH"/>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E/2018/23&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23&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931" w:rsidRPr="00AC3823" w:rsidRDefault="00417931" w:rsidP="00AC3823">
      <w:pPr>
        <w:pStyle w:val="Footer"/>
        <w:tabs>
          <w:tab w:val="right" w:pos="2155"/>
        </w:tabs>
        <w:spacing w:after="80" w:line="240" w:lineRule="atLeast"/>
        <w:ind w:left="680"/>
        <w:rPr>
          <w:u w:val="single"/>
        </w:rPr>
      </w:pPr>
      <w:r>
        <w:rPr>
          <w:u w:val="single"/>
        </w:rPr>
        <w:tab/>
      </w:r>
    </w:p>
  </w:footnote>
  <w:footnote w:type="continuationSeparator" w:id="0">
    <w:p w:rsidR="00417931" w:rsidRPr="00AC3823" w:rsidRDefault="00417931" w:rsidP="00AC3823">
      <w:pPr>
        <w:pStyle w:val="Footer"/>
        <w:tabs>
          <w:tab w:val="right" w:pos="2155"/>
        </w:tabs>
        <w:spacing w:after="80" w:line="240" w:lineRule="atLeast"/>
        <w:ind w:left="680"/>
        <w:rPr>
          <w:u w:val="single"/>
        </w:rPr>
      </w:pPr>
      <w:r>
        <w:rPr>
          <w:u w:val="single"/>
        </w:rPr>
        <w:tab/>
      </w:r>
    </w:p>
  </w:footnote>
  <w:footnote w:type="continuationNotice" w:id="1">
    <w:p w:rsidR="00417931" w:rsidRPr="00AC3823" w:rsidRDefault="00417931">
      <w:pPr>
        <w:spacing w:line="240" w:lineRule="auto"/>
        <w:rPr>
          <w:sz w:val="2"/>
          <w:szCs w:val="2"/>
        </w:rPr>
      </w:pPr>
    </w:p>
  </w:footnote>
  <w:footnote w:id="2">
    <w:p w:rsidR="00DD5E6F" w:rsidRPr="00B14735" w:rsidRDefault="00DD5E6F" w:rsidP="00DD5E6F">
      <w:pPr>
        <w:pStyle w:val="FootnoteText"/>
        <w:tabs>
          <w:tab w:val="clear" w:pos="1021"/>
        </w:tabs>
        <w:ind w:hanging="283"/>
      </w:pPr>
      <w:r w:rsidRPr="00BE483E">
        <w:rPr>
          <w:sz w:val="20"/>
          <w:lang w:val="fr-FR"/>
        </w:rPr>
        <w:t>*</w:t>
      </w:r>
      <w:r w:rsidRPr="00BE483E">
        <w:rPr>
          <w:sz w:val="20"/>
          <w:lang w:val="fr-FR"/>
        </w:rPr>
        <w:tab/>
      </w:r>
      <w:r w:rsidRPr="00BE483E">
        <w:rPr>
          <w:spacing w:val="-3"/>
          <w:lang w:val="fr-FR"/>
        </w:rPr>
        <w:t>Conformément au programme de travail du Comité des transports intérieurs pour la période 2014-2018</w:t>
      </w:r>
      <w:r>
        <w:rPr>
          <w:lang w:val="fr-FR"/>
        </w:rPr>
        <w:t xml:space="preserve"> (ECE/TRANS/240, par.</w:t>
      </w:r>
      <w:r w:rsidR="00487390">
        <w:rPr>
          <w:lang w:val="fr-FR"/>
        </w:rPr>
        <w:t> </w:t>
      </w:r>
      <w:r>
        <w:rPr>
          <w:lang w:val="fr-FR"/>
        </w:rPr>
        <w:t>105, et ECE/TRANS/2014/26, activité 02.4), le Forum mondial a pour mission d’élaborer, d’harmoniser et de mettre à jour les Règlements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E89" w:rsidRPr="00E44E89" w:rsidRDefault="00A46418">
    <w:pPr>
      <w:pStyle w:val="Header"/>
    </w:pPr>
    <w:r>
      <w:fldChar w:fldCharType="begin"/>
    </w:r>
    <w:r>
      <w:instrText xml:space="preserve"> TITLE  \* MERGEFORMAT </w:instrText>
    </w:r>
    <w:r>
      <w:fldChar w:fldCharType="separate"/>
    </w:r>
    <w:r w:rsidR="00D33EFF">
      <w:t>ECE/TRANS/WP.29/GRE/2018/23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E89" w:rsidRPr="00E44E89" w:rsidRDefault="00A46418" w:rsidP="00E44E89">
    <w:pPr>
      <w:pStyle w:val="Header"/>
      <w:jc w:val="right"/>
    </w:pPr>
    <w:r>
      <w:fldChar w:fldCharType="begin"/>
    </w:r>
    <w:r>
      <w:instrText xml:space="preserve"> TITLE  \* MERGEFORMAT </w:instrText>
    </w:r>
    <w:r>
      <w:fldChar w:fldCharType="separate"/>
    </w:r>
    <w:r w:rsidR="00D33EFF">
      <w:t>ECE/TRANS/WP.29/GRE/2018/23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31"/>
    <w:rsid w:val="00017F94"/>
    <w:rsid w:val="00023842"/>
    <w:rsid w:val="000334F9"/>
    <w:rsid w:val="00045FEB"/>
    <w:rsid w:val="000740B2"/>
    <w:rsid w:val="0007796D"/>
    <w:rsid w:val="000B7790"/>
    <w:rsid w:val="000C0DC7"/>
    <w:rsid w:val="00111F2F"/>
    <w:rsid w:val="001342DF"/>
    <w:rsid w:val="0014365E"/>
    <w:rsid w:val="00143C66"/>
    <w:rsid w:val="00170EEF"/>
    <w:rsid w:val="00176178"/>
    <w:rsid w:val="001F525A"/>
    <w:rsid w:val="00223272"/>
    <w:rsid w:val="0024779E"/>
    <w:rsid w:val="00257168"/>
    <w:rsid w:val="002744B8"/>
    <w:rsid w:val="002832AC"/>
    <w:rsid w:val="002D7C93"/>
    <w:rsid w:val="00305801"/>
    <w:rsid w:val="0032065E"/>
    <w:rsid w:val="003916DE"/>
    <w:rsid w:val="00417931"/>
    <w:rsid w:val="00441C3B"/>
    <w:rsid w:val="00446FE5"/>
    <w:rsid w:val="00452396"/>
    <w:rsid w:val="004837D8"/>
    <w:rsid w:val="00487390"/>
    <w:rsid w:val="004E468C"/>
    <w:rsid w:val="0051372A"/>
    <w:rsid w:val="005505B7"/>
    <w:rsid w:val="00573BE5"/>
    <w:rsid w:val="00586ED3"/>
    <w:rsid w:val="00596AA9"/>
    <w:rsid w:val="005A22FF"/>
    <w:rsid w:val="00641E6A"/>
    <w:rsid w:val="00713BCF"/>
    <w:rsid w:val="0071601D"/>
    <w:rsid w:val="007A62E6"/>
    <w:rsid w:val="007F20FA"/>
    <w:rsid w:val="0080684C"/>
    <w:rsid w:val="008478A5"/>
    <w:rsid w:val="00871C75"/>
    <w:rsid w:val="008776DC"/>
    <w:rsid w:val="009446C0"/>
    <w:rsid w:val="009705C8"/>
    <w:rsid w:val="009C1CF4"/>
    <w:rsid w:val="009F6B74"/>
    <w:rsid w:val="00A30353"/>
    <w:rsid w:val="00A31486"/>
    <w:rsid w:val="00A46418"/>
    <w:rsid w:val="00AA492F"/>
    <w:rsid w:val="00AC3823"/>
    <w:rsid w:val="00AE323C"/>
    <w:rsid w:val="00AE7CBF"/>
    <w:rsid w:val="00AF0CB5"/>
    <w:rsid w:val="00B00181"/>
    <w:rsid w:val="00B00B0D"/>
    <w:rsid w:val="00B765F7"/>
    <w:rsid w:val="00BA0CA9"/>
    <w:rsid w:val="00BE483E"/>
    <w:rsid w:val="00C02897"/>
    <w:rsid w:val="00C97039"/>
    <w:rsid w:val="00D33EFF"/>
    <w:rsid w:val="00D3439C"/>
    <w:rsid w:val="00DB1831"/>
    <w:rsid w:val="00DD3BFD"/>
    <w:rsid w:val="00DD5E6F"/>
    <w:rsid w:val="00DF6678"/>
    <w:rsid w:val="00E0299A"/>
    <w:rsid w:val="00E44E89"/>
    <w:rsid w:val="00E85C74"/>
    <w:rsid w:val="00EA6547"/>
    <w:rsid w:val="00EF2E22"/>
    <w:rsid w:val="00F35BAF"/>
    <w:rsid w:val="00F660DF"/>
    <w:rsid w:val="00F94664"/>
    <w:rsid w:val="00F9573C"/>
    <w:rsid w:val="00F95C08"/>
    <w:rsid w:val="00FB09D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DF6E07-A75F-4513-BF36-2F3ACE96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uiPriority w:val="99"/>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PP"/>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PP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uiPriority w:val="99"/>
    <w:rsid w:val="00DD5E6F"/>
    <w:rPr>
      <w:rFonts w:ascii="Times New Roman" w:eastAsiaTheme="minorHAnsi" w:hAnsi="Times New Roman" w:cs="Times New Roman"/>
      <w:sz w:val="20"/>
      <w:szCs w:val="20"/>
      <w:lang w:eastAsia="en-US"/>
    </w:rPr>
  </w:style>
  <w:style w:type="character" w:customStyle="1" w:styleId="HChGChar">
    <w:name w:val="_ H _Ch_G Char"/>
    <w:link w:val="HChG"/>
    <w:rsid w:val="00DD5E6F"/>
    <w:rPr>
      <w:rFonts w:ascii="Times New Roman" w:eastAsiaTheme="minorHAnsi" w:hAnsi="Times New Roman" w:cs="Times New Roman"/>
      <w:b/>
      <w:sz w:val="28"/>
      <w:szCs w:val="20"/>
      <w:lang w:eastAsia="en-US"/>
    </w:rPr>
  </w:style>
  <w:style w:type="character" w:customStyle="1" w:styleId="H1GChar">
    <w:name w:val="_ H_1_G Char"/>
    <w:link w:val="H1G"/>
    <w:rsid w:val="00DD5E6F"/>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5284</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ECE/TRANS/WP.29/GRE/2018/23</vt:lpstr>
      <vt:lpstr>ECE/TRANS/WP.29/GRE/2018/23</vt:lpstr>
    </vt:vector>
  </TitlesOfParts>
  <Company>DCM</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ECE/TRANS/WP.29/GRE/2018/23</dc:title>
  <dc:subject/>
  <dc:creator>Corinne ROBERT</dc:creator>
  <cp:keywords/>
  <cp:lastModifiedBy>Benedicte Boudol</cp:lastModifiedBy>
  <cp:revision>2</cp:revision>
  <cp:lastPrinted>2018-02-26T11:17:00Z</cp:lastPrinted>
  <dcterms:created xsi:type="dcterms:W3CDTF">2018-02-26T13:03:00Z</dcterms:created>
  <dcterms:modified xsi:type="dcterms:W3CDTF">2018-02-26T13:03:00Z</dcterms:modified>
</cp:coreProperties>
</file>