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752D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752D3" w:rsidP="00E752D3">
            <w:pPr>
              <w:jc w:val="right"/>
            </w:pPr>
            <w:r w:rsidRPr="00E752D3">
              <w:rPr>
                <w:sz w:val="40"/>
              </w:rPr>
              <w:t>ECE</w:t>
            </w:r>
            <w:r>
              <w:t>/TRANS/WP.29/GRE/2018/19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752D3" w:rsidP="00C97039">
            <w:pPr>
              <w:spacing w:before="240"/>
            </w:pPr>
            <w:r>
              <w:t>Distr. générale</w:t>
            </w:r>
          </w:p>
          <w:p w:rsidR="00E752D3" w:rsidRDefault="00E752D3" w:rsidP="00E752D3">
            <w:pPr>
              <w:spacing w:line="240" w:lineRule="exact"/>
            </w:pPr>
            <w:r>
              <w:t>8 février 2018</w:t>
            </w:r>
          </w:p>
          <w:p w:rsidR="00E752D3" w:rsidRDefault="00E752D3" w:rsidP="00E752D3">
            <w:pPr>
              <w:spacing w:line="240" w:lineRule="exact"/>
            </w:pPr>
            <w:r>
              <w:t>Français</w:t>
            </w:r>
          </w:p>
          <w:p w:rsidR="00E752D3" w:rsidRPr="00DB58B5" w:rsidRDefault="00E752D3" w:rsidP="00E752D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752D3" w:rsidRDefault="00E752D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752D3" w:rsidRDefault="00E752D3" w:rsidP="00257168">
      <w:pPr>
        <w:spacing w:before="120" w:after="120" w:line="240" w:lineRule="exact"/>
        <w:rPr>
          <w:b/>
        </w:rPr>
      </w:pPr>
      <w:r>
        <w:rPr>
          <w:b/>
        </w:rPr>
        <w:t>Groupe de travail de l’éclairage et de la signalisation lumineuse</w:t>
      </w:r>
    </w:p>
    <w:p w:rsidR="00E752D3" w:rsidRDefault="00E752D3" w:rsidP="00257168">
      <w:pPr>
        <w:spacing w:before="120" w:line="240" w:lineRule="exact"/>
        <w:rPr>
          <w:b/>
        </w:rPr>
      </w:pPr>
      <w:r w:rsidRPr="00D47AF3">
        <w:rPr>
          <w:rFonts w:eastAsia="Times New Roman"/>
          <w:b/>
        </w:rPr>
        <w:t>Soixante-dix-neuvième</w:t>
      </w:r>
      <w:r>
        <w:rPr>
          <w:b/>
        </w:rPr>
        <w:t xml:space="preserve"> session</w:t>
      </w:r>
    </w:p>
    <w:p w:rsidR="00E752D3" w:rsidRDefault="00E752D3" w:rsidP="00257168">
      <w:pPr>
        <w:spacing w:line="240" w:lineRule="exact"/>
      </w:pPr>
      <w:r>
        <w:t xml:space="preserve">Genève, </w:t>
      </w:r>
      <w:r w:rsidRPr="00D47AF3">
        <w:rPr>
          <w:rFonts w:eastAsia="Times New Roman"/>
          <w:bCs/>
        </w:rPr>
        <w:t>24-27</w:t>
      </w:r>
      <w:r>
        <w:rPr>
          <w:rFonts w:eastAsia="Times New Roman"/>
          <w:bCs/>
        </w:rPr>
        <w:t> </w:t>
      </w:r>
      <w:r w:rsidRPr="00D47AF3">
        <w:rPr>
          <w:rFonts w:eastAsia="Times New Roman"/>
          <w:bCs/>
        </w:rPr>
        <w:t>avril 2018</w:t>
      </w:r>
    </w:p>
    <w:p w:rsidR="00E752D3" w:rsidRDefault="00E752D3" w:rsidP="00257168">
      <w:pPr>
        <w:spacing w:line="240" w:lineRule="exact"/>
      </w:pPr>
      <w:r>
        <w:t xml:space="preserve">Point </w:t>
      </w:r>
      <w:r w:rsidRPr="00D47AF3">
        <w:rPr>
          <w:rFonts w:eastAsia="MS Mincho"/>
          <w:bCs/>
        </w:rPr>
        <w:t>4 et 7 c) de l’ordre du jour provisoire</w:t>
      </w:r>
    </w:p>
    <w:p w:rsidR="00E752D3" w:rsidRPr="00D47AF3" w:rsidRDefault="00E752D3" w:rsidP="00E752D3">
      <w:pPr>
        <w:kinsoku/>
        <w:overflowPunct/>
        <w:autoSpaceDE/>
        <w:autoSpaceDN/>
        <w:adjustRightInd/>
        <w:snapToGrid/>
        <w:rPr>
          <w:rFonts w:eastAsia="Times New Roman"/>
          <w:b/>
        </w:rPr>
      </w:pPr>
      <w:r w:rsidRPr="00D47AF3">
        <w:rPr>
          <w:rFonts w:eastAsia="Times New Roman"/>
          <w:b/>
          <w:bCs/>
        </w:rPr>
        <w:t xml:space="preserve">Simplification des Règlements concernant l’éclairage </w:t>
      </w:r>
      <w:r>
        <w:rPr>
          <w:rFonts w:eastAsia="Times New Roman"/>
          <w:b/>
          <w:bCs/>
        </w:rPr>
        <w:br/>
      </w:r>
      <w:r w:rsidRPr="00D47AF3">
        <w:rPr>
          <w:rFonts w:eastAsia="Times New Roman"/>
          <w:b/>
          <w:bCs/>
        </w:rPr>
        <w:t>et la signalisation lumineuse</w:t>
      </w:r>
    </w:p>
    <w:p w:rsidR="00F9573C" w:rsidRDefault="00E752D3" w:rsidP="00E752D3">
      <w:pPr>
        <w:rPr>
          <w:rFonts w:eastAsia="MS Mincho"/>
          <w:b/>
          <w:bCs/>
        </w:rPr>
      </w:pPr>
      <w:r w:rsidRPr="00D47AF3">
        <w:rPr>
          <w:rFonts w:eastAsia="Times New Roman"/>
          <w:b/>
        </w:rPr>
        <w:t xml:space="preserve">Autres Règlements : </w:t>
      </w:r>
      <w:r w:rsidRPr="00D47AF3">
        <w:rPr>
          <w:rFonts w:eastAsia="MS Mincho"/>
          <w:b/>
          <w:bCs/>
        </w:rPr>
        <w:t>Règlement n</w:t>
      </w:r>
      <w:r w:rsidRPr="00D47AF3">
        <w:rPr>
          <w:rFonts w:eastAsia="MS Mincho"/>
          <w:b/>
          <w:bCs/>
          <w:vertAlign w:val="superscript"/>
        </w:rPr>
        <w:t>o</w:t>
      </w:r>
      <w:r w:rsidRPr="00D47AF3">
        <w:rPr>
          <w:rFonts w:eastAsia="MS Mincho"/>
          <w:b/>
          <w:bCs/>
        </w:rPr>
        <w:t xml:space="preserve"> 53 (Installation </w:t>
      </w:r>
      <w:r>
        <w:rPr>
          <w:rFonts w:eastAsia="MS Mincho"/>
          <w:b/>
          <w:bCs/>
        </w:rPr>
        <w:br/>
      </w:r>
      <w:r w:rsidRPr="00D47AF3">
        <w:rPr>
          <w:rFonts w:eastAsia="MS Mincho"/>
          <w:b/>
          <w:bCs/>
        </w:rPr>
        <w:t xml:space="preserve">des dispositifs d’éclairage et de signalisation </w:t>
      </w:r>
      <w:r>
        <w:rPr>
          <w:rFonts w:eastAsia="MS Mincho"/>
          <w:b/>
          <w:bCs/>
        </w:rPr>
        <w:br/>
      </w:r>
      <w:r w:rsidRPr="00D47AF3">
        <w:rPr>
          <w:rFonts w:eastAsia="MS Mincho"/>
          <w:b/>
          <w:bCs/>
        </w:rPr>
        <w:t>lumineuse sur les véhicules de la catégorie L</w:t>
      </w:r>
      <w:r w:rsidRPr="00D47AF3">
        <w:rPr>
          <w:rFonts w:eastAsia="MS Mincho"/>
          <w:b/>
          <w:bCs/>
          <w:vertAlign w:val="subscript"/>
        </w:rPr>
        <w:t>3</w:t>
      </w:r>
      <w:r w:rsidRPr="00D47AF3">
        <w:rPr>
          <w:rFonts w:eastAsia="MS Mincho"/>
          <w:b/>
          <w:bCs/>
        </w:rPr>
        <w:t>)</w:t>
      </w:r>
    </w:p>
    <w:p w:rsidR="00E752D3" w:rsidRPr="00D47AF3" w:rsidRDefault="00E752D3" w:rsidP="00E752D3">
      <w:pPr>
        <w:pStyle w:val="HChG"/>
      </w:pPr>
      <w:r w:rsidRPr="00D47AF3">
        <w:tab/>
      </w:r>
      <w:r w:rsidRPr="00D47AF3">
        <w:tab/>
        <w:t>Proposition de série 03 d’amendements au Règlement n</w:t>
      </w:r>
      <w:r w:rsidRPr="00D47AF3">
        <w:rPr>
          <w:vertAlign w:val="superscript"/>
        </w:rPr>
        <w:t>o</w:t>
      </w:r>
      <w:r w:rsidRPr="00D47AF3">
        <w:t xml:space="preserve"> 53 et proposition d’amendements au projet de nouveau Règlement </w:t>
      </w:r>
      <w:r>
        <w:t>relatif aux</w:t>
      </w:r>
      <w:r w:rsidRPr="00D47AF3">
        <w:t xml:space="preserve"> dispositifs de signalisation lumineuse</w:t>
      </w:r>
    </w:p>
    <w:p w:rsidR="00E752D3" w:rsidRPr="00D47AF3" w:rsidRDefault="00E752D3" w:rsidP="00E752D3">
      <w:pPr>
        <w:pStyle w:val="H1G"/>
        <w:rPr>
          <w:szCs w:val="24"/>
        </w:rPr>
      </w:pPr>
      <w:r>
        <w:tab/>
      </w:r>
      <w:r>
        <w:tab/>
      </w:r>
      <w:r w:rsidRPr="00D47AF3">
        <w:t>Communication de l’expert du Groupe d’intérêt sp</w:t>
      </w:r>
      <w:r>
        <w:t>é</w:t>
      </w:r>
      <w:r w:rsidRPr="00D47AF3">
        <w:t xml:space="preserve">cial des </w:t>
      </w:r>
      <w:r w:rsidRPr="00D47AF3">
        <w:rPr>
          <w:bCs/>
        </w:rPr>
        <w:t xml:space="preserve">feux </w:t>
      </w:r>
      <w:r>
        <w:rPr>
          <w:bCs/>
        </w:rPr>
        <w:br/>
      </w:r>
      <w:r w:rsidRPr="00D47AF3">
        <w:rPr>
          <w:bCs/>
        </w:rPr>
        <w:t xml:space="preserve">de circulation diurne des véhicules de la catégorie </w:t>
      </w:r>
      <w:r w:rsidRPr="00D47AF3">
        <w:t>L</w:t>
      </w:r>
      <w:r w:rsidRPr="00E752D3">
        <w:rPr>
          <w:rStyle w:val="FootnoteReference"/>
          <w:b w:val="0"/>
          <w:sz w:val="20"/>
          <w:vertAlign w:val="baseline"/>
        </w:rPr>
        <w:footnoteReference w:customMarkFollows="1" w:id="2"/>
        <w:t>*</w:t>
      </w:r>
    </w:p>
    <w:p w:rsidR="00E752D3" w:rsidRDefault="00E752D3" w:rsidP="00E752D3">
      <w:pPr>
        <w:pStyle w:val="SingleTxtG"/>
        <w:ind w:firstLine="567"/>
      </w:pPr>
      <w:r w:rsidRPr="00D47AF3">
        <w:t>Le texte ci-après a été établi par le Groupe d’intérêt spécial des feux de circulation diurne des véhicules de la catégorie L sur la base des documents ECE/TRANS/WP.29/</w:t>
      </w:r>
      <w:r>
        <w:t xml:space="preserve"> </w:t>
      </w:r>
      <w:r w:rsidRPr="00D47AF3">
        <w:t xml:space="preserve">GRE/2016/35 et ECE/TRANS/WP.29/GRE/2017/9. Les propositions qui s’y trouvent tiennent compte des conclusions formulées par le </w:t>
      </w:r>
      <w:r>
        <w:t>G</w:t>
      </w:r>
      <w:r w:rsidRPr="00D47AF3">
        <w:t>roupe à sa réunion spéciale du 17 mai</w:t>
      </w:r>
      <w:r>
        <w:t xml:space="preserve"> </w:t>
      </w:r>
      <w:r w:rsidRPr="00D47AF3">
        <w:t xml:space="preserve">2017 et </w:t>
      </w:r>
      <w:r>
        <w:t>s’accordent avec les</w:t>
      </w:r>
      <w:r w:rsidRPr="00D47AF3">
        <w:t xml:space="preserve"> </w:t>
      </w:r>
      <w:r>
        <w:t>opinions</w:t>
      </w:r>
      <w:r w:rsidR="00CB1105">
        <w:t xml:space="preserve"> </w:t>
      </w:r>
      <w:r>
        <w:t>exprimées lors de</w:t>
      </w:r>
      <w:r w:rsidRPr="00D47AF3">
        <w:t xml:space="preserve"> la soixante-dix-septième session du Groupe de travail de l’éclairage et de la signalisation lumineuse (GRE) concernant une nouvelle prescription</w:t>
      </w:r>
      <w:r w:rsidR="00CB1105">
        <w:t xml:space="preserve"> </w:t>
      </w:r>
      <w:r>
        <w:t xml:space="preserve">de </w:t>
      </w:r>
      <w:r w:rsidRPr="003F12CB">
        <w:t xml:space="preserve">commande </w:t>
      </w:r>
      <w:r>
        <w:t>automatique sur</w:t>
      </w:r>
      <w:r w:rsidRPr="00D47AF3">
        <w:t xml:space="preserve"> les véhicules de la catégorie L</w:t>
      </w:r>
      <w:r w:rsidRPr="00D47AF3">
        <w:rPr>
          <w:vertAlign w:val="subscript"/>
        </w:rPr>
        <w:t>3</w:t>
      </w:r>
      <w:r w:rsidR="00CB1105">
        <w:rPr>
          <w:vertAlign w:val="subscript"/>
        </w:rPr>
        <w:t xml:space="preserve"> </w:t>
      </w:r>
      <w:r>
        <w:t xml:space="preserve">ayant pour effet de faire basculer les </w:t>
      </w:r>
      <w:r w:rsidRPr="003F12CB">
        <w:t xml:space="preserve">feux de circulation diurne </w:t>
      </w:r>
      <w:r>
        <w:t xml:space="preserve">sur les </w:t>
      </w:r>
      <w:r w:rsidRPr="003F12CB">
        <w:t>projecteurs</w:t>
      </w:r>
      <w:r>
        <w:t>.</w:t>
      </w:r>
      <w:r w:rsidRPr="00D47AF3">
        <w:t xml:space="preserve"> Les modifications qu’il est proposé d’apporter au texte actuel du Règlement figur</w:t>
      </w:r>
      <w:r>
        <w:t>e</w:t>
      </w:r>
      <w:r w:rsidRPr="00D47AF3">
        <w:t>nt en caractères gras pour les ajouts et biffés pour les suppressions.</w:t>
      </w:r>
    </w:p>
    <w:p w:rsidR="00E752D3" w:rsidRPr="00D47AF3" w:rsidRDefault="00E752D3" w:rsidP="00E752D3">
      <w:pPr>
        <w:pStyle w:val="HChG"/>
      </w:pPr>
      <w:r>
        <w:br w:type="page"/>
      </w:r>
      <w:r>
        <w:lastRenderedPageBreak/>
        <w:tab/>
      </w:r>
      <w:r w:rsidRPr="00D47AF3">
        <w:t>I.</w:t>
      </w:r>
      <w:r w:rsidRPr="00D47AF3">
        <w:tab/>
        <w:t>Proposition</w:t>
      </w:r>
    </w:p>
    <w:p w:rsidR="00E752D3" w:rsidRPr="00D47AF3" w:rsidRDefault="00E752D3" w:rsidP="00E752D3">
      <w:pPr>
        <w:pStyle w:val="H1G"/>
        <w:rPr>
          <w:i/>
          <w:sz w:val="28"/>
        </w:rPr>
      </w:pPr>
      <w:r>
        <w:tab/>
        <w:t>A.</w:t>
      </w:r>
      <w:r w:rsidRPr="00D47AF3">
        <w:tab/>
        <w:t>Proposition de série 03 d’amendements au Règlement n</w:t>
      </w:r>
      <w:r w:rsidRPr="00D47AF3">
        <w:rPr>
          <w:vertAlign w:val="superscript"/>
        </w:rPr>
        <w:t>o</w:t>
      </w:r>
      <w:r w:rsidRPr="00D47AF3">
        <w:t> 53</w:t>
      </w:r>
    </w:p>
    <w:p w:rsidR="00E752D3" w:rsidRPr="00E752D3" w:rsidRDefault="00E752D3" w:rsidP="00E752D3">
      <w:pPr>
        <w:kinsoku/>
        <w:overflowPunct/>
        <w:autoSpaceDE/>
        <w:autoSpaceDN/>
        <w:adjustRightInd/>
        <w:snapToGrid/>
        <w:spacing w:after="120" w:line="240" w:lineRule="auto"/>
        <w:ind w:left="2257" w:right="1134" w:hanging="1123"/>
        <w:jc w:val="both"/>
        <w:rPr>
          <w:rFonts w:eastAsia="Times New Roman"/>
        </w:rPr>
      </w:pPr>
      <w:r w:rsidRPr="00D47AF3">
        <w:rPr>
          <w:rFonts w:eastAsia="Times New Roman"/>
          <w:i/>
          <w:iCs/>
        </w:rPr>
        <w:t xml:space="preserve">Paragraphe </w:t>
      </w:r>
      <w:r w:rsidRPr="00D47AF3">
        <w:rPr>
          <w:rFonts w:eastAsia="Times New Roman"/>
          <w:i/>
          <w:iCs/>
          <w:lang w:eastAsia="ja-JP"/>
        </w:rPr>
        <w:t>5</w:t>
      </w:r>
      <w:r w:rsidRPr="00D47AF3">
        <w:rPr>
          <w:rFonts w:eastAsia="Times New Roman"/>
          <w:i/>
          <w:iCs/>
        </w:rPr>
        <w:t>.</w:t>
      </w:r>
      <w:r w:rsidRPr="00D47AF3">
        <w:rPr>
          <w:rFonts w:eastAsia="Times New Roman"/>
          <w:i/>
          <w:iCs/>
          <w:lang w:eastAsia="ja-JP"/>
        </w:rPr>
        <w:t>11</w:t>
      </w:r>
      <w:r w:rsidRPr="00D47AF3">
        <w:rPr>
          <w:rFonts w:eastAsia="Times New Roman"/>
          <w:i/>
          <w:iCs/>
        </w:rPr>
        <w:t>.</w:t>
      </w:r>
      <w:r w:rsidRPr="00D47AF3">
        <w:rPr>
          <w:rFonts w:eastAsia="Times New Roman"/>
          <w:i/>
          <w:iCs/>
          <w:lang w:eastAsia="ja-JP"/>
        </w:rPr>
        <w:t>1</w:t>
      </w:r>
      <w:r w:rsidRPr="00D47AF3">
        <w:rPr>
          <w:rFonts w:eastAsia="Times New Roman"/>
        </w:rPr>
        <w:t>,</w:t>
      </w:r>
      <w:r w:rsidRPr="00D47AF3">
        <w:rPr>
          <w:rFonts w:eastAsia="Times New Roman"/>
          <w:i/>
        </w:rPr>
        <w:t xml:space="preserve"> </w:t>
      </w:r>
      <w:r w:rsidRPr="00D47AF3">
        <w:rPr>
          <w:rFonts w:eastAsia="Times New Roman"/>
        </w:rPr>
        <w:t>modifier comme suit</w:t>
      </w:r>
      <w:r>
        <w:rPr>
          <w:rFonts w:eastAsia="Times New Roman"/>
        </w:rPr>
        <w:t> </w:t>
      </w:r>
      <w:r w:rsidRPr="00D47AF3">
        <w:rPr>
          <w:rFonts w:eastAsia="Times New Roman"/>
        </w:rPr>
        <w:t>:</w:t>
      </w:r>
    </w:p>
    <w:p w:rsidR="00E752D3" w:rsidRPr="00D47AF3" w:rsidRDefault="00E752D3" w:rsidP="00E752D3">
      <w:pPr>
        <w:pStyle w:val="SingleTxtG"/>
        <w:ind w:left="2268" w:hanging="1134"/>
        <w:rPr>
          <w:rFonts w:eastAsia="Times New Roman"/>
        </w:rPr>
      </w:pPr>
      <w:r>
        <w:t>« </w:t>
      </w:r>
      <w:r w:rsidRPr="00D47AF3">
        <w:t>5.11.1</w:t>
      </w:r>
      <w:r w:rsidRPr="00D47AF3">
        <w:rPr>
          <w:b/>
        </w:rPr>
        <w:tab/>
      </w:r>
      <w:r w:rsidRPr="00DB0A8B">
        <w:t>Sur les véhicules qui en sont équipés, le feu de circulation diurne doit s’allumer automatiquement lorsque le moteur tourne. Si le feu de croisement est allumé, le feu de circulation diurne ne doit pas s’allumer lorsque le moteur tourne</w:t>
      </w:r>
      <w:r w:rsidRPr="00D47AF3">
        <w:t>.</w:t>
      </w:r>
    </w:p>
    <w:p w:rsidR="00E752D3" w:rsidRPr="00D47AF3" w:rsidRDefault="00E752D3" w:rsidP="00E752D3">
      <w:pPr>
        <w:kinsoku/>
        <w:overflowPunct/>
        <w:autoSpaceDE/>
        <w:autoSpaceDN/>
        <w:adjustRightInd/>
        <w:snapToGrid/>
        <w:spacing w:after="120"/>
        <w:ind w:left="2268" w:right="1134"/>
        <w:jc w:val="both"/>
        <w:rPr>
          <w:rFonts w:eastAsia="Times New Roman"/>
          <w:strike/>
        </w:rPr>
      </w:pPr>
      <w:r w:rsidRPr="00D47AF3">
        <w:rPr>
          <w:rFonts w:eastAsia="Times New Roman"/>
        </w:rPr>
        <w:tab/>
      </w:r>
      <w:r w:rsidRPr="00DB0A8B">
        <w:rPr>
          <w:rFonts w:eastAsia="Times New Roman"/>
          <w:strike/>
        </w:rPr>
        <w:t>Sur les véhicules qui ne sont pas équipés d’un tel feu, c’est le feu de croisement qui doit s’allumer automatiquement lorsque le moteur tourne</w:t>
      </w:r>
      <w:r w:rsidRPr="00D47AF3">
        <w:rPr>
          <w:rFonts w:eastAsia="Times New Roman"/>
          <w:strike/>
        </w:rPr>
        <w:t>.</w:t>
      </w:r>
    </w:p>
    <w:p w:rsidR="00E752D3" w:rsidRPr="009F7C60" w:rsidRDefault="00E752D3" w:rsidP="00E752D3">
      <w:pPr>
        <w:pStyle w:val="SingleTxtG"/>
        <w:ind w:left="2268" w:hanging="1134"/>
        <w:rPr>
          <w:rFonts w:eastAsia="Times New Roman"/>
          <w:b/>
        </w:rPr>
      </w:pPr>
      <w:r w:rsidRPr="00D47AF3">
        <w:rPr>
          <w:rFonts w:eastAsia="Times New Roman"/>
          <w:b/>
        </w:rPr>
        <w:t>5.11.1.1</w:t>
      </w:r>
      <w:r w:rsidRPr="00D47AF3">
        <w:rPr>
          <w:rFonts w:eastAsia="Times New Roman"/>
          <w:b/>
        </w:rPr>
        <w:tab/>
      </w:r>
      <w:r>
        <w:rPr>
          <w:rFonts w:eastAsia="Times New Roman"/>
          <w:b/>
        </w:rPr>
        <w:t>Lorsque</w:t>
      </w:r>
      <w:r w:rsidRPr="009F7C60">
        <w:rPr>
          <w:rFonts w:eastAsia="Times New Roman"/>
          <w:b/>
          <w:lang w:eastAsia="ja-JP"/>
        </w:rPr>
        <w:t xml:space="preserve"> le véhicule</w:t>
      </w:r>
      <w:r w:rsidRPr="009F7C60">
        <w:rPr>
          <w:rFonts w:eastAsia="Times New Roman"/>
          <w:b/>
        </w:rPr>
        <w:t xml:space="preserve"> </w:t>
      </w:r>
      <w:r>
        <w:rPr>
          <w:rFonts w:eastAsia="Times New Roman"/>
          <w:b/>
        </w:rPr>
        <w:t xml:space="preserve">est équipé </w:t>
      </w:r>
      <w:r w:rsidRPr="009F7C60">
        <w:rPr>
          <w:rFonts w:eastAsia="Times New Roman"/>
          <w:b/>
        </w:rPr>
        <w:t>de feux de circulation diurne de la catégorie RL, les projecteurs [(faisceaux de croisement)] doi</w:t>
      </w:r>
      <w:r>
        <w:rPr>
          <w:rFonts w:eastAsia="Times New Roman"/>
          <w:b/>
        </w:rPr>
        <w:t>ven</w:t>
      </w:r>
      <w:r w:rsidRPr="009F7C60">
        <w:rPr>
          <w:rFonts w:eastAsia="Times New Roman"/>
          <w:b/>
        </w:rPr>
        <w:t>t s’allumer et s’éteindre automatiquement en fonction de la luminosité ambiante (il</w:t>
      </w:r>
      <w:r>
        <w:rPr>
          <w:rFonts w:eastAsia="Times New Roman"/>
          <w:b/>
        </w:rPr>
        <w:t>s</w:t>
      </w:r>
      <w:r w:rsidRPr="009F7C60">
        <w:rPr>
          <w:rFonts w:eastAsia="Times New Roman"/>
          <w:b/>
        </w:rPr>
        <w:t xml:space="preserve"> doi</w:t>
      </w:r>
      <w:r>
        <w:rPr>
          <w:rFonts w:eastAsia="Times New Roman"/>
          <w:b/>
        </w:rPr>
        <w:t>ven</w:t>
      </w:r>
      <w:r w:rsidRPr="009F7C60">
        <w:rPr>
          <w:rFonts w:eastAsia="Times New Roman"/>
          <w:b/>
        </w:rPr>
        <w:t>t par exemple s’allumer la nuit, dans les tunnels, etc.) conformément aux prescriptions de l’annexe 7.</w:t>
      </w:r>
    </w:p>
    <w:p w:rsidR="00E752D3" w:rsidRPr="00D47AF3" w:rsidRDefault="00E752D3" w:rsidP="00E752D3">
      <w:pPr>
        <w:pStyle w:val="SingleTxtG"/>
        <w:ind w:left="2268" w:hanging="1134"/>
        <w:rPr>
          <w:rFonts w:eastAsia="Times New Roman"/>
          <w:b/>
        </w:rPr>
      </w:pPr>
      <w:r w:rsidRPr="009F7C60">
        <w:rPr>
          <w:rFonts w:eastAsia="Times New Roman"/>
          <w:b/>
        </w:rPr>
        <w:t>5.11.1.2</w:t>
      </w:r>
      <w:r w:rsidRPr="009F7C60">
        <w:rPr>
          <w:rFonts w:eastAsia="Times New Roman"/>
          <w:b/>
        </w:rPr>
        <w:tab/>
      </w:r>
      <w:r>
        <w:rPr>
          <w:rFonts w:eastAsia="Times New Roman"/>
          <w:b/>
        </w:rPr>
        <w:t>Lorsque</w:t>
      </w:r>
      <w:r w:rsidRPr="009F7C60">
        <w:rPr>
          <w:rFonts w:eastAsia="Times New Roman"/>
          <w:b/>
          <w:lang w:eastAsia="ja-JP"/>
        </w:rPr>
        <w:t xml:space="preserve"> le véhicule</w:t>
      </w:r>
      <w:r w:rsidRPr="009F7C60">
        <w:rPr>
          <w:rFonts w:eastAsia="Times New Roman"/>
          <w:b/>
        </w:rPr>
        <w:t xml:space="preserve"> </w:t>
      </w:r>
      <w:r>
        <w:rPr>
          <w:rFonts w:eastAsia="Times New Roman"/>
          <w:b/>
        </w:rPr>
        <w:t xml:space="preserve">est équipé </w:t>
      </w:r>
      <w:r w:rsidRPr="009F7C60">
        <w:rPr>
          <w:rFonts w:eastAsia="Times New Roman"/>
          <w:b/>
        </w:rPr>
        <w:t>de feux de circulation diurne de la catégorie MRL</w:t>
      </w:r>
      <w:r w:rsidRPr="00D47AF3">
        <w:rPr>
          <w:rFonts w:eastAsia="Times New Roman"/>
          <w:b/>
        </w:rPr>
        <w:t xml:space="preserve">, </w:t>
      </w:r>
      <w:r>
        <w:rPr>
          <w:rFonts w:eastAsia="Times New Roman"/>
          <w:b/>
        </w:rPr>
        <w:t>l’allumage ou l’extinction des projecteurs</w:t>
      </w:r>
      <w:r w:rsidRPr="00D47AF3">
        <w:rPr>
          <w:rFonts w:eastAsia="Times New Roman"/>
          <w:b/>
        </w:rPr>
        <w:t xml:space="preserve"> [(</w:t>
      </w:r>
      <w:r>
        <w:rPr>
          <w:rFonts w:eastAsia="Times New Roman"/>
          <w:b/>
        </w:rPr>
        <w:t>faisceaux de croisement</w:t>
      </w:r>
      <w:r w:rsidRPr="00D47AF3">
        <w:rPr>
          <w:rFonts w:eastAsia="Times New Roman"/>
          <w:b/>
        </w:rPr>
        <w:t xml:space="preserve">)] </w:t>
      </w:r>
      <w:r>
        <w:rPr>
          <w:rFonts w:eastAsia="Times New Roman"/>
          <w:b/>
        </w:rPr>
        <w:t>peut être à commande manuelle ou automatique</w:t>
      </w:r>
      <w:r w:rsidRPr="00D47AF3">
        <w:rPr>
          <w:rFonts w:eastAsia="Times New Roman"/>
          <w:b/>
        </w:rPr>
        <w:t xml:space="preserve">. </w:t>
      </w:r>
      <w:r>
        <w:rPr>
          <w:rFonts w:eastAsia="Times New Roman"/>
          <w:b/>
        </w:rPr>
        <w:t>Dans ce dernier cas</w:t>
      </w:r>
      <w:r w:rsidRPr="00D47AF3">
        <w:rPr>
          <w:rFonts w:eastAsia="Times New Roman"/>
          <w:b/>
        </w:rPr>
        <w:t xml:space="preserve">, </w:t>
      </w:r>
      <w:r>
        <w:rPr>
          <w:rFonts w:eastAsia="Times New Roman"/>
          <w:b/>
        </w:rPr>
        <w:t xml:space="preserve">les </w:t>
      </w:r>
      <w:r w:rsidRPr="00D47AF3">
        <w:rPr>
          <w:rFonts w:eastAsia="Times New Roman"/>
          <w:b/>
        </w:rPr>
        <w:t xml:space="preserve">conditions </w:t>
      </w:r>
      <w:r>
        <w:rPr>
          <w:rFonts w:eastAsia="Times New Roman"/>
          <w:b/>
        </w:rPr>
        <w:t>énoncées au paragraphe </w:t>
      </w:r>
      <w:r w:rsidRPr="00D47AF3">
        <w:rPr>
          <w:rFonts w:eastAsia="Times New Roman"/>
          <w:b/>
        </w:rPr>
        <w:t xml:space="preserve">5.11.1.1 </w:t>
      </w:r>
      <w:r>
        <w:rPr>
          <w:rFonts w:eastAsia="Times New Roman"/>
          <w:b/>
        </w:rPr>
        <w:t>doivent être satisfaites</w:t>
      </w:r>
      <w:r w:rsidRPr="00D47AF3">
        <w:rPr>
          <w:rFonts w:eastAsia="Times New Roman"/>
          <w:b/>
        </w:rPr>
        <w:t>.</w:t>
      </w:r>
      <w:r>
        <w:rPr>
          <w:rFonts w:eastAsia="MS PMincho"/>
        </w:rPr>
        <w:t> ».</w:t>
      </w:r>
    </w:p>
    <w:p w:rsidR="00E752D3" w:rsidRPr="00D47AF3" w:rsidRDefault="00E752D3" w:rsidP="00E752D3">
      <w:pPr>
        <w:kinsoku/>
        <w:overflowPunct/>
        <w:autoSpaceDE/>
        <w:autoSpaceDN/>
        <w:adjustRightInd/>
        <w:snapToGrid/>
        <w:spacing w:after="120"/>
        <w:ind w:left="2127" w:right="1134" w:hanging="993"/>
        <w:jc w:val="both"/>
        <w:rPr>
          <w:rFonts w:eastAsia="MS PMincho"/>
        </w:rPr>
      </w:pPr>
      <w:r>
        <w:rPr>
          <w:rFonts w:eastAsia="MS PMincho"/>
          <w:i/>
          <w:iCs/>
        </w:rPr>
        <w:t>Ajouter un nouveau</w:t>
      </w:r>
      <w:r w:rsidRPr="00D47AF3">
        <w:rPr>
          <w:rFonts w:eastAsia="MS PMincho"/>
          <w:i/>
          <w:iCs/>
        </w:rPr>
        <w:t xml:space="preserve"> paragraph</w:t>
      </w:r>
      <w:r>
        <w:rPr>
          <w:rFonts w:eastAsia="MS PMincho"/>
          <w:i/>
          <w:iCs/>
        </w:rPr>
        <w:t>e</w:t>
      </w:r>
      <w:r w:rsidRPr="00D47AF3">
        <w:rPr>
          <w:rFonts w:eastAsia="MS PMincho"/>
          <w:i/>
          <w:iCs/>
        </w:rPr>
        <w:t xml:space="preserve"> 5.11.2</w:t>
      </w:r>
      <w:r w:rsidRPr="000D55F1">
        <w:rPr>
          <w:rFonts w:eastAsia="MS PMincho"/>
        </w:rPr>
        <w:t>,</w:t>
      </w:r>
      <w:r w:rsidRPr="00D47AF3">
        <w:rPr>
          <w:rFonts w:eastAsia="MS PMincho"/>
        </w:rPr>
        <w:t xml:space="preserve"> </w:t>
      </w:r>
      <w:r>
        <w:rPr>
          <w:rFonts w:eastAsia="MS PMincho"/>
        </w:rPr>
        <w:t>libellé comme suit </w:t>
      </w:r>
      <w:r w:rsidRPr="00D47AF3">
        <w:rPr>
          <w:rFonts w:eastAsia="MS PMincho"/>
        </w:rPr>
        <w:t>:</w:t>
      </w:r>
    </w:p>
    <w:p w:rsidR="00E752D3" w:rsidRPr="00D47AF3" w:rsidRDefault="00E752D3" w:rsidP="00E752D3">
      <w:pPr>
        <w:pStyle w:val="SingleTxtG"/>
        <w:ind w:left="2268" w:hanging="1134"/>
        <w:rPr>
          <w:rFonts w:eastAsia="MS PMincho"/>
        </w:rPr>
      </w:pPr>
      <w:r w:rsidRPr="00E752D3">
        <w:rPr>
          <w:rFonts w:eastAsia="MS PMincho"/>
        </w:rPr>
        <w:t>« </w:t>
      </w:r>
      <w:r w:rsidRPr="00D47AF3">
        <w:rPr>
          <w:rFonts w:eastAsia="MS PMincho"/>
          <w:b/>
        </w:rPr>
        <w:t>5.11.2</w:t>
      </w:r>
      <w:r w:rsidRPr="00D47AF3">
        <w:rPr>
          <w:rFonts w:eastAsia="MS PMincho"/>
        </w:rPr>
        <w:tab/>
      </w:r>
      <w:r w:rsidRPr="00280733">
        <w:rPr>
          <w:rFonts w:eastAsia="MS PMincho"/>
          <w:b/>
        </w:rPr>
        <w:t>Sur les véhicules qui ne sont pas équipés d’un tel feu</w:t>
      </w:r>
      <w:r w:rsidRPr="00D47AF3">
        <w:rPr>
          <w:rFonts w:eastAsia="MS PMincho"/>
          <w:b/>
        </w:rPr>
        <w:t xml:space="preserve">, </w:t>
      </w:r>
      <w:r w:rsidRPr="00531C88">
        <w:rPr>
          <w:rFonts w:eastAsia="MS PMincho"/>
          <w:b/>
        </w:rPr>
        <w:t>le</w:t>
      </w:r>
      <w:r>
        <w:rPr>
          <w:rFonts w:eastAsia="MS PMincho"/>
          <w:b/>
        </w:rPr>
        <w:t>s</w:t>
      </w:r>
      <w:r w:rsidRPr="00531C88">
        <w:rPr>
          <w:rFonts w:eastAsia="MS PMincho"/>
          <w:b/>
        </w:rPr>
        <w:t xml:space="preserve"> projecteur</w:t>
      </w:r>
      <w:r>
        <w:rPr>
          <w:rFonts w:eastAsia="MS PMincho"/>
          <w:b/>
        </w:rPr>
        <w:t>s</w:t>
      </w:r>
      <w:r w:rsidRPr="00531C88">
        <w:rPr>
          <w:rFonts w:eastAsia="MS PMincho"/>
          <w:b/>
        </w:rPr>
        <w:t xml:space="preserve"> [(</w:t>
      </w:r>
      <w:r>
        <w:rPr>
          <w:rFonts w:eastAsia="MS PMincho"/>
          <w:b/>
        </w:rPr>
        <w:t>faisceaux</w:t>
      </w:r>
      <w:r w:rsidRPr="00531C88">
        <w:rPr>
          <w:rFonts w:eastAsia="MS PMincho"/>
          <w:b/>
        </w:rPr>
        <w:t xml:space="preserve"> de croisement)] </w:t>
      </w:r>
      <w:r>
        <w:rPr>
          <w:rFonts w:eastAsia="MS PMincho"/>
          <w:b/>
        </w:rPr>
        <w:t>doivent s’allumer automatiquement lorsque le moteur tourne.</w:t>
      </w:r>
      <w:r w:rsidRPr="00EB20E6">
        <w:rPr>
          <w:rFonts w:eastAsia="MS PMincho"/>
        </w:rPr>
        <w:t> ».</w:t>
      </w:r>
    </w:p>
    <w:p w:rsidR="00E752D3" w:rsidRPr="00E752D3" w:rsidRDefault="00E752D3" w:rsidP="00E752D3">
      <w:pPr>
        <w:kinsoku/>
        <w:overflowPunct/>
        <w:autoSpaceDE/>
        <w:autoSpaceDN/>
        <w:adjustRightInd/>
        <w:snapToGrid/>
        <w:spacing w:after="120"/>
        <w:ind w:left="2268" w:right="1134" w:hanging="1134"/>
        <w:jc w:val="both"/>
      </w:pPr>
      <w:r>
        <w:rPr>
          <w:rFonts w:eastAsia="Times New Roman"/>
          <w:i/>
          <w:iCs/>
          <w:lang w:eastAsia="ja-JP"/>
        </w:rPr>
        <w:t>Ajouter de nouveaux</w:t>
      </w:r>
      <w:r w:rsidRPr="00D47AF3">
        <w:rPr>
          <w:rFonts w:eastAsia="Times New Roman"/>
          <w:i/>
          <w:iCs/>
          <w:lang w:eastAsia="ja-JP"/>
        </w:rPr>
        <w:t xml:space="preserve"> paragraph</w:t>
      </w:r>
      <w:r>
        <w:rPr>
          <w:rFonts w:eastAsia="Times New Roman"/>
          <w:i/>
          <w:iCs/>
          <w:lang w:eastAsia="ja-JP"/>
        </w:rPr>
        <w:t>e</w:t>
      </w:r>
      <w:r w:rsidRPr="00D47AF3">
        <w:rPr>
          <w:rFonts w:eastAsia="Times New Roman"/>
          <w:i/>
          <w:iCs/>
          <w:lang w:eastAsia="ja-JP"/>
        </w:rPr>
        <w:t xml:space="preserve">s 11.7 </w:t>
      </w:r>
      <w:r>
        <w:rPr>
          <w:rFonts w:eastAsia="Times New Roman"/>
          <w:i/>
          <w:iCs/>
          <w:lang w:eastAsia="ja-JP"/>
        </w:rPr>
        <w:t xml:space="preserve">à </w:t>
      </w:r>
      <w:r w:rsidRPr="00D47AF3">
        <w:rPr>
          <w:rFonts w:eastAsia="Times New Roman"/>
          <w:i/>
          <w:iCs/>
          <w:lang w:eastAsia="ja-JP"/>
        </w:rPr>
        <w:t>11.11</w:t>
      </w:r>
      <w:r w:rsidRPr="000D55F1">
        <w:rPr>
          <w:rFonts w:eastAsia="Times New Roman"/>
          <w:lang w:eastAsia="ja-JP"/>
        </w:rPr>
        <w:t>,</w:t>
      </w:r>
      <w:r w:rsidRPr="00D47AF3">
        <w:rPr>
          <w:rFonts w:eastAsia="Times New Roman"/>
          <w:i/>
          <w:lang w:eastAsia="ja-JP"/>
        </w:rPr>
        <w:t xml:space="preserve"> </w:t>
      </w:r>
      <w:r w:rsidRPr="000D55F1">
        <w:rPr>
          <w:rFonts w:eastAsia="Times New Roman"/>
          <w:lang w:eastAsia="ja-JP"/>
        </w:rPr>
        <w:t>libellé</w:t>
      </w:r>
      <w:r>
        <w:rPr>
          <w:rFonts w:eastAsia="Times New Roman"/>
          <w:lang w:eastAsia="ja-JP"/>
        </w:rPr>
        <w:t>s</w:t>
      </w:r>
      <w:r w:rsidRPr="000D55F1">
        <w:rPr>
          <w:rFonts w:eastAsia="Times New Roman"/>
          <w:lang w:eastAsia="ja-JP"/>
        </w:rPr>
        <w:t xml:space="preserve"> comme suit</w:t>
      </w:r>
      <w:r>
        <w:rPr>
          <w:rFonts w:eastAsia="Times New Roman"/>
          <w:lang w:eastAsia="ja-JP"/>
        </w:rPr>
        <w:t> </w:t>
      </w:r>
      <w:r w:rsidRPr="00D47AF3">
        <w:rPr>
          <w:rFonts w:eastAsia="Times New Roman"/>
          <w:lang w:eastAsia="ja-JP"/>
        </w:rPr>
        <w:t>:</w:t>
      </w:r>
    </w:p>
    <w:p w:rsidR="00E752D3" w:rsidRPr="00D47AF3" w:rsidRDefault="00E752D3" w:rsidP="00E752D3">
      <w:pPr>
        <w:pStyle w:val="SingleTxtG"/>
        <w:ind w:left="2268" w:hanging="1134"/>
        <w:rPr>
          <w:rFonts w:eastAsia="Times New Roman"/>
          <w:b/>
        </w:rPr>
      </w:pPr>
      <w:r w:rsidRPr="00E752D3">
        <w:rPr>
          <w:rFonts w:eastAsia="MS PMincho"/>
        </w:rPr>
        <w:t>« </w:t>
      </w:r>
      <w:r w:rsidRPr="00D47AF3">
        <w:rPr>
          <w:rFonts w:eastAsia="MS PMincho"/>
          <w:b/>
        </w:rPr>
        <w:t>11.</w:t>
      </w:r>
      <w:r w:rsidRPr="00D47AF3">
        <w:rPr>
          <w:rFonts w:eastAsia="MS PMincho" w:hAnsi="MS PMincho"/>
          <w:b/>
        </w:rPr>
        <w:t>7</w:t>
      </w:r>
      <w:r w:rsidRPr="00D47AF3">
        <w:rPr>
          <w:rFonts w:ascii="MS PMincho" w:eastAsia="MS PMincho" w:hAnsi="MS PMincho"/>
          <w:b/>
        </w:rPr>
        <w:tab/>
      </w:r>
      <w:r w:rsidRPr="00280733">
        <w:rPr>
          <w:rFonts w:eastAsia="Times New Roman"/>
          <w:b/>
        </w:rPr>
        <w:t xml:space="preserve">À compter de la date officielle d’entrée en vigueur de la série </w:t>
      </w:r>
      <w:r w:rsidRPr="00D47AF3">
        <w:rPr>
          <w:rFonts w:eastAsia="Times New Roman"/>
          <w:b/>
        </w:rPr>
        <w:t xml:space="preserve">03 </w:t>
      </w:r>
      <w:r>
        <w:rPr>
          <w:rFonts w:eastAsia="Times New Roman"/>
          <w:b/>
        </w:rPr>
        <w:t>d’</w:t>
      </w:r>
      <w:r w:rsidRPr="00D47AF3">
        <w:rPr>
          <w:rFonts w:eastAsia="Times New Roman"/>
          <w:b/>
        </w:rPr>
        <w:t>amend</w:t>
      </w:r>
      <w:r>
        <w:rPr>
          <w:rFonts w:eastAsia="Times New Roman"/>
          <w:b/>
        </w:rPr>
        <w:t>e</w:t>
      </w:r>
      <w:r w:rsidRPr="00D47AF3">
        <w:rPr>
          <w:rFonts w:eastAsia="Times New Roman"/>
          <w:b/>
        </w:rPr>
        <w:t xml:space="preserve">ments, </w:t>
      </w:r>
      <w:r w:rsidRPr="00280733">
        <w:rPr>
          <w:rFonts w:eastAsia="Times New Roman"/>
          <w:b/>
        </w:rPr>
        <w:t xml:space="preserve">aucune Partie contractante appliquant le présent Règlement ne pourra refuser d’accorder ou d’accepter une homologation de type en vertu </w:t>
      </w:r>
      <w:r>
        <w:rPr>
          <w:rFonts w:eastAsia="Times New Roman"/>
          <w:b/>
        </w:rPr>
        <w:t>de ce</w:t>
      </w:r>
      <w:r w:rsidRPr="00280733">
        <w:rPr>
          <w:rFonts w:eastAsia="Times New Roman"/>
          <w:b/>
        </w:rPr>
        <w:t xml:space="preserve"> Règlement tel que modifié par la série </w:t>
      </w:r>
      <w:r w:rsidRPr="00D47AF3">
        <w:rPr>
          <w:rFonts w:eastAsia="Times New Roman"/>
          <w:b/>
        </w:rPr>
        <w:t xml:space="preserve">03 </w:t>
      </w:r>
      <w:r>
        <w:rPr>
          <w:rFonts w:eastAsia="Times New Roman"/>
          <w:b/>
        </w:rPr>
        <w:t>d’</w:t>
      </w:r>
      <w:r w:rsidRPr="00D47AF3">
        <w:rPr>
          <w:rFonts w:eastAsia="Times New Roman"/>
          <w:b/>
        </w:rPr>
        <w:t>amend</w:t>
      </w:r>
      <w:r>
        <w:rPr>
          <w:rFonts w:eastAsia="Times New Roman"/>
          <w:b/>
        </w:rPr>
        <w:t>e</w:t>
      </w:r>
      <w:r w:rsidRPr="00D47AF3">
        <w:rPr>
          <w:rFonts w:eastAsia="Times New Roman"/>
          <w:b/>
        </w:rPr>
        <w:t>ments.</w:t>
      </w:r>
    </w:p>
    <w:p w:rsidR="00E752D3" w:rsidRPr="00D47AF3" w:rsidRDefault="00E752D3" w:rsidP="00E752D3">
      <w:pPr>
        <w:pStyle w:val="SingleTxtG"/>
        <w:ind w:left="2268" w:hanging="1134"/>
        <w:rPr>
          <w:rFonts w:eastAsia="Times New Roman"/>
          <w:b/>
          <w:lang w:eastAsia="ja-JP"/>
        </w:rPr>
      </w:pPr>
      <w:r w:rsidRPr="00D47AF3">
        <w:rPr>
          <w:rFonts w:eastAsia="MS PMincho"/>
          <w:b/>
        </w:rPr>
        <w:t>11.8</w:t>
      </w:r>
      <w:r w:rsidRPr="00D47AF3">
        <w:rPr>
          <w:rFonts w:ascii="MS PMincho" w:eastAsia="MS PMincho" w:hAnsi="MS PMincho"/>
          <w:b/>
        </w:rPr>
        <w:tab/>
      </w:r>
      <w:r>
        <w:rPr>
          <w:rFonts w:eastAsia="Times New Roman"/>
          <w:b/>
        </w:rPr>
        <w:t>[</w:t>
      </w:r>
      <w:r w:rsidRPr="00813D92">
        <w:rPr>
          <w:rFonts w:eastAsia="Times New Roman"/>
          <w:b/>
        </w:rPr>
        <w:t xml:space="preserve">Passé un délai de </w:t>
      </w:r>
      <w:r>
        <w:rPr>
          <w:rFonts w:eastAsia="Times New Roman"/>
          <w:b/>
        </w:rPr>
        <w:t xml:space="preserve">48 </w:t>
      </w:r>
      <w:r w:rsidRPr="00813D92">
        <w:rPr>
          <w:rFonts w:eastAsia="Times New Roman"/>
          <w:b/>
        </w:rPr>
        <w:t>mois après la date d’entrée en vigueur de la série</w:t>
      </w:r>
      <w:r>
        <w:rPr>
          <w:rFonts w:eastAsia="Times New Roman"/>
          <w:b/>
        </w:rPr>
        <w:t xml:space="preserve"> 03 d’</w:t>
      </w:r>
      <w:r w:rsidRPr="00D47AF3">
        <w:rPr>
          <w:rFonts w:eastAsia="Times New Roman"/>
          <w:b/>
        </w:rPr>
        <w:t>amend</w:t>
      </w:r>
      <w:r>
        <w:rPr>
          <w:rFonts w:eastAsia="Times New Roman"/>
          <w:b/>
        </w:rPr>
        <w:t>e</w:t>
      </w:r>
      <w:r w:rsidRPr="00D47AF3">
        <w:rPr>
          <w:rFonts w:eastAsia="Times New Roman"/>
          <w:b/>
        </w:rPr>
        <w:t xml:space="preserve">ments, </w:t>
      </w:r>
      <w:r w:rsidRPr="00813D92">
        <w:rPr>
          <w:rFonts w:eastAsia="Times New Roman"/>
          <w:b/>
        </w:rPr>
        <w:t xml:space="preserve">les Parties contractantes appliquant </w:t>
      </w:r>
      <w:r>
        <w:rPr>
          <w:rFonts w:eastAsia="Times New Roman"/>
          <w:b/>
        </w:rPr>
        <w:t>cette série d’</w:t>
      </w:r>
      <w:r w:rsidRPr="00D47AF3">
        <w:rPr>
          <w:rFonts w:eastAsia="Times New Roman"/>
          <w:b/>
        </w:rPr>
        <w:t>amend</w:t>
      </w:r>
      <w:r>
        <w:rPr>
          <w:rFonts w:eastAsia="Times New Roman"/>
          <w:b/>
        </w:rPr>
        <w:t>e</w:t>
      </w:r>
      <w:r w:rsidRPr="00D47AF3">
        <w:rPr>
          <w:rFonts w:eastAsia="Times New Roman"/>
          <w:b/>
        </w:rPr>
        <w:t xml:space="preserve">ments </w:t>
      </w:r>
      <w:r w:rsidRPr="002F1EE0">
        <w:rPr>
          <w:rFonts w:eastAsia="Times New Roman"/>
          <w:b/>
        </w:rPr>
        <w:t xml:space="preserve">ne pourront accorder d’homologation de type </w:t>
      </w:r>
      <w:r>
        <w:rPr>
          <w:rFonts w:eastAsia="Times New Roman"/>
          <w:b/>
        </w:rPr>
        <w:t xml:space="preserve">aux fins de mise sur leur marché </w:t>
      </w:r>
      <w:r w:rsidRPr="002F1EE0">
        <w:rPr>
          <w:rFonts w:eastAsia="Times New Roman"/>
          <w:b/>
        </w:rPr>
        <w:t xml:space="preserve">que si le type du véhicule à homologuer satisfait aux prescriptions </w:t>
      </w:r>
      <w:r>
        <w:rPr>
          <w:rFonts w:eastAsia="Times New Roman"/>
          <w:b/>
        </w:rPr>
        <w:t>du présent</w:t>
      </w:r>
      <w:r w:rsidRPr="002F1EE0">
        <w:rPr>
          <w:rFonts w:eastAsia="Times New Roman"/>
          <w:b/>
        </w:rPr>
        <w:t xml:space="preserve"> Règlement </w:t>
      </w:r>
      <w:r>
        <w:rPr>
          <w:rFonts w:eastAsia="Times New Roman"/>
          <w:b/>
        </w:rPr>
        <w:t>tel que modifié par la série 03</w:t>
      </w:r>
      <w:r w:rsidRPr="002F1EE0">
        <w:rPr>
          <w:rFonts w:eastAsia="Times New Roman"/>
          <w:b/>
        </w:rPr>
        <w:t xml:space="preserve"> d’amendements.</w:t>
      </w:r>
      <w:r w:rsidRPr="00D47AF3">
        <w:rPr>
          <w:rFonts w:eastAsia="Times New Roman"/>
          <w:b/>
        </w:rPr>
        <w:t>]</w:t>
      </w:r>
    </w:p>
    <w:p w:rsidR="00E752D3" w:rsidRPr="00D47AF3" w:rsidRDefault="00E752D3" w:rsidP="00E752D3">
      <w:pPr>
        <w:pStyle w:val="SingleTxtG"/>
        <w:ind w:left="2268" w:hanging="1134"/>
        <w:rPr>
          <w:rFonts w:eastAsia="Times New Roman"/>
          <w:b/>
          <w:bCs/>
        </w:rPr>
      </w:pPr>
      <w:r w:rsidRPr="00D47AF3">
        <w:rPr>
          <w:rFonts w:eastAsia="Times New Roman"/>
          <w:b/>
          <w:bCs/>
        </w:rPr>
        <w:t>11.</w:t>
      </w:r>
      <w:r w:rsidRPr="00D47AF3">
        <w:rPr>
          <w:rFonts w:eastAsia="Times New Roman"/>
          <w:b/>
          <w:bCs/>
          <w:lang w:eastAsia="ja-JP"/>
        </w:rPr>
        <w:t>9</w:t>
      </w:r>
      <w:r>
        <w:rPr>
          <w:rFonts w:eastAsia="Times New Roman"/>
          <w:b/>
          <w:bCs/>
        </w:rPr>
        <w:tab/>
      </w:r>
      <w:r w:rsidRPr="000D352A">
        <w:rPr>
          <w:rFonts w:eastAsia="Times New Roman"/>
          <w:b/>
          <w:bCs/>
        </w:rPr>
        <w:t xml:space="preserve">Passé un délai de </w:t>
      </w:r>
      <w:r>
        <w:rPr>
          <w:rFonts w:eastAsia="Times New Roman"/>
          <w:b/>
        </w:rPr>
        <w:t>[</w:t>
      </w:r>
      <w:r>
        <w:rPr>
          <w:rFonts w:eastAsia="Times New Roman"/>
          <w:b/>
          <w:bCs/>
        </w:rPr>
        <w:t>48</w:t>
      </w:r>
      <w:r w:rsidRPr="000D352A">
        <w:rPr>
          <w:rFonts w:eastAsia="Times New Roman"/>
          <w:b/>
          <w:bCs/>
        </w:rPr>
        <w:t xml:space="preserve"> mois</w:t>
      </w:r>
      <w:r>
        <w:rPr>
          <w:rFonts w:eastAsia="Times New Roman"/>
          <w:b/>
          <w:bCs/>
        </w:rPr>
        <w:t>]</w:t>
      </w:r>
      <w:r w:rsidRPr="000D352A">
        <w:rPr>
          <w:rFonts w:eastAsia="Times New Roman"/>
          <w:b/>
          <w:bCs/>
        </w:rPr>
        <w:t xml:space="preserve"> après la date d’e</w:t>
      </w:r>
      <w:r>
        <w:rPr>
          <w:rFonts w:eastAsia="Times New Roman"/>
          <w:b/>
          <w:bCs/>
        </w:rPr>
        <w:t>ntrée en vigueur de la série 03</w:t>
      </w:r>
      <w:r w:rsidRPr="000D352A">
        <w:rPr>
          <w:rFonts w:eastAsia="Times New Roman"/>
          <w:b/>
          <w:bCs/>
        </w:rPr>
        <w:t xml:space="preserve"> d’amendements, les Parties contractantes appliquant le présent Règlement</w:t>
      </w:r>
      <w:r w:rsidRPr="00D47AF3">
        <w:rPr>
          <w:rFonts w:eastAsia="Times New Roman"/>
          <w:b/>
          <w:bCs/>
        </w:rPr>
        <w:t xml:space="preserve"> </w:t>
      </w:r>
      <w:r w:rsidRPr="000D352A">
        <w:rPr>
          <w:rFonts w:eastAsia="Times New Roman"/>
          <w:b/>
          <w:bCs/>
        </w:rPr>
        <w:t xml:space="preserve">ne seront pas tenues d’accepter </w:t>
      </w:r>
      <w:r>
        <w:rPr>
          <w:rFonts w:eastAsia="Times New Roman"/>
          <w:b/>
          <w:bCs/>
        </w:rPr>
        <w:t>les homologations de</w:t>
      </w:r>
      <w:r w:rsidRPr="00D47AF3">
        <w:rPr>
          <w:rFonts w:eastAsia="Times New Roman"/>
          <w:b/>
          <w:bCs/>
        </w:rPr>
        <w:t xml:space="preserve"> type</w:t>
      </w:r>
      <w:r>
        <w:rPr>
          <w:rFonts w:eastAsia="Times New Roman"/>
          <w:b/>
          <w:bCs/>
        </w:rPr>
        <w:t xml:space="preserve"> accordées en vertu d’une série d’amendements antérieure à la série 03</w:t>
      </w:r>
      <w:r w:rsidRPr="00D47AF3">
        <w:rPr>
          <w:rFonts w:eastAsia="Times New Roman"/>
          <w:b/>
          <w:bCs/>
        </w:rPr>
        <w:t xml:space="preserve">, </w:t>
      </w:r>
      <w:r>
        <w:rPr>
          <w:rFonts w:eastAsia="Times New Roman"/>
          <w:b/>
          <w:bCs/>
        </w:rPr>
        <w:t>délivrées pour la première fois avant le délai susmentionné</w:t>
      </w:r>
      <w:r w:rsidRPr="00D47AF3">
        <w:rPr>
          <w:rFonts w:eastAsia="Times New Roman"/>
          <w:b/>
          <w:bCs/>
        </w:rPr>
        <w:t>.</w:t>
      </w:r>
    </w:p>
    <w:p w:rsidR="00E752D3" w:rsidRPr="002260EE" w:rsidRDefault="00E752D3" w:rsidP="00E752D3">
      <w:pPr>
        <w:pStyle w:val="SingleTxtG"/>
        <w:ind w:left="2268" w:hanging="1134"/>
        <w:rPr>
          <w:b/>
          <w:vertAlign w:val="superscript"/>
        </w:rPr>
      </w:pPr>
      <w:r w:rsidRPr="002260EE">
        <w:rPr>
          <w:b/>
        </w:rPr>
        <w:t>11.</w:t>
      </w:r>
      <w:r w:rsidRPr="002260EE">
        <w:rPr>
          <w:b/>
          <w:lang w:eastAsia="ja-JP"/>
        </w:rPr>
        <w:t>10</w:t>
      </w:r>
      <w:r w:rsidRPr="002260EE">
        <w:rPr>
          <w:b/>
        </w:rPr>
        <w:tab/>
        <w:t>Les Parties contractantes appliquant le présent Règlement devront continuer à accepter les homologations de type accordées en vertu d’une série d’amendements antérieure à la série 03, délivrées pour la première fois avant un délai de [48 mois] suivant la date d’entrée en vigueur de la série 03 d’amendements.</w:t>
      </w:r>
    </w:p>
    <w:p w:rsidR="00E752D3" w:rsidRPr="00D47AF3" w:rsidRDefault="00E752D3" w:rsidP="002260EE">
      <w:pPr>
        <w:pStyle w:val="SingleTxtG"/>
        <w:ind w:left="2268" w:hanging="1134"/>
        <w:rPr>
          <w:rFonts w:eastAsia="Times New Roman"/>
          <w:b/>
          <w:bCs/>
        </w:rPr>
      </w:pPr>
      <w:r w:rsidRPr="00D47AF3">
        <w:rPr>
          <w:rFonts w:eastAsia="Times New Roman"/>
          <w:b/>
          <w:bCs/>
        </w:rPr>
        <w:t>11.</w:t>
      </w:r>
      <w:r w:rsidRPr="00D47AF3">
        <w:rPr>
          <w:rFonts w:eastAsia="Times New Roman"/>
          <w:b/>
          <w:bCs/>
          <w:lang w:eastAsia="ja-JP"/>
        </w:rPr>
        <w:t>11</w:t>
      </w:r>
      <w:r>
        <w:rPr>
          <w:rFonts w:eastAsia="Times New Roman"/>
          <w:b/>
          <w:bCs/>
        </w:rPr>
        <w:tab/>
      </w:r>
      <w:r w:rsidRPr="000A5BAE">
        <w:rPr>
          <w:rFonts w:eastAsia="Times New Roman"/>
          <w:b/>
          <w:bCs/>
        </w:rPr>
        <w:t xml:space="preserve">Les Parties contractantes appliquant le présent Règlement ne pourront refuser d’accorder des extensions </w:t>
      </w:r>
      <w:r>
        <w:rPr>
          <w:rFonts w:eastAsia="Times New Roman"/>
          <w:b/>
          <w:bCs/>
        </w:rPr>
        <w:t>pour des homologations de type existants délivrées pour la première fois</w:t>
      </w:r>
      <w:r w:rsidRPr="00D47AF3">
        <w:rPr>
          <w:rFonts w:eastAsia="Times New Roman"/>
          <w:b/>
          <w:bCs/>
        </w:rPr>
        <w:t xml:space="preserve"> </w:t>
      </w:r>
      <w:r w:rsidRPr="000A5BAE">
        <w:rPr>
          <w:rFonts w:eastAsia="Times New Roman"/>
          <w:b/>
          <w:bCs/>
        </w:rPr>
        <w:t>avant un délai de [48 mois] suivant la date d’entrée en vigueur de la série 03 d’amendements</w:t>
      </w:r>
      <w:r w:rsidRPr="00D47AF3">
        <w:rPr>
          <w:rFonts w:eastAsia="Times New Roman"/>
          <w:b/>
          <w:bCs/>
        </w:rPr>
        <w:t xml:space="preserve">, </w:t>
      </w:r>
      <w:r>
        <w:rPr>
          <w:rFonts w:eastAsia="Times New Roman"/>
          <w:b/>
          <w:bCs/>
        </w:rPr>
        <w:t xml:space="preserve">ces </w:t>
      </w:r>
      <w:r w:rsidRPr="000A5BAE">
        <w:rPr>
          <w:rFonts w:eastAsia="Times New Roman"/>
          <w:b/>
          <w:bCs/>
        </w:rPr>
        <w:lastRenderedPageBreak/>
        <w:t xml:space="preserve">homologations </w:t>
      </w:r>
      <w:r>
        <w:rPr>
          <w:rFonts w:eastAsia="Times New Roman"/>
          <w:b/>
          <w:bCs/>
        </w:rPr>
        <w:t>ayant été accordées en vertu de l’une quelconque des séries d’amendements antérieures à la série </w:t>
      </w:r>
      <w:r w:rsidRPr="00D47AF3">
        <w:rPr>
          <w:rFonts w:eastAsia="Times New Roman"/>
          <w:b/>
          <w:bCs/>
        </w:rPr>
        <w:t>03.</w:t>
      </w:r>
    </w:p>
    <w:p w:rsidR="00E752D3" w:rsidRPr="00D47AF3" w:rsidRDefault="00E752D3" w:rsidP="002260EE">
      <w:pPr>
        <w:pStyle w:val="SingleTxtG"/>
        <w:ind w:left="2268" w:hanging="1134"/>
        <w:rPr>
          <w:rFonts w:eastAsia="Times New Roman"/>
        </w:rPr>
      </w:pPr>
      <w:r w:rsidRPr="00D47AF3">
        <w:rPr>
          <w:rFonts w:eastAsia="Times New Roman"/>
          <w:b/>
          <w:bCs/>
        </w:rPr>
        <w:t>11.</w:t>
      </w:r>
      <w:r w:rsidRPr="00D47AF3">
        <w:rPr>
          <w:rFonts w:eastAsia="Times New Roman"/>
          <w:b/>
          <w:bCs/>
          <w:lang w:eastAsia="ja-JP"/>
        </w:rPr>
        <w:t>12</w:t>
      </w:r>
      <w:r>
        <w:rPr>
          <w:rFonts w:eastAsia="Times New Roman"/>
          <w:b/>
          <w:bCs/>
        </w:rPr>
        <w:tab/>
        <w:t>Nonobstant les dispositions transitoires ci-dessus</w:t>
      </w:r>
      <w:r w:rsidRPr="00D47AF3">
        <w:rPr>
          <w:rFonts w:eastAsia="Times New Roman"/>
          <w:b/>
          <w:bCs/>
        </w:rPr>
        <w:t xml:space="preserve">, </w:t>
      </w:r>
      <w:r>
        <w:rPr>
          <w:rFonts w:eastAsia="Times New Roman"/>
          <w:b/>
          <w:bCs/>
        </w:rPr>
        <w:t>les</w:t>
      </w:r>
      <w:r w:rsidRPr="00D47AF3">
        <w:rPr>
          <w:rFonts w:eastAsia="Times New Roman"/>
          <w:b/>
          <w:bCs/>
        </w:rPr>
        <w:t xml:space="preserve"> Parties </w:t>
      </w:r>
      <w:r>
        <w:rPr>
          <w:rFonts w:eastAsia="Times New Roman"/>
          <w:b/>
          <w:bCs/>
        </w:rPr>
        <w:t>contractantes commençant à appliquer le présent Règlement à partir d’une date ultérieure à l’entrée en vigueur de la série </w:t>
      </w:r>
      <w:r w:rsidRPr="00D47AF3">
        <w:rPr>
          <w:rFonts w:eastAsia="Times New Roman"/>
          <w:b/>
          <w:bCs/>
        </w:rPr>
        <w:t xml:space="preserve">03 </w:t>
      </w:r>
      <w:r>
        <w:rPr>
          <w:rFonts w:eastAsia="Times New Roman"/>
          <w:b/>
          <w:bCs/>
        </w:rPr>
        <w:t>d’</w:t>
      </w:r>
      <w:r w:rsidRPr="00D47AF3">
        <w:rPr>
          <w:rFonts w:eastAsia="Times New Roman"/>
          <w:b/>
          <w:bCs/>
        </w:rPr>
        <w:t>amend</w:t>
      </w:r>
      <w:r>
        <w:rPr>
          <w:rFonts w:eastAsia="Times New Roman"/>
          <w:b/>
          <w:bCs/>
        </w:rPr>
        <w:t>e</w:t>
      </w:r>
      <w:r w:rsidRPr="00D47AF3">
        <w:rPr>
          <w:rFonts w:eastAsia="Times New Roman"/>
          <w:b/>
          <w:bCs/>
        </w:rPr>
        <w:t xml:space="preserve">ments </w:t>
      </w:r>
      <w:r>
        <w:rPr>
          <w:rFonts w:eastAsia="Times New Roman"/>
          <w:b/>
          <w:bCs/>
        </w:rPr>
        <w:t>ne seront pas tenues d’</w:t>
      </w:r>
      <w:r w:rsidRPr="00D47AF3">
        <w:rPr>
          <w:rFonts w:eastAsia="Times New Roman"/>
          <w:b/>
          <w:bCs/>
        </w:rPr>
        <w:t>accept</w:t>
      </w:r>
      <w:r>
        <w:rPr>
          <w:rFonts w:eastAsia="Times New Roman"/>
          <w:b/>
          <w:bCs/>
        </w:rPr>
        <w:t>er les homologations de</w:t>
      </w:r>
      <w:r w:rsidRPr="00D47AF3">
        <w:rPr>
          <w:rFonts w:eastAsia="Times New Roman"/>
          <w:b/>
          <w:bCs/>
        </w:rPr>
        <w:t xml:space="preserve"> type </w:t>
      </w:r>
      <w:r>
        <w:rPr>
          <w:rFonts w:eastAsia="Times New Roman"/>
          <w:b/>
          <w:bCs/>
        </w:rPr>
        <w:t xml:space="preserve">accordées en vertu de </w:t>
      </w:r>
      <w:r w:rsidRPr="00A878E3">
        <w:rPr>
          <w:rFonts w:eastAsia="Times New Roman"/>
          <w:b/>
          <w:bCs/>
        </w:rPr>
        <w:t>l’une quelconque des séries d’amendements antérieures à la série 03</w:t>
      </w:r>
      <w:r w:rsidRPr="00D47AF3">
        <w:rPr>
          <w:rFonts w:eastAsia="Times New Roman"/>
          <w:b/>
          <w:bCs/>
        </w:rPr>
        <w:t>.</w:t>
      </w:r>
      <w:r>
        <w:rPr>
          <w:rFonts w:eastAsia="Times New Roman"/>
        </w:rPr>
        <w:t> ».</w:t>
      </w:r>
    </w:p>
    <w:p w:rsidR="00E752D3" w:rsidRPr="00D47AF3" w:rsidRDefault="00E752D3" w:rsidP="00E84C1E">
      <w:pPr>
        <w:pStyle w:val="SingleTxtG"/>
        <w:rPr>
          <w:lang w:eastAsia="ja-JP"/>
        </w:rPr>
      </w:pPr>
      <w:r w:rsidRPr="00E84C1E">
        <w:rPr>
          <w:i/>
          <w:lang w:eastAsia="ja-JP"/>
        </w:rPr>
        <w:t>Ajouter un nouvelle annexe 7</w:t>
      </w:r>
      <w:r w:rsidRPr="00A11B3D">
        <w:rPr>
          <w:lang w:eastAsia="ja-JP"/>
        </w:rPr>
        <w:t>,</w:t>
      </w:r>
      <w:r w:rsidRPr="00D47AF3">
        <w:rPr>
          <w:lang w:eastAsia="ja-JP"/>
        </w:rPr>
        <w:t xml:space="preserve"> </w:t>
      </w:r>
      <w:r>
        <w:rPr>
          <w:lang w:eastAsia="ja-JP"/>
        </w:rPr>
        <w:t>ainsi conçue</w:t>
      </w:r>
      <w:r w:rsidR="002260EE">
        <w:rPr>
          <w:lang w:eastAsia="ja-JP"/>
        </w:rPr>
        <w:t> </w:t>
      </w:r>
      <w:r w:rsidRPr="00D47AF3">
        <w:rPr>
          <w:lang w:eastAsia="ja-JP"/>
        </w:rPr>
        <w:t>:</w:t>
      </w:r>
    </w:p>
    <w:p w:rsidR="00E752D3" w:rsidRPr="00D47AF3" w:rsidRDefault="002260EE" w:rsidP="002260EE">
      <w:pPr>
        <w:pStyle w:val="HChG"/>
      </w:pPr>
      <w:bookmarkStart w:id="1" w:name="_Toc338161483"/>
      <w:r>
        <w:rPr>
          <w:iCs/>
          <w:sz w:val="20"/>
        </w:rPr>
        <w:tab/>
      </w:r>
      <w:r>
        <w:rPr>
          <w:iCs/>
          <w:sz w:val="20"/>
        </w:rPr>
        <w:tab/>
      </w:r>
      <w:r w:rsidR="00E752D3" w:rsidRPr="00E84C1E">
        <w:rPr>
          <w:b w:val="0"/>
          <w:iCs/>
          <w:sz w:val="20"/>
        </w:rPr>
        <w:t>« </w:t>
      </w:r>
      <w:r w:rsidR="00E752D3" w:rsidRPr="00D47AF3">
        <w:t>Annex</w:t>
      </w:r>
      <w:r w:rsidR="00E752D3">
        <w:t>e</w:t>
      </w:r>
      <w:r w:rsidR="00E752D3" w:rsidRPr="00D47AF3">
        <w:t xml:space="preserve"> </w:t>
      </w:r>
      <w:r w:rsidR="00E752D3" w:rsidRPr="00D47AF3">
        <w:rPr>
          <w:lang w:eastAsia="ja-JP"/>
        </w:rPr>
        <w:t>7</w:t>
      </w:r>
    </w:p>
    <w:bookmarkEnd w:id="1"/>
    <w:p w:rsidR="00E752D3" w:rsidRPr="00D47AF3" w:rsidRDefault="00E752D3" w:rsidP="002260EE">
      <w:pPr>
        <w:pStyle w:val="HChG"/>
      </w:pPr>
      <w:r w:rsidRPr="00D47AF3">
        <w:tab/>
      </w:r>
      <w:r w:rsidRPr="00D47AF3">
        <w:tab/>
      </w:r>
      <w:bookmarkStart w:id="2" w:name="_Toc338161484"/>
      <w:r w:rsidRPr="00AA701D">
        <w:t xml:space="preserve">Conditions d’allumage/extinction automatique </w:t>
      </w:r>
      <w:r w:rsidR="002260EE">
        <w:br/>
      </w:r>
      <w:r>
        <w:t xml:space="preserve">des projecteurs </w:t>
      </w:r>
      <w:r w:rsidRPr="00D47AF3">
        <w:t>[</w:t>
      </w:r>
      <w:bookmarkStart w:id="3" w:name="_Hlk504554601"/>
      <w:r w:rsidRPr="00D47AF3">
        <w:t>(</w:t>
      </w:r>
      <w:r>
        <w:t>faisceaux de croisement</w:t>
      </w:r>
      <w:r w:rsidRPr="00D47AF3">
        <w:t>)</w:t>
      </w:r>
      <w:bookmarkEnd w:id="3"/>
      <w:r w:rsidRPr="00D47AF3">
        <w:t>]</w:t>
      </w:r>
      <w:r>
        <w:t xml:space="preserve"> </w:t>
      </w:r>
      <w:r w:rsidR="002260EE">
        <w:br/>
      </w:r>
      <w:r>
        <w:t>en fonction de la luminosité ambiante</w:t>
      </w:r>
      <w:bookmarkEnd w:id="2"/>
    </w:p>
    <w:tbl>
      <w:tblPr>
        <w:tblW w:w="7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00"/>
        <w:gridCol w:w="2300"/>
        <w:gridCol w:w="2300"/>
      </w:tblGrid>
      <w:tr w:rsidR="00E752D3" w:rsidRPr="00D47AF3" w:rsidTr="003B0399">
        <w:tc>
          <w:tcPr>
            <w:tcW w:w="7500" w:type="dxa"/>
            <w:gridSpan w:val="3"/>
            <w:tcBorders>
              <w:top w:val="single" w:sz="4" w:space="0" w:color="auto"/>
              <w:bottom w:val="single" w:sz="12" w:space="0" w:color="auto"/>
            </w:tcBorders>
          </w:tcPr>
          <w:p w:rsidR="00E752D3" w:rsidRPr="00D47AF3" w:rsidRDefault="00E752D3" w:rsidP="003B0399">
            <w:pPr>
              <w:keepNext/>
              <w:keepLines/>
              <w:tabs>
                <w:tab w:val="left" w:pos="1122"/>
              </w:tabs>
              <w:kinsoku/>
              <w:overflowPunct/>
              <w:autoSpaceDE/>
              <w:autoSpaceDN/>
              <w:adjustRightInd/>
              <w:snapToGrid/>
              <w:spacing w:before="80" w:after="80"/>
              <w:ind w:left="57" w:right="57"/>
              <w:rPr>
                <w:rFonts w:eastAsia="Times New Roman"/>
                <w:b/>
                <w:lang w:eastAsia="en-GB"/>
              </w:rPr>
            </w:pPr>
            <w:r w:rsidRPr="00C34D6F">
              <w:rPr>
                <w:rFonts w:eastAsia="Times New Roman"/>
                <w:b/>
                <w:i/>
                <w:sz w:val="16"/>
                <w:szCs w:val="16"/>
                <w:lang w:eastAsia="en-GB"/>
              </w:rPr>
              <w:t xml:space="preserve">Conditions d’allumage/extinction automatique des projecteurs </w:t>
            </w:r>
            <w:r w:rsidRPr="00D47AF3">
              <w:rPr>
                <w:rFonts w:eastAsia="Times New Roman"/>
                <w:b/>
                <w:i/>
                <w:sz w:val="16"/>
                <w:szCs w:val="16"/>
                <w:lang w:eastAsia="en-GB"/>
              </w:rPr>
              <w:t>[(</w:t>
            </w:r>
            <w:r>
              <w:rPr>
                <w:rFonts w:eastAsia="Times New Roman"/>
                <w:b/>
                <w:i/>
                <w:sz w:val="16"/>
                <w:szCs w:val="16"/>
                <w:lang w:eastAsia="en-GB"/>
              </w:rPr>
              <w:t>faisceaux de croisement</w:t>
            </w:r>
            <w:r w:rsidRPr="00D47AF3">
              <w:rPr>
                <w:rFonts w:eastAsia="Times New Roman"/>
                <w:b/>
                <w:i/>
                <w:sz w:val="16"/>
                <w:szCs w:val="16"/>
                <w:lang w:eastAsia="en-GB"/>
              </w:rPr>
              <w:t>)]</w:t>
            </w:r>
            <w:r w:rsidRPr="00D47AF3">
              <w:rPr>
                <w:rFonts w:eastAsia="Times New Roman"/>
                <w:b/>
                <w:vertAlign w:val="superscript"/>
                <w:lang w:eastAsia="en-GB"/>
              </w:rPr>
              <w:t>1</w:t>
            </w:r>
          </w:p>
        </w:tc>
      </w:tr>
      <w:tr w:rsidR="00E752D3" w:rsidRPr="00D47AF3" w:rsidTr="003B0399">
        <w:tc>
          <w:tcPr>
            <w:tcW w:w="2900" w:type="dxa"/>
            <w:tcBorders>
              <w:top w:val="single" w:sz="12" w:space="0" w:color="auto"/>
            </w:tcBorders>
            <w:shd w:val="pct15" w:color="auto" w:fill="auto"/>
          </w:tcPr>
          <w:p w:rsidR="00E752D3" w:rsidRPr="00D47AF3" w:rsidRDefault="00E752D3" w:rsidP="003B0399">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Luminosité à l’extérieur de l’habitacle</w:t>
            </w:r>
            <w:r w:rsidRPr="00D47AF3">
              <w:rPr>
                <w:rFonts w:eastAsia="Times New Roman"/>
                <w:b/>
                <w:vertAlign w:val="superscript"/>
                <w:lang w:eastAsia="en-GB"/>
              </w:rPr>
              <w:t>2</w:t>
            </w:r>
          </w:p>
        </w:tc>
        <w:tc>
          <w:tcPr>
            <w:tcW w:w="2300" w:type="dxa"/>
            <w:tcBorders>
              <w:top w:val="single" w:sz="12" w:space="0" w:color="auto"/>
            </w:tcBorders>
            <w:shd w:val="pct15" w:color="auto" w:fill="auto"/>
          </w:tcPr>
          <w:p w:rsidR="00E752D3" w:rsidRPr="00D47AF3" w:rsidRDefault="00E752D3" w:rsidP="003B0399">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Prescription concernant l’état des projecteurs</w:t>
            </w:r>
          </w:p>
        </w:tc>
        <w:tc>
          <w:tcPr>
            <w:tcW w:w="2300" w:type="dxa"/>
            <w:tcBorders>
              <w:top w:val="single" w:sz="12" w:space="0" w:color="auto"/>
              <w:bottom w:val="single" w:sz="4" w:space="0" w:color="auto"/>
            </w:tcBorders>
            <w:shd w:val="pct15" w:color="auto" w:fill="auto"/>
          </w:tcPr>
          <w:p w:rsidR="00E752D3" w:rsidRPr="00D47AF3" w:rsidRDefault="00E752D3" w:rsidP="003B0399">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Délai de transmission de la commande</w:t>
            </w:r>
          </w:p>
        </w:tc>
      </w:tr>
      <w:tr w:rsidR="00E752D3" w:rsidRPr="00D47AF3" w:rsidTr="003B0399">
        <w:tc>
          <w:tcPr>
            <w:tcW w:w="2900" w:type="dxa"/>
            <w:tcBorders>
              <w:bottom w:val="single" w:sz="4" w:space="0" w:color="auto"/>
            </w:tcBorders>
          </w:tcPr>
          <w:p w:rsidR="00E752D3" w:rsidRPr="00D47AF3" w:rsidRDefault="00E752D3" w:rsidP="003B0399">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Moins de</w:t>
            </w:r>
            <w:r w:rsidRPr="00D47AF3">
              <w:rPr>
                <w:rFonts w:eastAsia="Times New Roman"/>
                <w:b/>
                <w:sz w:val="18"/>
                <w:szCs w:val="18"/>
                <w:lang w:eastAsia="en-GB"/>
              </w:rPr>
              <w:t xml:space="preserve"> 1</w:t>
            </w:r>
            <w:r>
              <w:rPr>
                <w:rFonts w:eastAsia="Times New Roman"/>
                <w:b/>
                <w:sz w:val="18"/>
                <w:szCs w:val="18"/>
                <w:lang w:eastAsia="en-GB"/>
              </w:rPr>
              <w:t> 000 </w:t>
            </w:r>
            <w:r w:rsidRPr="00D47AF3">
              <w:rPr>
                <w:rFonts w:eastAsia="Times New Roman"/>
                <w:b/>
                <w:sz w:val="18"/>
                <w:szCs w:val="18"/>
                <w:lang w:eastAsia="en-GB"/>
              </w:rPr>
              <w:t>lux</w:t>
            </w:r>
          </w:p>
        </w:tc>
        <w:tc>
          <w:tcPr>
            <w:tcW w:w="2300" w:type="dxa"/>
            <w:tcBorders>
              <w:bottom w:val="single" w:sz="4" w:space="0" w:color="auto"/>
            </w:tcBorders>
          </w:tcPr>
          <w:p w:rsidR="00E752D3" w:rsidRPr="00D47AF3" w:rsidRDefault="00E752D3" w:rsidP="003B0399">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Projecteur allumé</w:t>
            </w:r>
          </w:p>
        </w:tc>
        <w:tc>
          <w:tcPr>
            <w:tcW w:w="2300" w:type="dxa"/>
            <w:tcBorders>
              <w:bottom w:val="single" w:sz="4" w:space="0" w:color="auto"/>
            </w:tcBorders>
          </w:tcPr>
          <w:p w:rsidR="00E752D3" w:rsidRPr="00D47AF3" w:rsidRDefault="00E752D3" w:rsidP="003B0399">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rPr>
              <w:t>2 </w:t>
            </w:r>
            <w:r w:rsidRPr="00D47AF3">
              <w:rPr>
                <w:rFonts w:eastAsia="Times New Roman"/>
                <w:b/>
                <w:sz w:val="18"/>
                <w:szCs w:val="18"/>
              </w:rPr>
              <w:t>second</w:t>
            </w:r>
            <w:r>
              <w:rPr>
                <w:rFonts w:eastAsia="Times New Roman"/>
                <w:b/>
                <w:sz w:val="18"/>
                <w:szCs w:val="18"/>
              </w:rPr>
              <w:t>e</w:t>
            </w:r>
            <w:r w:rsidRPr="00D47AF3">
              <w:rPr>
                <w:rFonts w:eastAsia="Times New Roman"/>
                <w:b/>
                <w:sz w:val="18"/>
                <w:szCs w:val="18"/>
              </w:rPr>
              <w:t>s</w:t>
            </w:r>
            <w:r>
              <w:rPr>
                <w:rFonts w:eastAsia="Times New Roman"/>
                <w:b/>
                <w:sz w:val="18"/>
                <w:szCs w:val="18"/>
              </w:rPr>
              <w:t xml:space="preserve"> maximum</w:t>
            </w:r>
          </w:p>
        </w:tc>
      </w:tr>
      <w:tr w:rsidR="00E752D3" w:rsidRPr="00D47AF3" w:rsidTr="003B0399">
        <w:tc>
          <w:tcPr>
            <w:tcW w:w="2900" w:type="dxa"/>
            <w:tcBorders>
              <w:bottom w:val="single" w:sz="12" w:space="0" w:color="auto"/>
            </w:tcBorders>
          </w:tcPr>
          <w:p w:rsidR="00E752D3" w:rsidRPr="00D47AF3" w:rsidRDefault="00E752D3" w:rsidP="003B0399">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sidRPr="00D47AF3">
              <w:rPr>
                <w:rFonts w:eastAsia="Times New Roman"/>
                <w:b/>
                <w:sz w:val="18"/>
                <w:szCs w:val="18"/>
                <w:lang w:eastAsia="en-GB"/>
              </w:rPr>
              <w:t>1</w:t>
            </w:r>
            <w:r>
              <w:rPr>
                <w:rFonts w:eastAsia="Times New Roman"/>
                <w:b/>
                <w:sz w:val="18"/>
                <w:szCs w:val="18"/>
                <w:lang w:eastAsia="en-GB"/>
              </w:rPr>
              <w:t> 000 </w:t>
            </w:r>
            <w:r w:rsidRPr="00D47AF3">
              <w:rPr>
                <w:rFonts w:eastAsia="Times New Roman"/>
                <w:b/>
                <w:sz w:val="18"/>
                <w:szCs w:val="18"/>
                <w:lang w:eastAsia="en-GB"/>
              </w:rPr>
              <w:t xml:space="preserve">lux </w:t>
            </w:r>
            <w:r>
              <w:rPr>
                <w:rFonts w:eastAsia="Times New Roman"/>
                <w:b/>
                <w:sz w:val="18"/>
                <w:szCs w:val="18"/>
                <w:lang w:eastAsia="en-GB"/>
              </w:rPr>
              <w:t>et plus</w:t>
            </w:r>
          </w:p>
        </w:tc>
        <w:tc>
          <w:tcPr>
            <w:tcW w:w="2300" w:type="dxa"/>
            <w:tcBorders>
              <w:bottom w:val="single" w:sz="12" w:space="0" w:color="auto"/>
            </w:tcBorders>
          </w:tcPr>
          <w:p w:rsidR="00E752D3" w:rsidRPr="00D47AF3" w:rsidRDefault="00E752D3" w:rsidP="003B0399">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Pr>
                <w:rFonts w:eastAsia="Times New Roman"/>
                <w:b/>
                <w:sz w:val="18"/>
                <w:szCs w:val="18"/>
                <w:lang w:eastAsia="en-GB"/>
              </w:rPr>
              <w:t>À la discrétion du constructeur</w:t>
            </w:r>
          </w:p>
        </w:tc>
        <w:tc>
          <w:tcPr>
            <w:tcW w:w="2300" w:type="dxa"/>
            <w:tcBorders>
              <w:bottom w:val="single" w:sz="12" w:space="0" w:color="auto"/>
            </w:tcBorders>
          </w:tcPr>
          <w:p w:rsidR="00E752D3" w:rsidRPr="00D47AF3" w:rsidRDefault="00E752D3" w:rsidP="003B0399">
            <w:pPr>
              <w:keepNext/>
              <w:keepLines/>
              <w:tabs>
                <w:tab w:val="left" w:pos="1122"/>
              </w:tabs>
              <w:kinsoku/>
              <w:overflowPunct/>
              <w:autoSpaceDE/>
              <w:autoSpaceDN/>
              <w:adjustRightInd/>
              <w:snapToGrid/>
              <w:spacing w:before="60" w:after="60" w:line="220" w:lineRule="exact"/>
              <w:ind w:left="57" w:right="57"/>
              <w:rPr>
                <w:rFonts w:eastAsia="Times New Roman"/>
                <w:b/>
                <w:sz w:val="18"/>
                <w:szCs w:val="18"/>
                <w:lang w:eastAsia="en-GB"/>
              </w:rPr>
            </w:pPr>
            <w:r w:rsidRPr="00840A94">
              <w:rPr>
                <w:rFonts w:eastAsia="Times New Roman"/>
                <w:b/>
                <w:color w:val="000000"/>
                <w:sz w:val="18"/>
                <w:szCs w:val="18"/>
                <w:lang w:eastAsia="en-GB"/>
              </w:rPr>
              <w:t>À la discrétion du constructeur</w:t>
            </w:r>
          </w:p>
        </w:tc>
      </w:tr>
    </w:tbl>
    <w:p w:rsidR="00E752D3" w:rsidRPr="00083821" w:rsidRDefault="00E752D3" w:rsidP="003B0399">
      <w:pPr>
        <w:tabs>
          <w:tab w:val="left" w:pos="1276"/>
        </w:tabs>
        <w:kinsoku/>
        <w:overflowPunct/>
        <w:autoSpaceDE/>
        <w:autoSpaceDN/>
        <w:adjustRightInd/>
        <w:snapToGrid/>
        <w:spacing w:before="120" w:line="180" w:lineRule="atLeast"/>
        <w:ind w:left="1134" w:right="1134"/>
        <w:jc w:val="both"/>
        <w:rPr>
          <w:rStyle w:val="FootnoteTextChar"/>
          <w:b/>
        </w:rPr>
      </w:pPr>
      <w:r w:rsidRPr="003B0399">
        <w:rPr>
          <w:rFonts w:eastAsia="Times New Roman"/>
          <w:b/>
          <w:sz w:val="18"/>
          <w:szCs w:val="18"/>
          <w:vertAlign w:val="superscript"/>
        </w:rPr>
        <w:t>1</w:t>
      </w:r>
      <w:r w:rsidR="003B0399">
        <w:rPr>
          <w:rFonts w:eastAsia="Times New Roman"/>
          <w:b/>
          <w:lang w:eastAsia="en-GB"/>
        </w:rPr>
        <w:t>  </w:t>
      </w:r>
      <w:r w:rsidRPr="00083821">
        <w:rPr>
          <w:rStyle w:val="FootnoteTextChar"/>
          <w:b/>
        </w:rPr>
        <w:t>Le respect de ces conditions doit être prouvé par le demandeur par simulation ou par tout autre moyen de vérification agréé par l’autorité d’homologation de type.</w:t>
      </w:r>
    </w:p>
    <w:p w:rsidR="00E752D3" w:rsidRPr="00D47AF3" w:rsidRDefault="00E752D3" w:rsidP="003B0399">
      <w:pPr>
        <w:tabs>
          <w:tab w:val="left" w:pos="1276"/>
        </w:tabs>
        <w:kinsoku/>
        <w:overflowPunct/>
        <w:autoSpaceDE/>
        <w:autoSpaceDN/>
        <w:adjustRightInd/>
        <w:snapToGrid/>
        <w:spacing w:after="60" w:line="180" w:lineRule="atLeast"/>
        <w:ind w:left="1134" w:right="1134"/>
        <w:jc w:val="both"/>
        <w:rPr>
          <w:rFonts w:eastAsia="Times New Roman"/>
          <w:lang w:eastAsia="ja-JP"/>
        </w:rPr>
      </w:pPr>
      <w:r w:rsidRPr="00083821">
        <w:rPr>
          <w:rFonts w:eastAsia="Times New Roman"/>
          <w:b/>
          <w:sz w:val="18"/>
          <w:szCs w:val="18"/>
          <w:vertAlign w:val="superscript"/>
        </w:rPr>
        <w:t>2</w:t>
      </w:r>
      <w:r w:rsidR="003B0399">
        <w:rPr>
          <w:rStyle w:val="FootnoteTextChar"/>
          <w:b/>
        </w:rPr>
        <w:t>  L</w:t>
      </w:r>
      <w:r w:rsidRPr="00083821">
        <w:rPr>
          <w:rStyle w:val="FootnoteTextChar"/>
          <w:b/>
        </w:rPr>
        <w:t>’éclairement doit être mesuré sur une surface horizontale, à l’aide d’un capteur à correction de cosinus placé à la même hauteur que la position de montage du capteur situé sur le véhicule. Le fabricant peut en fournir la preuve à l’aide d’une documentation suffisante ou de tout autre moyen agréé par l’autorité d’homologation de type.</w:t>
      </w:r>
      <w:r>
        <w:rPr>
          <w:rFonts w:eastAsia="Times New Roman"/>
        </w:rPr>
        <w:t> ».</w:t>
      </w:r>
    </w:p>
    <w:p w:rsidR="00E752D3" w:rsidRPr="00D47AF3" w:rsidRDefault="002260EE" w:rsidP="002260EE">
      <w:pPr>
        <w:pStyle w:val="H1G"/>
      </w:pPr>
      <w:r>
        <w:tab/>
      </w:r>
      <w:r w:rsidR="00E752D3" w:rsidRPr="00D47AF3">
        <w:t>B.</w:t>
      </w:r>
      <w:r w:rsidR="00E752D3" w:rsidRPr="00D47AF3">
        <w:tab/>
        <w:t>Propos</w:t>
      </w:r>
      <w:r w:rsidR="00E752D3">
        <w:t>ition d’</w:t>
      </w:r>
      <w:r w:rsidR="00E752D3" w:rsidRPr="00D47AF3">
        <w:t>amend</w:t>
      </w:r>
      <w:r w:rsidR="00E752D3">
        <w:t>e</w:t>
      </w:r>
      <w:r w:rsidR="00E752D3" w:rsidRPr="00D47AF3">
        <w:t xml:space="preserve">ments </w:t>
      </w:r>
      <w:r w:rsidR="00E752D3">
        <w:t xml:space="preserve">au projet de </w:t>
      </w:r>
      <w:r w:rsidR="00E752D3" w:rsidRPr="00952AE1">
        <w:t>nouveau Règlement relatif aux dispositifs de signalisation lumineuse</w:t>
      </w:r>
      <w:r w:rsidRPr="002260EE">
        <w:rPr>
          <w:rStyle w:val="FootnoteReference"/>
          <w:b w:val="0"/>
          <w:sz w:val="20"/>
          <w:vertAlign w:val="baseline"/>
        </w:rPr>
        <w:footnoteReference w:customMarkFollows="1" w:id="3"/>
        <w:t>**</w:t>
      </w:r>
    </w:p>
    <w:p w:rsidR="00E752D3" w:rsidRPr="00D47AF3" w:rsidRDefault="00E752D3" w:rsidP="00083821">
      <w:pPr>
        <w:pStyle w:val="SingleTxtG"/>
      </w:pPr>
      <w:r w:rsidRPr="00D47AF3">
        <w:rPr>
          <w:i/>
        </w:rPr>
        <w:t>Paragraph</w:t>
      </w:r>
      <w:r>
        <w:rPr>
          <w:i/>
        </w:rPr>
        <w:t>e</w:t>
      </w:r>
      <w:r w:rsidRPr="00D47AF3">
        <w:rPr>
          <w:i/>
        </w:rPr>
        <w:t xml:space="preserve"> 3.2.4</w:t>
      </w:r>
      <w:r w:rsidRPr="006F1EE7">
        <w:t>,</w:t>
      </w:r>
      <w:r w:rsidRPr="00D47AF3">
        <w:t xml:space="preserve"> modifier comme suit</w:t>
      </w:r>
      <w:r w:rsidR="002260EE">
        <w:t> </w:t>
      </w:r>
      <w:r w:rsidRPr="00D47AF3">
        <w:t>:</w:t>
      </w:r>
    </w:p>
    <w:p w:rsidR="00E752D3" w:rsidRPr="00D47AF3" w:rsidRDefault="00E752D3" w:rsidP="00083821">
      <w:pPr>
        <w:pStyle w:val="SingleTxtG"/>
        <w:ind w:left="2268" w:hanging="1134"/>
      </w:pPr>
      <w:r>
        <w:t>« 3.2.4</w:t>
      </w:r>
      <w:r w:rsidRPr="00D47AF3">
        <w:tab/>
      </w:r>
      <w:r w:rsidRPr="00952AE1">
        <w:t>Les symboles d’identification qui doivent être mentionnés au paragraphe</w:t>
      </w:r>
      <w:r w:rsidR="002260EE">
        <w:t xml:space="preserve"> </w:t>
      </w:r>
      <w:r w:rsidRPr="00952AE1">
        <w:t>9.1 de l’annexe</w:t>
      </w:r>
      <w:r w:rsidR="002260EE">
        <w:t xml:space="preserve"> </w:t>
      </w:r>
      <w:r w:rsidRPr="00952AE1">
        <w:t>1 sont les suivants</w:t>
      </w:r>
      <w:r>
        <w:t> </w:t>
      </w:r>
      <w:r w:rsidRPr="00D47AF3">
        <w:t>:</w:t>
      </w:r>
    </w:p>
    <w:p w:rsidR="00E752D3" w:rsidRPr="00D47AF3" w:rsidRDefault="003B0399" w:rsidP="003B0399">
      <w:pPr>
        <w:pStyle w:val="SingleTxtG"/>
        <w:ind w:left="2268"/>
        <w:jc w:val="left"/>
      </w:pPr>
      <w:r>
        <w:t>Tableau 1</w:t>
      </w:r>
      <w:r>
        <w:br/>
      </w:r>
      <w:r w:rsidR="00E752D3" w:rsidRPr="00952AE1">
        <w:t>Symboles</w:t>
      </w:r>
    </w:p>
    <w:tbl>
      <w:tblPr>
        <w:tblW w:w="623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36"/>
        <w:gridCol w:w="851"/>
        <w:gridCol w:w="852"/>
      </w:tblGrid>
      <w:tr w:rsidR="00E752D3" w:rsidRPr="00D47AF3" w:rsidTr="003B0399">
        <w:trPr>
          <w:cantSplit/>
          <w:trHeight w:val="437"/>
          <w:tblHeader/>
        </w:trPr>
        <w:tc>
          <w:tcPr>
            <w:tcW w:w="4536" w:type="dxa"/>
            <w:tcBorders>
              <w:bottom w:val="single" w:sz="12" w:space="0" w:color="auto"/>
            </w:tcBorders>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i/>
                <w:sz w:val="16"/>
              </w:rPr>
            </w:pPr>
            <w:r>
              <w:rPr>
                <w:rFonts w:eastAsia="Times New Roman"/>
                <w:i/>
                <w:sz w:val="16"/>
              </w:rPr>
              <w:t>Feu</w:t>
            </w:r>
          </w:p>
        </w:tc>
        <w:tc>
          <w:tcPr>
            <w:tcW w:w="851" w:type="dxa"/>
            <w:tcBorders>
              <w:bottom w:val="single" w:sz="12" w:space="0" w:color="auto"/>
            </w:tcBorders>
            <w:vAlign w:val="center"/>
          </w:tcPr>
          <w:p w:rsidR="00E752D3" w:rsidRPr="00D47AF3" w:rsidRDefault="00E752D3" w:rsidP="003B0399">
            <w:pPr>
              <w:kinsoku/>
              <w:overflowPunct/>
              <w:autoSpaceDE/>
              <w:autoSpaceDN/>
              <w:adjustRightInd/>
              <w:snapToGrid/>
              <w:spacing w:before="60" w:after="60" w:line="220" w:lineRule="exact"/>
              <w:jc w:val="center"/>
              <w:rPr>
                <w:rFonts w:eastAsia="Times New Roman"/>
                <w:i/>
                <w:sz w:val="16"/>
              </w:rPr>
            </w:pPr>
            <w:r w:rsidRPr="00D47AF3">
              <w:rPr>
                <w:rFonts w:eastAsia="Times New Roman"/>
                <w:i/>
                <w:sz w:val="16"/>
              </w:rPr>
              <w:t>Symbol</w:t>
            </w:r>
            <w:r>
              <w:rPr>
                <w:rFonts w:eastAsia="Times New Roman"/>
                <w:i/>
                <w:sz w:val="16"/>
              </w:rPr>
              <w:t>e</w:t>
            </w:r>
          </w:p>
        </w:tc>
        <w:tc>
          <w:tcPr>
            <w:tcW w:w="852" w:type="dxa"/>
            <w:tcBorders>
              <w:bottom w:val="single" w:sz="12" w:space="0" w:color="auto"/>
            </w:tcBorders>
            <w:vAlign w:val="center"/>
          </w:tcPr>
          <w:p w:rsidR="00E752D3" w:rsidRPr="00D47AF3" w:rsidRDefault="00E752D3" w:rsidP="003B0399">
            <w:pPr>
              <w:kinsoku/>
              <w:overflowPunct/>
              <w:autoSpaceDE/>
              <w:autoSpaceDN/>
              <w:adjustRightInd/>
              <w:snapToGrid/>
              <w:spacing w:before="60" w:after="60" w:line="220" w:lineRule="exact"/>
              <w:jc w:val="center"/>
              <w:rPr>
                <w:rFonts w:eastAsia="Times New Roman"/>
                <w:i/>
                <w:sz w:val="16"/>
              </w:rPr>
            </w:pPr>
            <w:r w:rsidRPr="00D47AF3">
              <w:rPr>
                <w:rFonts w:eastAsia="Times New Roman"/>
                <w:i/>
                <w:sz w:val="16"/>
              </w:rPr>
              <w:t>Paragraph</w:t>
            </w:r>
            <w:r>
              <w:rPr>
                <w:rFonts w:eastAsia="Times New Roman"/>
                <w:i/>
                <w:sz w:val="16"/>
              </w:rPr>
              <w:t>e</w:t>
            </w:r>
          </w:p>
        </w:tc>
      </w:tr>
      <w:tr w:rsidR="00E752D3" w:rsidRPr="00D47AF3" w:rsidTr="009C68E0">
        <w:trPr>
          <w:cantSplit/>
          <w:trHeight w:val="20"/>
        </w:trPr>
        <w:tc>
          <w:tcPr>
            <w:tcW w:w="4536" w:type="dxa"/>
            <w:tcBorders>
              <w:top w:val="single" w:sz="12" w:space="0" w:color="auto"/>
            </w:tcBorders>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Pr>
                <w:rFonts w:eastAsia="Times New Roman"/>
                <w:sz w:val="18"/>
                <w:szCs w:val="18"/>
              </w:rPr>
              <w:t>Feu de circulation diurne</w:t>
            </w:r>
            <w:r w:rsidRPr="00D47AF3">
              <w:rPr>
                <w:rFonts w:eastAsia="Times New Roman"/>
                <w:b/>
                <w:sz w:val="18"/>
                <w:szCs w:val="18"/>
                <w:vertAlign w:val="superscript"/>
              </w:rPr>
              <w:footnoteReference w:id="4"/>
            </w:r>
          </w:p>
        </w:tc>
        <w:tc>
          <w:tcPr>
            <w:tcW w:w="851" w:type="dxa"/>
            <w:tcBorders>
              <w:top w:val="single" w:sz="12" w:space="0" w:color="auto"/>
            </w:tcBorders>
          </w:tcPr>
          <w:p w:rsidR="00E752D3" w:rsidRPr="00D47AF3" w:rsidRDefault="00E752D3" w:rsidP="003B0399">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RL</w:t>
            </w:r>
          </w:p>
        </w:tc>
        <w:tc>
          <w:tcPr>
            <w:tcW w:w="852" w:type="dxa"/>
            <w:tcBorders>
              <w:top w:val="single" w:sz="12" w:space="0" w:color="auto"/>
            </w:tcBorders>
          </w:tcPr>
          <w:p w:rsidR="00E752D3" w:rsidRPr="00D47AF3" w:rsidRDefault="00E752D3" w:rsidP="003B0399">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5.4</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Pr>
                <w:rFonts w:eastAsia="Times New Roman"/>
                <w:b/>
                <w:sz w:val="18"/>
                <w:szCs w:val="18"/>
              </w:rPr>
              <w:t>Feu de circulation diurne</w:t>
            </w:r>
          </w:p>
        </w:tc>
        <w:tc>
          <w:tcPr>
            <w:tcW w:w="851" w:type="dxa"/>
          </w:tcPr>
          <w:p w:rsidR="00E752D3" w:rsidRPr="00D47AF3" w:rsidRDefault="00E752D3" w:rsidP="003B0399">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b/>
                <w:sz w:val="18"/>
                <w:szCs w:val="18"/>
              </w:rPr>
              <w:t>MRL</w:t>
            </w:r>
          </w:p>
        </w:tc>
        <w:tc>
          <w:tcPr>
            <w:tcW w:w="852" w:type="dxa"/>
          </w:tcPr>
          <w:p w:rsidR="00E752D3" w:rsidRPr="00D47AF3" w:rsidRDefault="00E752D3" w:rsidP="003B0399">
            <w:pPr>
              <w:kinsoku/>
              <w:overflowPunct/>
              <w:autoSpaceDE/>
              <w:autoSpaceDN/>
              <w:adjustRightInd/>
              <w:snapToGrid/>
              <w:spacing w:before="60" w:after="60" w:line="220" w:lineRule="exact"/>
              <w:ind w:left="142"/>
              <w:jc w:val="center"/>
              <w:rPr>
                <w:rFonts w:eastAsia="Times New Roman"/>
                <w:sz w:val="18"/>
                <w:szCs w:val="18"/>
              </w:rPr>
            </w:pPr>
            <w:r w:rsidRPr="00D47AF3">
              <w:rPr>
                <w:rFonts w:eastAsia="Times New Roman"/>
                <w:b/>
                <w:sz w:val="18"/>
                <w:szCs w:val="18"/>
              </w:rPr>
              <w:t>5.4</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Pr>
                <w:rFonts w:eastAsia="Times New Roman"/>
                <w:sz w:val="18"/>
                <w:szCs w:val="18"/>
              </w:rPr>
              <w:t xml:space="preserve">Feu indicateur de direction avant à installer à une distance d’au </w:t>
            </w:r>
            <w:r w:rsidRPr="00AE1608">
              <w:rPr>
                <w:rFonts w:eastAsia="Times New Roman"/>
                <w:sz w:val="18"/>
                <w:szCs w:val="18"/>
              </w:rPr>
              <w:t xml:space="preserve">moins 20 mm </w:t>
            </w:r>
            <w:r>
              <w:rPr>
                <w:rFonts w:eastAsia="Times New Roman"/>
                <w:sz w:val="18"/>
                <w:szCs w:val="18"/>
              </w:rPr>
              <w:t>d’un feu de croisement ou feu de brouillard avant</w:t>
            </w:r>
          </w:p>
        </w:tc>
        <w:tc>
          <w:tcPr>
            <w:tcW w:w="851" w:type="dxa"/>
          </w:tcPr>
          <w:p w:rsidR="00E752D3" w:rsidRPr="00D47AF3" w:rsidRDefault="00E752D3" w:rsidP="003B0399">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1a</w:t>
            </w:r>
          </w:p>
        </w:tc>
        <w:tc>
          <w:tcPr>
            <w:tcW w:w="852" w:type="dxa"/>
          </w:tcPr>
          <w:p w:rsidR="00E752D3" w:rsidRPr="00D47AF3" w:rsidRDefault="00E752D3" w:rsidP="003B0399">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5.6</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AE1608">
              <w:rPr>
                <w:rFonts w:eastAsia="Times New Roman"/>
                <w:sz w:val="18"/>
                <w:szCs w:val="18"/>
              </w:rPr>
              <w:t xml:space="preserve">Feu indicateur de direction avant à installer à une distance quelconque </w:t>
            </w:r>
            <w:r>
              <w:rPr>
                <w:rFonts w:eastAsia="Times New Roman"/>
                <w:sz w:val="18"/>
                <w:szCs w:val="18"/>
              </w:rPr>
              <w:t>d’un feu de croisement ou feu de brouillard avant</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1b</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5.6</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Pr>
                <w:rFonts w:eastAsia="Times New Roman"/>
                <w:sz w:val="18"/>
                <w:szCs w:val="18"/>
              </w:rPr>
              <w:t>Feu indicateur de direction avant à installer à une distance d’au moins</w:t>
            </w:r>
            <w:r w:rsidRPr="00D47AF3">
              <w:rPr>
                <w:rFonts w:eastAsia="Times New Roman"/>
                <w:sz w:val="18"/>
                <w:szCs w:val="18"/>
              </w:rPr>
              <w:t xml:space="preserve"> 40 mm </w:t>
            </w:r>
            <w:r>
              <w:rPr>
                <w:rFonts w:eastAsia="Times New Roman"/>
                <w:sz w:val="18"/>
                <w:szCs w:val="18"/>
              </w:rPr>
              <w:t>d’un feu de croisement ou feu de brouillard avant</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1</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5.6</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Pr>
                <w:rFonts w:eastAsia="Times New Roman"/>
                <w:sz w:val="18"/>
                <w:szCs w:val="18"/>
              </w:rPr>
              <w:t>Indicateurs de direction avant pour véhicule de la catégorie L à utiliser à une distance d’au moins</w:t>
            </w:r>
            <w:r w:rsidRPr="00D47AF3">
              <w:rPr>
                <w:rFonts w:eastAsia="Times New Roman"/>
                <w:sz w:val="18"/>
                <w:szCs w:val="18"/>
              </w:rPr>
              <w:t xml:space="preserve"> 75 mm </w:t>
            </w:r>
            <w:r>
              <w:rPr>
                <w:rFonts w:eastAsia="Times New Roman"/>
                <w:sz w:val="18"/>
                <w:szCs w:val="18"/>
              </w:rPr>
              <w:t>d’un feu de croisement</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11</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5.6</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Pr>
                <w:rFonts w:eastAsia="Times New Roman"/>
                <w:sz w:val="18"/>
                <w:szCs w:val="18"/>
              </w:rPr>
              <w:t>Indicateurs de direction avant pour véhicule de la catégorie L à utiliser à une distance d’au moins</w:t>
            </w:r>
            <w:r w:rsidRPr="00D47AF3">
              <w:rPr>
                <w:rFonts w:eastAsia="Times New Roman"/>
                <w:sz w:val="18"/>
                <w:szCs w:val="18"/>
              </w:rPr>
              <w:t xml:space="preserve"> 40 mm </w:t>
            </w:r>
            <w:r>
              <w:rPr>
                <w:rFonts w:eastAsia="Times New Roman"/>
                <w:sz w:val="18"/>
                <w:szCs w:val="18"/>
              </w:rPr>
              <w:t>d’un feu de croisement</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11a</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5.6</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Pr>
                <w:rFonts w:eastAsia="Times New Roman"/>
                <w:sz w:val="18"/>
                <w:szCs w:val="18"/>
              </w:rPr>
              <w:t>Indicateurs de direction avant pour véhicule de la catégorie L à utiliser à une distance d’au moins</w:t>
            </w:r>
            <w:r w:rsidRPr="00D47AF3">
              <w:rPr>
                <w:rFonts w:eastAsia="Times New Roman"/>
                <w:sz w:val="18"/>
                <w:szCs w:val="18"/>
              </w:rPr>
              <w:t xml:space="preserve"> 20 mm </w:t>
            </w:r>
            <w:r>
              <w:rPr>
                <w:rFonts w:eastAsia="Times New Roman"/>
                <w:sz w:val="18"/>
                <w:szCs w:val="18"/>
              </w:rPr>
              <w:t>d’un feu de croisement</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11b</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5.6</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AE1608">
              <w:rPr>
                <w:rFonts w:eastAsia="Times New Roman"/>
                <w:sz w:val="18"/>
                <w:szCs w:val="18"/>
              </w:rPr>
              <w:t>Indicateurs de direction avant pour véhicule de la catégorie L à utiliser à une distance quelconque d’un feu de croisement</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11c</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5.6</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Feu d</w:t>
            </w:r>
            <w:r>
              <w:rPr>
                <w:sz w:val="18"/>
                <w:szCs w:val="18"/>
              </w:rPr>
              <w:t>’</w:t>
            </w:r>
            <w:r w:rsidRPr="00101CFA">
              <w:rPr>
                <w:sz w:val="18"/>
                <w:szCs w:val="18"/>
              </w:rPr>
              <w:t>encombrement avant</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AM</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5.1</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Feu de position avant pour véhicules de la catégorie L</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MA</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5.1</w:t>
            </w:r>
          </w:p>
        </w:tc>
      </w:tr>
      <w:tr w:rsidR="00E752D3" w:rsidRPr="00D47AF3" w:rsidTr="009C68E0">
        <w:trPr>
          <w:cantSplit/>
          <w:trHeight w:val="20"/>
        </w:trPr>
        <w:tc>
          <w:tcPr>
            <w:tcW w:w="4536" w:type="dxa"/>
            <w:tcBorders>
              <w:top w:val="single" w:sz="2" w:space="0" w:color="auto"/>
            </w:tcBorders>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Feu de position avant</w:t>
            </w:r>
          </w:p>
        </w:tc>
        <w:tc>
          <w:tcPr>
            <w:tcW w:w="851" w:type="dxa"/>
            <w:tcBorders>
              <w:top w:val="single" w:sz="2" w:space="0" w:color="auto"/>
            </w:tcBorders>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A</w:t>
            </w:r>
          </w:p>
        </w:tc>
        <w:tc>
          <w:tcPr>
            <w:tcW w:w="852" w:type="dxa"/>
            <w:tcBorders>
              <w:top w:val="single" w:sz="2" w:space="0" w:color="auto"/>
            </w:tcBorders>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5.1</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9C68E0">
              <w:rPr>
                <w:rFonts w:eastAsia="Times New Roman"/>
                <w:sz w:val="18"/>
                <w:szCs w:val="18"/>
              </w:rPr>
              <w:t>Feu de manœuvre</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ML</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sidRPr="00D47AF3">
              <w:rPr>
                <w:rFonts w:eastAsia="Times New Roman"/>
                <w:sz w:val="18"/>
                <w:szCs w:val="18"/>
              </w:rPr>
              <w:t>5.10</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Feu de stationnement (faisant face vers l</w:t>
            </w:r>
            <w:r>
              <w:rPr>
                <w:sz w:val="18"/>
                <w:szCs w:val="18"/>
              </w:rPr>
              <w:t>’</w:t>
            </w:r>
            <w:r w:rsidRPr="00101CFA">
              <w:rPr>
                <w:sz w:val="18"/>
                <w:szCs w:val="18"/>
              </w:rPr>
              <w:t>avant ou vers l</w:t>
            </w:r>
            <w:r>
              <w:rPr>
                <w:sz w:val="18"/>
                <w:szCs w:val="18"/>
              </w:rPr>
              <w:t>’</w:t>
            </w:r>
            <w:r w:rsidRPr="00101CFA">
              <w:rPr>
                <w:sz w:val="18"/>
                <w:szCs w:val="18"/>
              </w:rPr>
              <w:t>arrière)</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77R</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5.3</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Feu indicateur de direction arrière (intensité constante)</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2a</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5.6</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Feu indicateur de direction arrière (intensité variable)</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2b</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5.6</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9C68E0">
              <w:rPr>
                <w:rFonts w:eastAsia="Times New Roman"/>
                <w:sz w:val="18"/>
                <w:szCs w:val="18"/>
              </w:rPr>
              <w:t>Feu</w:t>
            </w:r>
            <w:r w:rsidRPr="00101CFA">
              <w:rPr>
                <w:sz w:val="18"/>
                <w:szCs w:val="18"/>
              </w:rPr>
              <w:t xml:space="preserve"> indicateur de direction arrière pour véhicules de la catégorie L</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12</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5.6</w:t>
            </w:r>
          </w:p>
        </w:tc>
      </w:tr>
      <w:tr w:rsidR="00E752D3" w:rsidRPr="00D47AF3" w:rsidTr="009C68E0">
        <w:trPr>
          <w:cantSplit/>
          <w:trHeight w:val="20"/>
        </w:trPr>
        <w:tc>
          <w:tcPr>
            <w:tcW w:w="4536" w:type="dxa"/>
            <w:tcBorders>
              <w:bottom w:val="single" w:sz="2" w:space="0" w:color="auto"/>
            </w:tcBorders>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Feu d</w:t>
            </w:r>
            <w:r>
              <w:rPr>
                <w:sz w:val="18"/>
                <w:szCs w:val="18"/>
              </w:rPr>
              <w:t>’</w:t>
            </w:r>
            <w:r w:rsidRPr="00101CFA">
              <w:rPr>
                <w:sz w:val="18"/>
                <w:szCs w:val="18"/>
              </w:rPr>
              <w:t>encombrement arrière (intensité constante)</w:t>
            </w:r>
          </w:p>
        </w:tc>
        <w:tc>
          <w:tcPr>
            <w:tcW w:w="851" w:type="dxa"/>
            <w:tcBorders>
              <w:bottom w:val="single" w:sz="2" w:space="0" w:color="auto"/>
            </w:tcBorders>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RM1</w:t>
            </w:r>
          </w:p>
        </w:tc>
        <w:tc>
          <w:tcPr>
            <w:tcW w:w="852" w:type="dxa"/>
            <w:tcBorders>
              <w:bottom w:val="single" w:sz="2" w:space="0" w:color="auto"/>
            </w:tcBorders>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5.2</w:t>
            </w:r>
          </w:p>
        </w:tc>
      </w:tr>
      <w:tr w:rsidR="00E752D3" w:rsidRPr="00D47AF3" w:rsidTr="009C68E0">
        <w:trPr>
          <w:cantSplit/>
          <w:trHeight w:val="20"/>
        </w:trPr>
        <w:tc>
          <w:tcPr>
            <w:tcW w:w="4536" w:type="dxa"/>
            <w:tcBorders>
              <w:top w:val="single" w:sz="2" w:space="0" w:color="auto"/>
            </w:tcBorders>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Feu d</w:t>
            </w:r>
            <w:r>
              <w:rPr>
                <w:sz w:val="18"/>
                <w:szCs w:val="18"/>
              </w:rPr>
              <w:t>’</w:t>
            </w:r>
            <w:r w:rsidRPr="00101CFA">
              <w:rPr>
                <w:sz w:val="18"/>
                <w:szCs w:val="18"/>
              </w:rPr>
              <w:t>encombrement arrière (intensité variable)</w:t>
            </w:r>
          </w:p>
        </w:tc>
        <w:tc>
          <w:tcPr>
            <w:tcW w:w="851" w:type="dxa"/>
            <w:tcBorders>
              <w:top w:val="single" w:sz="2" w:space="0" w:color="auto"/>
            </w:tcBorders>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RM2</w:t>
            </w:r>
          </w:p>
        </w:tc>
        <w:tc>
          <w:tcPr>
            <w:tcW w:w="852" w:type="dxa"/>
            <w:tcBorders>
              <w:top w:val="single" w:sz="2" w:space="0" w:color="auto"/>
            </w:tcBorders>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5.2</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 xml:space="preserve">Feu de brouillard arrière </w:t>
            </w:r>
            <w:r w:rsidRPr="00D47AF3">
              <w:rPr>
                <w:rFonts w:eastAsia="Times New Roman"/>
                <w:sz w:val="18"/>
                <w:szCs w:val="18"/>
              </w:rPr>
              <w:t>(</w:t>
            </w:r>
            <w:r>
              <w:rPr>
                <w:rFonts w:eastAsia="Times New Roman"/>
                <w:sz w:val="18"/>
                <w:szCs w:val="18"/>
              </w:rPr>
              <w:t>intensité constante</w:t>
            </w:r>
            <w:r w:rsidRPr="00D47AF3">
              <w:rPr>
                <w:rFonts w:eastAsia="Times New Roman"/>
                <w:sz w:val="18"/>
                <w:szCs w:val="18"/>
              </w:rPr>
              <w:t>)</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F1</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5.9</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 xml:space="preserve">Feu de brouillard arrière </w:t>
            </w:r>
            <w:r w:rsidRPr="00D47AF3">
              <w:rPr>
                <w:rFonts w:eastAsia="Times New Roman"/>
                <w:sz w:val="18"/>
                <w:szCs w:val="18"/>
              </w:rPr>
              <w:t>(</w:t>
            </w:r>
            <w:r w:rsidRPr="00101CFA">
              <w:rPr>
                <w:sz w:val="18"/>
                <w:szCs w:val="18"/>
              </w:rPr>
              <w:t xml:space="preserve">intensité </w:t>
            </w:r>
            <w:r w:rsidRPr="00D47AF3">
              <w:rPr>
                <w:rFonts w:eastAsia="Times New Roman"/>
                <w:sz w:val="18"/>
                <w:szCs w:val="18"/>
              </w:rPr>
              <w:t>variable)</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F2</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5.9</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 xml:space="preserve">Feu de position arrière </w:t>
            </w:r>
            <w:r>
              <w:rPr>
                <w:rFonts w:eastAsia="Times New Roman"/>
                <w:sz w:val="18"/>
                <w:szCs w:val="18"/>
              </w:rPr>
              <w:t>pour véhicules de la catégorie L</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MR</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5.2</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 xml:space="preserve">Feu de position arrière </w:t>
            </w:r>
            <w:r w:rsidRPr="00D47AF3">
              <w:rPr>
                <w:rFonts w:eastAsia="Times New Roman"/>
                <w:sz w:val="18"/>
                <w:szCs w:val="18"/>
              </w:rPr>
              <w:t>(</w:t>
            </w:r>
            <w:r>
              <w:rPr>
                <w:rFonts w:eastAsia="Times New Roman"/>
                <w:sz w:val="18"/>
                <w:szCs w:val="18"/>
              </w:rPr>
              <w:t>intensité constante</w:t>
            </w:r>
            <w:r w:rsidRPr="00D47AF3">
              <w:rPr>
                <w:rFonts w:eastAsia="Times New Roman"/>
                <w:sz w:val="18"/>
                <w:szCs w:val="18"/>
              </w:rPr>
              <w:t>)</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R1</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5.2</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 xml:space="preserve">Feu de position arrière </w:t>
            </w:r>
            <w:r w:rsidRPr="00D47AF3">
              <w:rPr>
                <w:rFonts w:eastAsia="Times New Roman"/>
                <w:sz w:val="18"/>
                <w:szCs w:val="18"/>
              </w:rPr>
              <w:t>(</w:t>
            </w:r>
            <w:r w:rsidRPr="00101CFA">
              <w:rPr>
                <w:sz w:val="18"/>
                <w:szCs w:val="18"/>
              </w:rPr>
              <w:t xml:space="preserve">intensité </w:t>
            </w:r>
            <w:r w:rsidRPr="00D47AF3">
              <w:rPr>
                <w:rFonts w:eastAsia="Times New Roman"/>
                <w:sz w:val="18"/>
                <w:szCs w:val="18"/>
              </w:rPr>
              <w:t>variable)</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R2</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5.2</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Feu de plaque d</w:t>
            </w:r>
            <w:r>
              <w:rPr>
                <w:sz w:val="18"/>
                <w:szCs w:val="18"/>
              </w:rPr>
              <w:t>’</w:t>
            </w:r>
            <w:r w:rsidRPr="00101CFA">
              <w:rPr>
                <w:sz w:val="18"/>
                <w:szCs w:val="18"/>
              </w:rPr>
              <w:t>immatriculation arrière</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L</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sidRPr="00D47AF3">
              <w:rPr>
                <w:rFonts w:eastAsia="Times New Roman"/>
                <w:sz w:val="18"/>
                <w:szCs w:val="18"/>
              </w:rPr>
              <w:t>5.11</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Feu de plaque d</w:t>
            </w:r>
            <w:r>
              <w:rPr>
                <w:sz w:val="18"/>
                <w:szCs w:val="18"/>
              </w:rPr>
              <w:t>’</w:t>
            </w:r>
            <w:r w:rsidRPr="00101CFA">
              <w:rPr>
                <w:sz w:val="18"/>
                <w:szCs w:val="18"/>
              </w:rPr>
              <w:t>immatriculation arrière</w:t>
            </w:r>
            <w:r w:rsidRPr="00D47AF3">
              <w:rPr>
                <w:rFonts w:eastAsia="Times New Roman"/>
                <w:sz w:val="18"/>
                <w:szCs w:val="18"/>
              </w:rPr>
              <w:t xml:space="preserve"> </w:t>
            </w:r>
            <w:r>
              <w:rPr>
                <w:rFonts w:eastAsia="Times New Roman"/>
                <w:sz w:val="18"/>
                <w:szCs w:val="18"/>
              </w:rPr>
              <w:t>pour véhicules de la catégorie L</w:t>
            </w:r>
            <w:r w:rsidRPr="00D47AF3" w:rsidDel="00343772">
              <w:rPr>
                <w:rFonts w:eastAsia="Times New Roman"/>
                <w:sz w:val="18"/>
                <w:szCs w:val="18"/>
              </w:rPr>
              <w:t xml:space="preserve"> </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LM1</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5.11</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101CFA">
              <w:rPr>
                <w:sz w:val="18"/>
                <w:szCs w:val="18"/>
              </w:rPr>
              <w:t>Feu de marche arrière (</w:t>
            </w:r>
            <w:r w:rsidRPr="002956F2">
              <w:rPr>
                <w:i/>
                <w:sz w:val="18"/>
                <w:szCs w:val="18"/>
              </w:rPr>
              <w:t>note</w:t>
            </w:r>
            <w:r w:rsidRPr="00101CFA">
              <w:rPr>
                <w:sz w:val="18"/>
                <w:szCs w:val="18"/>
              </w:rPr>
              <w:t> : les lettres A et R peuvent être combinées)</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szCs w:val="18"/>
              </w:rPr>
            </w:pPr>
            <w:r w:rsidRPr="00D47AF3">
              <w:rPr>
                <w:rFonts w:eastAsia="Times New Roman"/>
                <w:sz w:val="18"/>
                <w:szCs w:val="18"/>
              </w:rPr>
              <w:t>AR</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szCs w:val="18"/>
              </w:rPr>
            </w:pPr>
            <w:r>
              <w:rPr>
                <w:rFonts w:eastAsia="Times New Roman"/>
                <w:sz w:val="18"/>
                <w:szCs w:val="18"/>
              </w:rPr>
              <w:t>5.8</w:t>
            </w:r>
          </w:p>
        </w:tc>
      </w:tr>
      <w:tr w:rsidR="00E752D3" w:rsidRPr="00D47AF3" w:rsidTr="009C68E0">
        <w:trPr>
          <w:cantSplit/>
          <w:trHeight w:val="20"/>
        </w:trPr>
        <w:tc>
          <w:tcPr>
            <w:tcW w:w="4536" w:type="dxa"/>
            <w:shd w:val="clear" w:color="auto" w:fill="auto"/>
            <w:vAlign w:val="center"/>
          </w:tcPr>
          <w:p w:rsidR="00E752D3" w:rsidRPr="009C68E0" w:rsidRDefault="00E752D3" w:rsidP="009C68E0">
            <w:pPr>
              <w:kinsoku/>
              <w:overflowPunct/>
              <w:autoSpaceDE/>
              <w:autoSpaceDN/>
              <w:adjustRightInd/>
              <w:snapToGrid/>
              <w:spacing w:before="60" w:after="60" w:line="220" w:lineRule="exact"/>
              <w:ind w:left="57" w:right="57"/>
              <w:rPr>
                <w:rFonts w:eastAsia="Times New Roman"/>
                <w:sz w:val="18"/>
                <w:szCs w:val="18"/>
              </w:rPr>
            </w:pPr>
            <w:r w:rsidRPr="009C68E0">
              <w:rPr>
                <w:rFonts w:eastAsia="Times New Roman"/>
                <w:sz w:val="18"/>
                <w:szCs w:val="18"/>
              </w:rPr>
              <w:t>Feu indicateur de direction latéral pour les véhicules de la catégorie M1 et les véhicules des catégories N1, M2 et M3 d’une longueur inférieure ou égale à 6 000 mm</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rPr>
            </w:pPr>
            <w:r w:rsidRPr="00D47AF3">
              <w:rPr>
                <w:rFonts w:eastAsia="Times New Roman"/>
                <w:sz w:val="18"/>
              </w:rPr>
              <w:t>5</w:t>
            </w:r>
          </w:p>
        </w:tc>
        <w:tc>
          <w:tcPr>
            <w:tcW w:w="852" w:type="dxa"/>
          </w:tcPr>
          <w:p w:rsidR="00E752D3" w:rsidRPr="00D47AF3" w:rsidRDefault="00E752D3" w:rsidP="009C68E0">
            <w:pPr>
              <w:kinsoku/>
              <w:overflowPunct/>
              <w:autoSpaceDE/>
              <w:autoSpaceDN/>
              <w:adjustRightInd/>
              <w:snapToGrid/>
              <w:spacing w:before="60" w:after="60" w:line="220" w:lineRule="exact"/>
              <w:ind w:left="142"/>
              <w:jc w:val="center"/>
              <w:rPr>
                <w:rFonts w:eastAsia="Times New Roman"/>
                <w:sz w:val="18"/>
              </w:rPr>
            </w:pPr>
            <w:r>
              <w:rPr>
                <w:rFonts w:eastAsia="Times New Roman"/>
                <w:sz w:val="18"/>
              </w:rPr>
              <w:t>5.6</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rPr>
            </w:pPr>
            <w:r w:rsidRPr="00101CFA">
              <w:rPr>
                <w:sz w:val="18"/>
              </w:rPr>
              <w:t>Feu indicateur de direction latéral pour les véhicules des catégories N</w:t>
            </w:r>
            <w:r w:rsidRPr="00101CFA">
              <w:rPr>
                <w:sz w:val="18"/>
                <w:vertAlign w:val="subscript"/>
              </w:rPr>
              <w:t>2</w:t>
            </w:r>
            <w:r w:rsidRPr="00101CFA">
              <w:rPr>
                <w:sz w:val="18"/>
              </w:rPr>
              <w:t xml:space="preserve"> et N</w:t>
            </w:r>
            <w:r w:rsidRPr="00101CFA">
              <w:rPr>
                <w:sz w:val="18"/>
                <w:vertAlign w:val="subscript"/>
              </w:rPr>
              <w:t xml:space="preserve">3 </w:t>
            </w:r>
            <w:r w:rsidRPr="00101CFA">
              <w:rPr>
                <w:sz w:val="18"/>
              </w:rPr>
              <w:t>et les véhicules des catégories N</w:t>
            </w:r>
            <w:r w:rsidRPr="00101CFA">
              <w:rPr>
                <w:sz w:val="18"/>
                <w:vertAlign w:val="subscript"/>
              </w:rPr>
              <w:t>1</w:t>
            </w:r>
            <w:r w:rsidRPr="00101CFA">
              <w:rPr>
                <w:sz w:val="18"/>
              </w:rPr>
              <w:t>, M</w:t>
            </w:r>
            <w:r w:rsidRPr="00101CFA">
              <w:rPr>
                <w:sz w:val="18"/>
                <w:vertAlign w:val="subscript"/>
              </w:rPr>
              <w:t>2</w:t>
            </w:r>
            <w:r w:rsidRPr="00101CFA">
              <w:rPr>
                <w:sz w:val="18"/>
              </w:rPr>
              <w:t xml:space="preserve"> et M</w:t>
            </w:r>
            <w:r w:rsidRPr="00101CFA">
              <w:rPr>
                <w:sz w:val="18"/>
                <w:vertAlign w:val="subscript"/>
              </w:rPr>
              <w:t>3</w:t>
            </w:r>
            <w:r w:rsidRPr="00101CFA">
              <w:rPr>
                <w:sz w:val="18"/>
              </w:rPr>
              <w:t xml:space="preserve"> d</w:t>
            </w:r>
            <w:r>
              <w:rPr>
                <w:sz w:val="18"/>
              </w:rPr>
              <w:t>’</w:t>
            </w:r>
            <w:r w:rsidRPr="00101CFA">
              <w:rPr>
                <w:sz w:val="18"/>
              </w:rPr>
              <w:t>une longueur supérieure à 6 000 mm</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rPr>
            </w:pPr>
            <w:r w:rsidRPr="00D47AF3">
              <w:rPr>
                <w:rFonts w:eastAsia="Times New Roman"/>
                <w:sz w:val="18"/>
              </w:rPr>
              <w:t>6</w:t>
            </w:r>
          </w:p>
        </w:tc>
        <w:tc>
          <w:tcPr>
            <w:tcW w:w="852" w:type="dxa"/>
          </w:tcPr>
          <w:p w:rsidR="00E752D3" w:rsidRPr="00D47AF3" w:rsidRDefault="00076AD5" w:rsidP="009C68E0">
            <w:pPr>
              <w:kinsoku/>
              <w:overflowPunct/>
              <w:autoSpaceDE/>
              <w:autoSpaceDN/>
              <w:adjustRightInd/>
              <w:snapToGrid/>
              <w:spacing w:before="60" w:after="60" w:line="220" w:lineRule="exact"/>
              <w:ind w:left="142"/>
              <w:jc w:val="center"/>
              <w:rPr>
                <w:rFonts w:eastAsia="Times New Roman"/>
                <w:sz w:val="18"/>
              </w:rPr>
            </w:pPr>
            <w:r>
              <w:rPr>
                <w:rFonts w:eastAsia="Times New Roman"/>
                <w:sz w:val="18"/>
              </w:rPr>
              <w:t>5.6</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rPr>
            </w:pPr>
            <w:r w:rsidRPr="00101CFA">
              <w:rPr>
                <w:sz w:val="18"/>
              </w:rPr>
              <w:t>Feu de position latéral pour toutes les catégories de véhicule</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rPr>
            </w:pPr>
            <w:r w:rsidRPr="00D47AF3">
              <w:rPr>
                <w:rFonts w:eastAsia="Times New Roman"/>
                <w:sz w:val="18"/>
              </w:rPr>
              <w:t>SM1</w:t>
            </w:r>
          </w:p>
        </w:tc>
        <w:tc>
          <w:tcPr>
            <w:tcW w:w="852" w:type="dxa"/>
          </w:tcPr>
          <w:p w:rsidR="00E752D3" w:rsidRPr="00D47AF3" w:rsidRDefault="00076AD5" w:rsidP="009C68E0">
            <w:pPr>
              <w:kinsoku/>
              <w:overflowPunct/>
              <w:autoSpaceDE/>
              <w:autoSpaceDN/>
              <w:adjustRightInd/>
              <w:snapToGrid/>
              <w:spacing w:before="60" w:after="60" w:line="220" w:lineRule="exact"/>
              <w:ind w:left="142"/>
              <w:jc w:val="center"/>
              <w:rPr>
                <w:rFonts w:eastAsia="Times New Roman"/>
                <w:sz w:val="18"/>
              </w:rPr>
            </w:pPr>
            <w:r>
              <w:rPr>
                <w:rFonts w:eastAsia="Times New Roman"/>
                <w:sz w:val="18"/>
              </w:rPr>
              <w:t>5.7</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rPr>
            </w:pPr>
            <w:r w:rsidRPr="00101CFA">
              <w:rPr>
                <w:sz w:val="18"/>
              </w:rPr>
              <w:t>Feu de position latéral</w:t>
            </w:r>
            <w:r w:rsidRPr="00101CFA">
              <w:rPr>
                <w:sz w:val="18"/>
                <w:szCs w:val="18"/>
              </w:rPr>
              <w:t xml:space="preserve"> pour véhicules de la catégorie </w:t>
            </w:r>
            <w:r w:rsidRPr="00101CFA">
              <w:rPr>
                <w:sz w:val="18"/>
              </w:rPr>
              <w:t>M</w:t>
            </w:r>
            <w:r w:rsidRPr="00101CFA">
              <w:rPr>
                <w:sz w:val="18"/>
                <w:vertAlign w:val="subscript"/>
              </w:rPr>
              <w:t>1</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rPr>
            </w:pPr>
            <w:r w:rsidRPr="00D47AF3">
              <w:rPr>
                <w:rFonts w:eastAsia="Times New Roman"/>
                <w:sz w:val="18"/>
              </w:rPr>
              <w:t>SM2</w:t>
            </w:r>
          </w:p>
        </w:tc>
        <w:tc>
          <w:tcPr>
            <w:tcW w:w="852" w:type="dxa"/>
          </w:tcPr>
          <w:p w:rsidR="00E752D3" w:rsidRPr="00D47AF3" w:rsidRDefault="00076AD5" w:rsidP="009C68E0">
            <w:pPr>
              <w:kinsoku/>
              <w:overflowPunct/>
              <w:autoSpaceDE/>
              <w:autoSpaceDN/>
              <w:adjustRightInd/>
              <w:snapToGrid/>
              <w:spacing w:before="60" w:after="60" w:line="220" w:lineRule="exact"/>
              <w:ind w:left="142"/>
              <w:jc w:val="center"/>
              <w:rPr>
                <w:rFonts w:eastAsia="Times New Roman"/>
                <w:sz w:val="18"/>
              </w:rPr>
            </w:pPr>
            <w:r>
              <w:rPr>
                <w:rFonts w:eastAsia="Times New Roman"/>
                <w:sz w:val="18"/>
              </w:rPr>
              <w:t>5.7</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rPr>
            </w:pPr>
            <w:r>
              <w:rPr>
                <w:rFonts w:eastAsia="Times New Roman"/>
                <w:sz w:val="18"/>
              </w:rPr>
              <w:t>Feu-stop</w:t>
            </w:r>
            <w:r w:rsidRPr="00D47AF3">
              <w:rPr>
                <w:rFonts w:eastAsia="Times New Roman"/>
                <w:sz w:val="18"/>
              </w:rPr>
              <w:t xml:space="preserve"> (</w:t>
            </w:r>
            <w:r>
              <w:rPr>
                <w:rFonts w:eastAsia="Times New Roman"/>
                <w:sz w:val="18"/>
              </w:rPr>
              <w:t>central et placé en hauteur</w:t>
            </w:r>
            <w:r w:rsidRPr="00D47AF3">
              <w:rPr>
                <w:rFonts w:eastAsia="Times New Roman"/>
                <w:sz w:val="18"/>
              </w:rPr>
              <w:t>) (</w:t>
            </w:r>
            <w:r>
              <w:rPr>
                <w:rFonts w:eastAsia="Times New Roman"/>
                <w:sz w:val="18"/>
              </w:rPr>
              <w:t>intensité constante</w:t>
            </w:r>
            <w:r w:rsidRPr="00D47AF3">
              <w:rPr>
                <w:rFonts w:eastAsia="Times New Roman"/>
                <w:sz w:val="18"/>
              </w:rPr>
              <w:t>)</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rPr>
            </w:pPr>
            <w:r w:rsidRPr="00D47AF3">
              <w:rPr>
                <w:rFonts w:eastAsia="Times New Roman"/>
                <w:sz w:val="18"/>
              </w:rPr>
              <w:t>S3</w:t>
            </w:r>
          </w:p>
        </w:tc>
        <w:tc>
          <w:tcPr>
            <w:tcW w:w="852" w:type="dxa"/>
          </w:tcPr>
          <w:p w:rsidR="00E752D3" w:rsidRPr="00D47AF3" w:rsidRDefault="00076AD5" w:rsidP="009C68E0">
            <w:pPr>
              <w:kinsoku/>
              <w:overflowPunct/>
              <w:autoSpaceDE/>
              <w:autoSpaceDN/>
              <w:adjustRightInd/>
              <w:snapToGrid/>
              <w:spacing w:before="60" w:after="60" w:line="220" w:lineRule="exact"/>
              <w:ind w:left="142"/>
              <w:jc w:val="center"/>
              <w:rPr>
                <w:rFonts w:eastAsia="Times New Roman"/>
                <w:sz w:val="18"/>
              </w:rPr>
            </w:pPr>
            <w:r>
              <w:rPr>
                <w:rFonts w:eastAsia="Times New Roman"/>
                <w:sz w:val="18"/>
              </w:rPr>
              <w:t>5.5</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rPr>
            </w:pPr>
            <w:r>
              <w:rPr>
                <w:rFonts w:eastAsia="Times New Roman"/>
                <w:sz w:val="18"/>
              </w:rPr>
              <w:t>Feu-stop</w:t>
            </w:r>
            <w:r w:rsidRPr="00D47AF3">
              <w:rPr>
                <w:rFonts w:eastAsia="Times New Roman"/>
                <w:sz w:val="18"/>
              </w:rPr>
              <w:t xml:space="preserve"> (</w:t>
            </w:r>
            <w:r>
              <w:rPr>
                <w:rFonts w:eastAsia="Times New Roman"/>
                <w:sz w:val="18"/>
              </w:rPr>
              <w:t>central et placé en hauteur</w:t>
            </w:r>
            <w:r w:rsidRPr="00D47AF3">
              <w:rPr>
                <w:rFonts w:eastAsia="Times New Roman"/>
                <w:sz w:val="18"/>
              </w:rPr>
              <w:t>) (</w:t>
            </w:r>
            <w:r w:rsidRPr="00101CFA">
              <w:rPr>
                <w:sz w:val="18"/>
                <w:szCs w:val="18"/>
              </w:rPr>
              <w:t xml:space="preserve">intensité </w:t>
            </w:r>
            <w:r w:rsidRPr="00D47AF3">
              <w:rPr>
                <w:rFonts w:eastAsia="Times New Roman"/>
                <w:sz w:val="18"/>
              </w:rPr>
              <w:t>variable)</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rPr>
            </w:pPr>
            <w:r w:rsidRPr="00D47AF3">
              <w:rPr>
                <w:rFonts w:eastAsia="Times New Roman"/>
                <w:sz w:val="18"/>
              </w:rPr>
              <w:t>S4</w:t>
            </w:r>
          </w:p>
        </w:tc>
        <w:tc>
          <w:tcPr>
            <w:tcW w:w="852" w:type="dxa"/>
          </w:tcPr>
          <w:p w:rsidR="00E752D3" w:rsidRPr="00D47AF3" w:rsidRDefault="00076AD5" w:rsidP="009C68E0">
            <w:pPr>
              <w:kinsoku/>
              <w:overflowPunct/>
              <w:autoSpaceDE/>
              <w:autoSpaceDN/>
              <w:adjustRightInd/>
              <w:snapToGrid/>
              <w:spacing w:before="60" w:after="60" w:line="220" w:lineRule="exact"/>
              <w:ind w:left="142"/>
              <w:jc w:val="center"/>
              <w:rPr>
                <w:rFonts w:eastAsia="Times New Roman"/>
                <w:sz w:val="18"/>
              </w:rPr>
            </w:pPr>
            <w:r>
              <w:rPr>
                <w:rFonts w:eastAsia="Times New Roman"/>
                <w:sz w:val="18"/>
              </w:rPr>
              <w:t>5.5</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rPr>
            </w:pPr>
            <w:r>
              <w:rPr>
                <w:rFonts w:eastAsia="Times New Roman"/>
                <w:sz w:val="18"/>
              </w:rPr>
              <w:t>Feu-stop</w:t>
            </w:r>
            <w:r w:rsidRPr="00D47AF3">
              <w:rPr>
                <w:rFonts w:eastAsia="Times New Roman"/>
                <w:sz w:val="18"/>
              </w:rPr>
              <w:t xml:space="preserve"> </w:t>
            </w:r>
            <w:r>
              <w:rPr>
                <w:rFonts w:eastAsia="Times New Roman"/>
                <w:sz w:val="18"/>
                <w:szCs w:val="18"/>
              </w:rPr>
              <w:t>pour véhicules de la catégorie L</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rPr>
            </w:pPr>
            <w:r w:rsidRPr="00D47AF3">
              <w:rPr>
                <w:rFonts w:eastAsia="Times New Roman"/>
                <w:sz w:val="18"/>
              </w:rPr>
              <w:t>MS</w:t>
            </w:r>
          </w:p>
        </w:tc>
        <w:tc>
          <w:tcPr>
            <w:tcW w:w="852" w:type="dxa"/>
          </w:tcPr>
          <w:p w:rsidR="00E752D3" w:rsidRPr="00D47AF3" w:rsidRDefault="00076AD5" w:rsidP="009C68E0">
            <w:pPr>
              <w:kinsoku/>
              <w:overflowPunct/>
              <w:autoSpaceDE/>
              <w:autoSpaceDN/>
              <w:adjustRightInd/>
              <w:snapToGrid/>
              <w:spacing w:before="60" w:after="60" w:line="220" w:lineRule="exact"/>
              <w:ind w:left="142"/>
              <w:jc w:val="center"/>
              <w:rPr>
                <w:rFonts w:eastAsia="Times New Roman"/>
                <w:sz w:val="18"/>
              </w:rPr>
            </w:pPr>
            <w:r>
              <w:rPr>
                <w:rFonts w:eastAsia="Times New Roman"/>
                <w:sz w:val="18"/>
              </w:rPr>
              <w:t>5.5</w:t>
            </w:r>
          </w:p>
        </w:tc>
      </w:tr>
      <w:tr w:rsidR="00E752D3" w:rsidRPr="00D47AF3" w:rsidTr="009C68E0">
        <w:trPr>
          <w:cantSplit/>
          <w:trHeight w:val="20"/>
        </w:trPr>
        <w:tc>
          <w:tcPr>
            <w:tcW w:w="4536" w:type="dxa"/>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rPr>
            </w:pPr>
            <w:r>
              <w:rPr>
                <w:rFonts w:eastAsia="Times New Roman"/>
                <w:sz w:val="18"/>
              </w:rPr>
              <w:t>Feu-stop</w:t>
            </w:r>
            <w:r w:rsidRPr="00D47AF3">
              <w:rPr>
                <w:rFonts w:eastAsia="Times New Roman"/>
                <w:sz w:val="18"/>
              </w:rPr>
              <w:t xml:space="preserve"> (</w:t>
            </w:r>
            <w:r>
              <w:rPr>
                <w:rFonts w:eastAsia="Times New Roman"/>
                <w:sz w:val="18"/>
              </w:rPr>
              <w:t>intensité constante</w:t>
            </w:r>
            <w:r w:rsidRPr="00D47AF3">
              <w:rPr>
                <w:rFonts w:eastAsia="Times New Roman"/>
                <w:sz w:val="18"/>
              </w:rPr>
              <w:t>)</w:t>
            </w:r>
          </w:p>
        </w:tc>
        <w:tc>
          <w:tcPr>
            <w:tcW w:w="851" w:type="dxa"/>
          </w:tcPr>
          <w:p w:rsidR="00E752D3" w:rsidRPr="00D47AF3" w:rsidRDefault="00E752D3" w:rsidP="009C68E0">
            <w:pPr>
              <w:kinsoku/>
              <w:overflowPunct/>
              <w:autoSpaceDE/>
              <w:autoSpaceDN/>
              <w:adjustRightInd/>
              <w:snapToGrid/>
              <w:spacing w:before="60" w:after="60" w:line="220" w:lineRule="exact"/>
              <w:jc w:val="center"/>
              <w:rPr>
                <w:rFonts w:eastAsia="Times New Roman"/>
                <w:sz w:val="18"/>
              </w:rPr>
            </w:pPr>
            <w:r w:rsidRPr="00D47AF3">
              <w:rPr>
                <w:rFonts w:eastAsia="Times New Roman"/>
                <w:sz w:val="18"/>
              </w:rPr>
              <w:t>S1</w:t>
            </w:r>
          </w:p>
        </w:tc>
        <w:tc>
          <w:tcPr>
            <w:tcW w:w="852" w:type="dxa"/>
          </w:tcPr>
          <w:p w:rsidR="00E752D3" w:rsidRPr="00D47AF3" w:rsidRDefault="00076AD5" w:rsidP="009C68E0">
            <w:pPr>
              <w:kinsoku/>
              <w:overflowPunct/>
              <w:autoSpaceDE/>
              <w:autoSpaceDN/>
              <w:adjustRightInd/>
              <w:snapToGrid/>
              <w:spacing w:before="60" w:after="60" w:line="220" w:lineRule="exact"/>
              <w:ind w:left="142"/>
              <w:jc w:val="center"/>
              <w:rPr>
                <w:rFonts w:eastAsia="Times New Roman"/>
                <w:sz w:val="18"/>
              </w:rPr>
            </w:pPr>
            <w:r>
              <w:rPr>
                <w:rFonts w:eastAsia="Times New Roman"/>
                <w:sz w:val="18"/>
              </w:rPr>
              <w:t>5.5</w:t>
            </w:r>
          </w:p>
        </w:tc>
      </w:tr>
      <w:tr w:rsidR="00E752D3" w:rsidRPr="00D47AF3" w:rsidTr="009C68E0">
        <w:trPr>
          <w:cantSplit/>
          <w:trHeight w:val="20"/>
        </w:trPr>
        <w:tc>
          <w:tcPr>
            <w:tcW w:w="4536" w:type="dxa"/>
            <w:tcBorders>
              <w:bottom w:val="single" w:sz="12" w:space="0" w:color="auto"/>
            </w:tcBorders>
            <w:shd w:val="clear" w:color="auto" w:fill="auto"/>
            <w:vAlign w:val="center"/>
          </w:tcPr>
          <w:p w:rsidR="00E752D3" w:rsidRPr="00D47AF3" w:rsidRDefault="00E752D3" w:rsidP="009C68E0">
            <w:pPr>
              <w:kinsoku/>
              <w:overflowPunct/>
              <w:autoSpaceDE/>
              <w:autoSpaceDN/>
              <w:adjustRightInd/>
              <w:snapToGrid/>
              <w:spacing w:before="60" w:after="60" w:line="220" w:lineRule="exact"/>
              <w:ind w:left="57" w:right="57"/>
              <w:rPr>
                <w:rFonts w:eastAsia="Times New Roman"/>
                <w:sz w:val="18"/>
              </w:rPr>
            </w:pPr>
            <w:r>
              <w:rPr>
                <w:rFonts w:eastAsia="Times New Roman"/>
                <w:sz w:val="18"/>
              </w:rPr>
              <w:t>Feu-stop</w:t>
            </w:r>
            <w:r w:rsidRPr="00D47AF3">
              <w:rPr>
                <w:rFonts w:eastAsia="Times New Roman"/>
                <w:sz w:val="18"/>
              </w:rPr>
              <w:t xml:space="preserve"> (</w:t>
            </w:r>
            <w:r w:rsidRPr="00101CFA">
              <w:rPr>
                <w:sz w:val="18"/>
                <w:szCs w:val="18"/>
              </w:rPr>
              <w:t xml:space="preserve">intensité </w:t>
            </w:r>
            <w:r w:rsidRPr="00D47AF3">
              <w:rPr>
                <w:rFonts w:eastAsia="Times New Roman"/>
                <w:sz w:val="18"/>
              </w:rPr>
              <w:t>variable)</w:t>
            </w:r>
          </w:p>
        </w:tc>
        <w:tc>
          <w:tcPr>
            <w:tcW w:w="851" w:type="dxa"/>
            <w:tcBorders>
              <w:bottom w:val="single" w:sz="12" w:space="0" w:color="auto"/>
            </w:tcBorders>
          </w:tcPr>
          <w:p w:rsidR="00E752D3" w:rsidRPr="00D47AF3" w:rsidRDefault="00E752D3" w:rsidP="009C68E0">
            <w:pPr>
              <w:kinsoku/>
              <w:overflowPunct/>
              <w:autoSpaceDE/>
              <w:autoSpaceDN/>
              <w:adjustRightInd/>
              <w:snapToGrid/>
              <w:spacing w:before="60" w:after="60" w:line="220" w:lineRule="exact"/>
              <w:jc w:val="center"/>
              <w:rPr>
                <w:rFonts w:eastAsia="Times New Roman"/>
                <w:sz w:val="18"/>
              </w:rPr>
            </w:pPr>
            <w:r w:rsidRPr="00D47AF3">
              <w:rPr>
                <w:rFonts w:eastAsia="Times New Roman"/>
                <w:sz w:val="18"/>
              </w:rPr>
              <w:t>S2</w:t>
            </w:r>
          </w:p>
        </w:tc>
        <w:tc>
          <w:tcPr>
            <w:tcW w:w="852" w:type="dxa"/>
            <w:tcBorders>
              <w:bottom w:val="single" w:sz="12" w:space="0" w:color="auto"/>
            </w:tcBorders>
          </w:tcPr>
          <w:p w:rsidR="00E752D3" w:rsidRPr="00D47AF3" w:rsidRDefault="00076AD5" w:rsidP="009C68E0">
            <w:pPr>
              <w:kinsoku/>
              <w:overflowPunct/>
              <w:autoSpaceDE/>
              <w:autoSpaceDN/>
              <w:adjustRightInd/>
              <w:snapToGrid/>
              <w:spacing w:before="60" w:after="60" w:line="220" w:lineRule="exact"/>
              <w:ind w:left="142"/>
              <w:jc w:val="center"/>
              <w:rPr>
                <w:rFonts w:eastAsia="Times New Roman"/>
                <w:sz w:val="18"/>
              </w:rPr>
            </w:pPr>
            <w:r>
              <w:rPr>
                <w:rFonts w:eastAsia="Times New Roman"/>
                <w:sz w:val="18"/>
              </w:rPr>
              <w:t>5.5</w:t>
            </w:r>
          </w:p>
        </w:tc>
      </w:tr>
    </w:tbl>
    <w:p w:rsidR="00E752D3" w:rsidRPr="00D47AF3" w:rsidRDefault="00E752D3" w:rsidP="00326C09">
      <w:pPr>
        <w:kinsoku/>
        <w:overflowPunct/>
        <w:autoSpaceDE/>
        <w:autoSpaceDN/>
        <w:adjustRightInd/>
        <w:snapToGrid/>
        <w:spacing w:after="60"/>
        <w:ind w:left="2268" w:right="1134" w:hanging="1134"/>
        <w:jc w:val="right"/>
        <w:rPr>
          <w:rFonts w:eastAsia="Times New Roman"/>
        </w:rPr>
      </w:pPr>
      <w:r>
        <w:rPr>
          <w:rFonts w:eastAsia="Times New Roman"/>
          <w:bCs/>
        </w:rPr>
        <w:t>».</w:t>
      </w:r>
    </w:p>
    <w:p w:rsidR="00E752D3" w:rsidRPr="00D47AF3" w:rsidRDefault="00E752D3" w:rsidP="00326C09">
      <w:pPr>
        <w:pStyle w:val="SingleTxtG"/>
        <w:spacing w:after="80"/>
      </w:pPr>
      <w:r w:rsidRPr="00D47AF3">
        <w:rPr>
          <w:i/>
        </w:rPr>
        <w:t>Paragraph</w:t>
      </w:r>
      <w:r>
        <w:rPr>
          <w:i/>
        </w:rPr>
        <w:t>e</w:t>
      </w:r>
      <w:r w:rsidRPr="00D47AF3">
        <w:rPr>
          <w:i/>
        </w:rPr>
        <w:t xml:space="preserve"> 3.3.2.4</w:t>
      </w:r>
      <w:r w:rsidRPr="000A2926">
        <w:t>,</w:t>
      </w:r>
      <w:r w:rsidRPr="00D47AF3">
        <w:t xml:space="preserve"> modifier comme suit</w:t>
      </w:r>
      <w:r w:rsidR="002260EE">
        <w:t> </w:t>
      </w:r>
      <w:r w:rsidRPr="00D47AF3">
        <w:t>:</w:t>
      </w:r>
    </w:p>
    <w:p w:rsidR="00E752D3" w:rsidRPr="00D47AF3" w:rsidRDefault="00E752D3" w:rsidP="00326C09">
      <w:pPr>
        <w:pStyle w:val="SingleTxtG"/>
        <w:spacing w:after="100" w:line="220" w:lineRule="atLeast"/>
        <w:ind w:left="2268" w:hanging="1134"/>
      </w:pPr>
      <w:r>
        <w:t>« 3.3.2.4</w:t>
      </w:r>
      <w:r w:rsidRPr="00D47AF3">
        <w:tab/>
      </w:r>
      <w:r w:rsidRPr="0043435C">
        <w:t>L’indice à deux chiffres correspondant à la série d’amendements en vigueur à</w:t>
      </w:r>
      <w:r w:rsidR="002260EE">
        <w:t> </w:t>
      </w:r>
      <w:r w:rsidRPr="0043435C">
        <w:t>la date de la délivrance de l’homologation</w:t>
      </w:r>
      <w:r w:rsidRPr="00D47AF3">
        <w:t>.</w:t>
      </w:r>
    </w:p>
    <w:p w:rsidR="00E752D3" w:rsidRPr="00D47AF3" w:rsidRDefault="003B0399" w:rsidP="00326C09">
      <w:pPr>
        <w:pStyle w:val="SingleTxtG"/>
        <w:spacing w:after="100" w:line="220" w:lineRule="atLeast"/>
        <w:ind w:left="2268"/>
        <w:jc w:val="left"/>
      </w:pPr>
      <w:r>
        <w:t>Tableau 2</w:t>
      </w:r>
      <w:r>
        <w:br/>
      </w:r>
      <w:r w:rsidR="00E752D3" w:rsidRPr="0043435C">
        <w:t xml:space="preserve">Série d’amendements et </w:t>
      </w:r>
      <w:r w:rsidR="00E752D3" w:rsidRPr="0043435C">
        <w:rPr>
          <w:iCs/>
        </w:rPr>
        <w:t xml:space="preserve">indice </w:t>
      </w:r>
      <w:r w:rsidR="00E752D3" w:rsidRPr="0043435C">
        <w:t>à utiliser pour le marquage</w:t>
      </w:r>
    </w:p>
    <w:tbl>
      <w:tblPr>
        <w:tblStyle w:val="Grilledutableau1"/>
        <w:tblW w:w="0" w:type="auto"/>
        <w:tblInd w:w="2268"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400"/>
        <w:gridCol w:w="1842"/>
      </w:tblGrid>
      <w:tr w:rsidR="00E752D3" w:rsidRPr="00D47AF3" w:rsidTr="009C68E0">
        <w:trPr>
          <w:trHeight w:val="284"/>
        </w:trPr>
        <w:tc>
          <w:tcPr>
            <w:tcW w:w="4400" w:type="dxa"/>
            <w:tcBorders>
              <w:bottom w:val="single" w:sz="12" w:space="0" w:color="auto"/>
            </w:tcBorders>
            <w:vAlign w:val="center"/>
          </w:tcPr>
          <w:p w:rsidR="00E752D3" w:rsidRPr="00D47AF3" w:rsidRDefault="00E752D3" w:rsidP="009C68E0">
            <w:pPr>
              <w:kinsoku/>
              <w:overflowPunct/>
              <w:autoSpaceDE/>
              <w:autoSpaceDN/>
              <w:adjustRightInd/>
              <w:snapToGrid/>
              <w:spacing w:before="60" w:after="60" w:line="220" w:lineRule="exact"/>
              <w:ind w:left="57" w:right="57"/>
              <w:rPr>
                <w:i/>
                <w:sz w:val="16"/>
                <w:szCs w:val="16"/>
              </w:rPr>
            </w:pPr>
            <w:r w:rsidRPr="00702586">
              <w:rPr>
                <w:i/>
                <w:sz w:val="16"/>
                <w:szCs w:val="16"/>
              </w:rPr>
              <w:t>Feu</w:t>
            </w:r>
            <w:r>
              <w:rPr>
                <w:i/>
                <w:sz w:val="16"/>
                <w:szCs w:val="16"/>
              </w:rPr>
              <w:t xml:space="preserve"> −</w:t>
            </w:r>
            <w:r w:rsidRPr="00702586">
              <w:rPr>
                <w:i/>
                <w:sz w:val="16"/>
                <w:szCs w:val="16"/>
              </w:rPr>
              <w:t xml:space="preserve"> Série d</w:t>
            </w:r>
            <w:r>
              <w:rPr>
                <w:i/>
                <w:sz w:val="16"/>
                <w:szCs w:val="16"/>
              </w:rPr>
              <w:t>’</w:t>
            </w:r>
            <w:r w:rsidRPr="00702586">
              <w:rPr>
                <w:i/>
                <w:sz w:val="16"/>
                <w:szCs w:val="16"/>
              </w:rPr>
              <w:t xml:space="preserve">amendements 00 </w:t>
            </w:r>
            <w:r>
              <w:rPr>
                <w:i/>
                <w:sz w:val="16"/>
                <w:szCs w:val="16"/>
              </w:rPr>
              <w:t>−</w:t>
            </w:r>
          </w:p>
        </w:tc>
        <w:tc>
          <w:tcPr>
            <w:tcW w:w="1842" w:type="dxa"/>
            <w:tcBorders>
              <w:bottom w:val="single" w:sz="12" w:space="0" w:color="auto"/>
            </w:tcBorders>
            <w:vAlign w:val="center"/>
          </w:tcPr>
          <w:p w:rsidR="00E752D3" w:rsidRPr="00D47AF3" w:rsidRDefault="00E752D3" w:rsidP="009C68E0">
            <w:pPr>
              <w:kinsoku/>
              <w:overflowPunct/>
              <w:autoSpaceDE/>
              <w:autoSpaceDN/>
              <w:adjustRightInd/>
              <w:snapToGrid/>
              <w:spacing w:line="240" w:lineRule="auto"/>
              <w:jc w:val="center"/>
              <w:rPr>
                <w:i/>
                <w:iCs/>
                <w:sz w:val="16"/>
                <w:szCs w:val="16"/>
              </w:rPr>
            </w:pPr>
            <w:r w:rsidRPr="00BE6C80">
              <w:rPr>
                <w:i/>
                <w:iCs/>
                <w:sz w:val="16"/>
                <w:szCs w:val="16"/>
              </w:rPr>
              <w:t>Indice</w:t>
            </w:r>
          </w:p>
        </w:tc>
      </w:tr>
      <w:tr w:rsidR="00E752D3" w:rsidRPr="00D47AF3" w:rsidTr="009C68E0">
        <w:trPr>
          <w:trHeight w:val="284"/>
        </w:trPr>
        <w:tc>
          <w:tcPr>
            <w:tcW w:w="4400" w:type="dxa"/>
            <w:tcBorders>
              <w:top w:val="single" w:sz="1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Pr>
                <w:sz w:val="18"/>
                <w:szCs w:val="18"/>
              </w:rPr>
              <w:t>Feu de circulation diurne</w:t>
            </w:r>
            <w:r w:rsidRPr="00D47AF3">
              <w:rPr>
                <w:sz w:val="18"/>
                <w:szCs w:val="18"/>
              </w:rPr>
              <w:t xml:space="preserve"> </w:t>
            </w:r>
            <w:r w:rsidRPr="00D47AF3">
              <w:rPr>
                <w:b/>
                <w:sz w:val="18"/>
                <w:szCs w:val="18"/>
              </w:rPr>
              <w:t>(RL)</w:t>
            </w:r>
            <w:r w:rsidRPr="00D47AF3">
              <w:rPr>
                <w:b/>
                <w:sz w:val="18"/>
                <w:szCs w:val="18"/>
                <w:vertAlign w:val="superscript"/>
              </w:rPr>
              <w:footnoteReference w:id="5"/>
            </w:r>
          </w:p>
        </w:tc>
        <w:tc>
          <w:tcPr>
            <w:tcW w:w="1842" w:type="dxa"/>
            <w:tcBorders>
              <w:top w:val="single" w:sz="1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b/>
                <w:sz w:val="18"/>
                <w:szCs w:val="18"/>
              </w:rPr>
            </w:pPr>
            <w:r>
              <w:rPr>
                <w:b/>
                <w:sz w:val="18"/>
                <w:szCs w:val="18"/>
              </w:rPr>
              <w:t>Feu de circulation diurne</w:t>
            </w:r>
            <w:r w:rsidRPr="00D47AF3">
              <w:rPr>
                <w:b/>
                <w:sz w:val="18"/>
                <w:szCs w:val="18"/>
              </w:rPr>
              <w:t xml:space="preserve"> (MRL)</w:t>
            </w:r>
          </w:p>
        </w:tc>
        <w:tc>
          <w:tcPr>
            <w:tcW w:w="1842" w:type="dxa"/>
            <w:tcBorders>
              <w:top w:val="single" w:sz="2" w:space="0" w:color="auto"/>
              <w:bottom w:val="single" w:sz="2" w:space="0" w:color="auto"/>
            </w:tcBorders>
          </w:tcPr>
          <w:p w:rsidR="00E752D3" w:rsidRPr="00D47AF3" w:rsidRDefault="00E752D3" w:rsidP="00326C09">
            <w:pPr>
              <w:kinsoku/>
              <w:overflowPunct/>
              <w:autoSpaceDE/>
              <w:autoSpaceDN/>
              <w:adjustRightInd/>
              <w:snapToGrid/>
              <w:spacing w:before="60" w:after="40" w:line="240" w:lineRule="auto"/>
              <w:jc w:val="center"/>
              <w:rPr>
                <w:b/>
                <w:sz w:val="18"/>
                <w:szCs w:val="18"/>
              </w:rPr>
            </w:pPr>
            <w:r w:rsidRPr="00D47AF3">
              <w:rPr>
                <w:b/>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Pr>
                <w:sz w:val="18"/>
                <w:szCs w:val="18"/>
              </w:rPr>
              <w:t>Feu indicateur de direction avant</w:t>
            </w:r>
          </w:p>
        </w:tc>
        <w:tc>
          <w:tcPr>
            <w:tcW w:w="1842" w:type="dxa"/>
            <w:tcBorders>
              <w:top w:val="single" w:sz="2" w:space="0" w:color="auto"/>
              <w:bottom w:val="single" w:sz="2" w:space="0" w:color="auto"/>
            </w:tcBorders>
          </w:tcPr>
          <w:p w:rsidR="00E752D3" w:rsidRPr="00D47AF3" w:rsidRDefault="00E752D3" w:rsidP="00326C09">
            <w:pPr>
              <w:kinsoku/>
              <w:overflowPunct/>
              <w:autoSpaceDE/>
              <w:autoSpaceDN/>
              <w:adjustRightInd/>
              <w:snapToGrid/>
              <w:spacing w:before="60" w:after="4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Pr>
                <w:sz w:val="18"/>
                <w:szCs w:val="18"/>
              </w:rPr>
              <w:t>Feu indicateur de direction avant</w:t>
            </w:r>
            <w:r w:rsidRPr="00D47AF3">
              <w:rPr>
                <w:sz w:val="18"/>
                <w:szCs w:val="18"/>
              </w:rPr>
              <w:t xml:space="preserve"> (</w:t>
            </w:r>
            <w:r>
              <w:rPr>
                <w:sz w:val="18"/>
                <w:szCs w:val="18"/>
              </w:rPr>
              <w:t>véhicule de la catégorie L</w:t>
            </w:r>
            <w:r w:rsidRPr="00D47AF3">
              <w:rPr>
                <w:sz w:val="18"/>
                <w:szCs w:val="18"/>
              </w:rPr>
              <w:t>)</w:t>
            </w:r>
          </w:p>
        </w:tc>
        <w:tc>
          <w:tcPr>
            <w:tcW w:w="1842" w:type="dxa"/>
            <w:tcBorders>
              <w:top w:val="single" w:sz="2" w:space="0" w:color="auto"/>
              <w:bottom w:val="single" w:sz="2" w:space="0" w:color="auto"/>
            </w:tcBorders>
          </w:tcPr>
          <w:p w:rsidR="00E752D3" w:rsidRPr="00D47AF3" w:rsidRDefault="00E752D3" w:rsidP="00326C09">
            <w:pPr>
              <w:kinsoku/>
              <w:overflowPunct/>
              <w:autoSpaceDE/>
              <w:autoSpaceDN/>
              <w:adjustRightInd/>
              <w:snapToGrid/>
              <w:spacing w:before="60" w:after="4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sidRPr="00702586">
              <w:rPr>
                <w:sz w:val="18"/>
                <w:szCs w:val="18"/>
              </w:rPr>
              <w:t>Feu d</w:t>
            </w:r>
            <w:r>
              <w:rPr>
                <w:sz w:val="18"/>
                <w:szCs w:val="18"/>
              </w:rPr>
              <w:t>’</w:t>
            </w:r>
            <w:r w:rsidRPr="00702586">
              <w:rPr>
                <w:sz w:val="18"/>
                <w:szCs w:val="18"/>
              </w:rPr>
              <w:t>encombrement avant</w:t>
            </w:r>
          </w:p>
        </w:tc>
        <w:tc>
          <w:tcPr>
            <w:tcW w:w="1842" w:type="dxa"/>
            <w:tcBorders>
              <w:top w:val="single" w:sz="2" w:space="0" w:color="auto"/>
              <w:bottom w:val="single" w:sz="2" w:space="0" w:color="auto"/>
            </w:tcBorders>
          </w:tcPr>
          <w:p w:rsidR="00E752D3" w:rsidRPr="00D47AF3" w:rsidRDefault="00E752D3" w:rsidP="00326C09">
            <w:pPr>
              <w:kinsoku/>
              <w:overflowPunct/>
              <w:autoSpaceDE/>
              <w:autoSpaceDN/>
              <w:adjustRightInd/>
              <w:snapToGrid/>
              <w:spacing w:before="60" w:after="4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Pr>
                <w:sz w:val="18"/>
                <w:szCs w:val="18"/>
              </w:rPr>
              <w:t>Feu de position avant</w:t>
            </w:r>
          </w:p>
        </w:tc>
        <w:tc>
          <w:tcPr>
            <w:tcW w:w="1842" w:type="dxa"/>
            <w:tcBorders>
              <w:top w:val="single" w:sz="2" w:space="0" w:color="auto"/>
              <w:bottom w:val="single" w:sz="2" w:space="0" w:color="auto"/>
            </w:tcBorders>
          </w:tcPr>
          <w:p w:rsidR="00E752D3" w:rsidRPr="00D47AF3" w:rsidRDefault="00E752D3" w:rsidP="00326C09">
            <w:pPr>
              <w:kinsoku/>
              <w:overflowPunct/>
              <w:autoSpaceDE/>
              <w:autoSpaceDN/>
              <w:adjustRightInd/>
              <w:snapToGrid/>
              <w:spacing w:before="60" w:after="4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Pr>
                <w:sz w:val="18"/>
                <w:szCs w:val="18"/>
              </w:rPr>
              <w:t>Feu de position avant</w:t>
            </w:r>
            <w:r w:rsidRPr="00D47AF3">
              <w:rPr>
                <w:sz w:val="18"/>
                <w:szCs w:val="18"/>
              </w:rPr>
              <w:t xml:space="preserve"> (</w:t>
            </w:r>
            <w:r>
              <w:rPr>
                <w:sz w:val="18"/>
                <w:szCs w:val="18"/>
              </w:rPr>
              <w:t>véhicule de la catégorie L</w:t>
            </w:r>
            <w:r w:rsidRPr="00D47AF3">
              <w:rPr>
                <w:sz w:val="18"/>
                <w:szCs w:val="18"/>
              </w:rPr>
              <w:t>)</w:t>
            </w:r>
          </w:p>
        </w:tc>
        <w:tc>
          <w:tcPr>
            <w:tcW w:w="1842" w:type="dxa"/>
            <w:tcBorders>
              <w:top w:val="single" w:sz="2" w:space="0" w:color="auto"/>
              <w:bottom w:val="single" w:sz="2" w:space="0" w:color="auto"/>
            </w:tcBorders>
          </w:tcPr>
          <w:p w:rsidR="00E752D3" w:rsidRPr="00D47AF3" w:rsidRDefault="00E752D3" w:rsidP="00326C09">
            <w:pPr>
              <w:kinsoku/>
              <w:overflowPunct/>
              <w:autoSpaceDE/>
              <w:autoSpaceDN/>
              <w:adjustRightInd/>
              <w:snapToGrid/>
              <w:spacing w:before="60" w:after="4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sidRPr="00702586">
              <w:rPr>
                <w:sz w:val="18"/>
                <w:szCs w:val="18"/>
              </w:rPr>
              <w:t>Feu de manœuvre</w:t>
            </w:r>
          </w:p>
        </w:tc>
        <w:tc>
          <w:tcPr>
            <w:tcW w:w="1842" w:type="dxa"/>
            <w:tcBorders>
              <w:top w:val="single" w:sz="2" w:space="0" w:color="auto"/>
              <w:bottom w:val="single" w:sz="2" w:space="0" w:color="auto"/>
            </w:tcBorders>
          </w:tcPr>
          <w:p w:rsidR="00E752D3" w:rsidRPr="00D47AF3" w:rsidRDefault="00E752D3" w:rsidP="00326C09">
            <w:pPr>
              <w:kinsoku/>
              <w:overflowPunct/>
              <w:autoSpaceDE/>
              <w:autoSpaceDN/>
              <w:adjustRightInd/>
              <w:snapToGrid/>
              <w:spacing w:before="60" w:after="4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sidRPr="00702586">
              <w:rPr>
                <w:sz w:val="18"/>
                <w:szCs w:val="18"/>
              </w:rPr>
              <w:t>Feu de stationnement</w:t>
            </w:r>
          </w:p>
        </w:tc>
        <w:tc>
          <w:tcPr>
            <w:tcW w:w="1842" w:type="dxa"/>
            <w:tcBorders>
              <w:top w:val="single" w:sz="2" w:space="0" w:color="auto"/>
              <w:bottom w:val="single" w:sz="2" w:space="0" w:color="auto"/>
            </w:tcBorders>
          </w:tcPr>
          <w:p w:rsidR="00E752D3" w:rsidRPr="00D47AF3" w:rsidRDefault="00E752D3" w:rsidP="00326C09">
            <w:pPr>
              <w:kinsoku/>
              <w:overflowPunct/>
              <w:autoSpaceDE/>
              <w:autoSpaceDN/>
              <w:adjustRightInd/>
              <w:snapToGrid/>
              <w:spacing w:before="60" w:after="4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Pr>
                <w:sz w:val="18"/>
                <w:szCs w:val="18"/>
              </w:rPr>
              <w:t>Feu indicateur de direction arrière</w:t>
            </w:r>
            <w:r w:rsidRPr="00D47AF3">
              <w:rPr>
                <w:sz w:val="18"/>
                <w:szCs w:val="18"/>
              </w:rPr>
              <w:t xml:space="preserve"> </w:t>
            </w:r>
          </w:p>
        </w:tc>
        <w:tc>
          <w:tcPr>
            <w:tcW w:w="1842" w:type="dxa"/>
            <w:tcBorders>
              <w:top w:val="single" w:sz="2" w:space="0" w:color="auto"/>
              <w:bottom w:val="single" w:sz="2" w:space="0" w:color="auto"/>
            </w:tcBorders>
          </w:tcPr>
          <w:p w:rsidR="00E752D3" w:rsidRPr="00D47AF3" w:rsidRDefault="00E752D3" w:rsidP="00326C09">
            <w:pPr>
              <w:kinsoku/>
              <w:overflowPunct/>
              <w:autoSpaceDE/>
              <w:autoSpaceDN/>
              <w:adjustRightInd/>
              <w:snapToGrid/>
              <w:spacing w:before="60" w:after="4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12" w:space="0" w:color="auto"/>
            </w:tcBorders>
            <w:vAlign w:val="center"/>
          </w:tcPr>
          <w:p w:rsidR="00E752D3" w:rsidRPr="00D47AF3" w:rsidRDefault="00E752D3" w:rsidP="009C68E0">
            <w:pPr>
              <w:kinsoku/>
              <w:overflowPunct/>
              <w:autoSpaceDE/>
              <w:autoSpaceDN/>
              <w:adjustRightInd/>
              <w:snapToGrid/>
              <w:spacing w:before="60" w:after="60" w:line="220" w:lineRule="exact"/>
              <w:ind w:left="57" w:right="57"/>
              <w:rPr>
                <w:sz w:val="18"/>
                <w:szCs w:val="18"/>
              </w:rPr>
            </w:pPr>
            <w:r>
              <w:rPr>
                <w:sz w:val="18"/>
                <w:szCs w:val="18"/>
              </w:rPr>
              <w:t>Feu indicateur de direction arrière</w:t>
            </w:r>
            <w:r w:rsidRPr="00D47AF3">
              <w:rPr>
                <w:sz w:val="18"/>
                <w:szCs w:val="18"/>
              </w:rPr>
              <w:t xml:space="preserve"> (</w:t>
            </w:r>
            <w:r>
              <w:rPr>
                <w:sz w:val="18"/>
                <w:szCs w:val="18"/>
              </w:rPr>
              <w:t>véhicule de la catégorie L</w:t>
            </w:r>
            <w:r w:rsidRPr="00D47AF3">
              <w:rPr>
                <w:sz w:val="18"/>
                <w:szCs w:val="18"/>
              </w:rPr>
              <w:t>)</w:t>
            </w:r>
          </w:p>
        </w:tc>
        <w:tc>
          <w:tcPr>
            <w:tcW w:w="1842" w:type="dxa"/>
            <w:tcBorders>
              <w:top w:val="single" w:sz="2" w:space="0" w:color="auto"/>
              <w:bottom w:val="single" w:sz="1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12" w:space="0" w:color="auto"/>
              <w:bottom w:val="single" w:sz="2" w:space="0" w:color="auto"/>
            </w:tcBorders>
            <w:vAlign w:val="center"/>
          </w:tcPr>
          <w:p w:rsidR="00E752D3" w:rsidRPr="00D47AF3" w:rsidRDefault="00E752D3" w:rsidP="009C68E0">
            <w:pPr>
              <w:kinsoku/>
              <w:overflowPunct/>
              <w:autoSpaceDE/>
              <w:autoSpaceDN/>
              <w:adjustRightInd/>
              <w:snapToGrid/>
              <w:spacing w:before="60" w:after="60" w:line="220" w:lineRule="exact"/>
              <w:ind w:left="57" w:right="57"/>
              <w:rPr>
                <w:sz w:val="18"/>
                <w:szCs w:val="18"/>
              </w:rPr>
            </w:pPr>
            <w:r w:rsidRPr="00702586">
              <w:rPr>
                <w:sz w:val="18"/>
                <w:szCs w:val="18"/>
              </w:rPr>
              <w:t>Feu d</w:t>
            </w:r>
            <w:r>
              <w:rPr>
                <w:sz w:val="18"/>
                <w:szCs w:val="18"/>
              </w:rPr>
              <w:t>’</w:t>
            </w:r>
            <w:r w:rsidRPr="00702586">
              <w:rPr>
                <w:sz w:val="18"/>
                <w:szCs w:val="18"/>
              </w:rPr>
              <w:t>encombrement arrière</w:t>
            </w:r>
          </w:p>
        </w:tc>
        <w:tc>
          <w:tcPr>
            <w:tcW w:w="1842" w:type="dxa"/>
            <w:tcBorders>
              <w:top w:val="single" w:sz="12" w:space="0" w:color="auto"/>
              <w:bottom w:val="single" w:sz="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9C68E0">
            <w:pPr>
              <w:kinsoku/>
              <w:overflowPunct/>
              <w:autoSpaceDE/>
              <w:autoSpaceDN/>
              <w:adjustRightInd/>
              <w:snapToGrid/>
              <w:spacing w:before="60" w:after="60" w:line="220" w:lineRule="exact"/>
              <w:ind w:left="57" w:right="57"/>
              <w:rPr>
                <w:sz w:val="18"/>
                <w:szCs w:val="18"/>
              </w:rPr>
            </w:pPr>
            <w:r w:rsidRPr="00702586">
              <w:rPr>
                <w:sz w:val="18"/>
                <w:szCs w:val="18"/>
              </w:rPr>
              <w:t>Feu de brouillard arrière</w:t>
            </w:r>
          </w:p>
        </w:tc>
        <w:tc>
          <w:tcPr>
            <w:tcW w:w="1842" w:type="dxa"/>
            <w:tcBorders>
              <w:top w:val="single" w:sz="2" w:space="0" w:color="auto"/>
              <w:bottom w:val="single" w:sz="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9C68E0">
            <w:pPr>
              <w:kinsoku/>
              <w:overflowPunct/>
              <w:autoSpaceDE/>
              <w:autoSpaceDN/>
              <w:adjustRightInd/>
              <w:snapToGrid/>
              <w:spacing w:before="60" w:after="60" w:line="220" w:lineRule="exact"/>
              <w:ind w:left="57" w:right="57"/>
              <w:rPr>
                <w:sz w:val="18"/>
                <w:szCs w:val="18"/>
              </w:rPr>
            </w:pPr>
            <w:r w:rsidRPr="00702586">
              <w:rPr>
                <w:sz w:val="18"/>
                <w:szCs w:val="18"/>
              </w:rPr>
              <w:t>Feu de position arrière</w:t>
            </w:r>
          </w:p>
        </w:tc>
        <w:tc>
          <w:tcPr>
            <w:tcW w:w="1842" w:type="dxa"/>
            <w:tcBorders>
              <w:top w:val="single" w:sz="2" w:space="0" w:color="auto"/>
              <w:bottom w:val="single" w:sz="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9C68E0">
            <w:pPr>
              <w:kinsoku/>
              <w:overflowPunct/>
              <w:autoSpaceDE/>
              <w:autoSpaceDN/>
              <w:adjustRightInd/>
              <w:snapToGrid/>
              <w:spacing w:before="60" w:after="60" w:line="220" w:lineRule="exact"/>
              <w:ind w:left="57" w:right="57"/>
              <w:rPr>
                <w:sz w:val="18"/>
                <w:szCs w:val="18"/>
              </w:rPr>
            </w:pPr>
            <w:r w:rsidRPr="00702586">
              <w:rPr>
                <w:sz w:val="18"/>
                <w:szCs w:val="18"/>
              </w:rPr>
              <w:t>Feu de position arrière</w:t>
            </w:r>
            <w:r w:rsidRPr="00D47AF3">
              <w:rPr>
                <w:sz w:val="18"/>
                <w:szCs w:val="18"/>
              </w:rPr>
              <w:t xml:space="preserve"> (</w:t>
            </w:r>
            <w:r>
              <w:rPr>
                <w:sz w:val="18"/>
                <w:szCs w:val="18"/>
              </w:rPr>
              <w:t>véhicule de la catégorie L</w:t>
            </w:r>
            <w:r w:rsidRPr="00D47AF3">
              <w:rPr>
                <w:sz w:val="18"/>
                <w:szCs w:val="18"/>
              </w:rPr>
              <w:t>)</w:t>
            </w:r>
          </w:p>
        </w:tc>
        <w:tc>
          <w:tcPr>
            <w:tcW w:w="1842" w:type="dxa"/>
            <w:tcBorders>
              <w:top w:val="single" w:sz="2" w:space="0" w:color="auto"/>
              <w:bottom w:val="single" w:sz="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9C68E0">
            <w:pPr>
              <w:kinsoku/>
              <w:overflowPunct/>
              <w:autoSpaceDE/>
              <w:autoSpaceDN/>
              <w:adjustRightInd/>
              <w:snapToGrid/>
              <w:spacing w:before="60" w:after="60" w:line="220" w:lineRule="exact"/>
              <w:ind w:left="57" w:right="57"/>
              <w:rPr>
                <w:sz w:val="18"/>
                <w:szCs w:val="18"/>
              </w:rPr>
            </w:pPr>
            <w:r w:rsidRPr="009C68E0">
              <w:rPr>
                <w:rFonts w:eastAsia="Times New Roman"/>
                <w:sz w:val="18"/>
                <w:szCs w:val="18"/>
              </w:rPr>
              <w:t>Feu</w:t>
            </w:r>
            <w:r w:rsidRPr="00702586">
              <w:rPr>
                <w:sz w:val="18"/>
                <w:szCs w:val="18"/>
              </w:rPr>
              <w:t xml:space="preserve"> de plaque d</w:t>
            </w:r>
            <w:r>
              <w:rPr>
                <w:sz w:val="18"/>
                <w:szCs w:val="18"/>
              </w:rPr>
              <w:t>’</w:t>
            </w:r>
            <w:r w:rsidRPr="00702586">
              <w:rPr>
                <w:sz w:val="18"/>
                <w:szCs w:val="18"/>
              </w:rPr>
              <w:t>immatriculation arrière</w:t>
            </w:r>
          </w:p>
        </w:tc>
        <w:tc>
          <w:tcPr>
            <w:tcW w:w="1842" w:type="dxa"/>
            <w:tcBorders>
              <w:top w:val="single" w:sz="2" w:space="0" w:color="auto"/>
              <w:bottom w:val="single" w:sz="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1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sidRPr="009C68E0">
              <w:rPr>
                <w:rFonts w:eastAsia="Times New Roman"/>
                <w:sz w:val="18"/>
                <w:szCs w:val="18"/>
              </w:rPr>
              <w:t>Feu</w:t>
            </w:r>
            <w:r w:rsidRPr="00702586">
              <w:rPr>
                <w:sz w:val="18"/>
                <w:szCs w:val="18"/>
              </w:rPr>
              <w:t xml:space="preserve"> de plaque d</w:t>
            </w:r>
            <w:r>
              <w:rPr>
                <w:sz w:val="18"/>
                <w:szCs w:val="18"/>
              </w:rPr>
              <w:t>’</w:t>
            </w:r>
            <w:r w:rsidRPr="00702586">
              <w:rPr>
                <w:sz w:val="18"/>
                <w:szCs w:val="18"/>
              </w:rPr>
              <w:t>immatriculation arrière</w:t>
            </w:r>
            <w:r w:rsidRPr="00D47AF3">
              <w:rPr>
                <w:sz w:val="18"/>
                <w:szCs w:val="18"/>
              </w:rPr>
              <w:t xml:space="preserve"> (</w:t>
            </w:r>
            <w:r>
              <w:rPr>
                <w:sz w:val="18"/>
                <w:szCs w:val="18"/>
              </w:rPr>
              <w:t>véhicule de la catégorie L</w:t>
            </w:r>
            <w:r w:rsidRPr="00D47AF3">
              <w:rPr>
                <w:sz w:val="18"/>
                <w:szCs w:val="18"/>
              </w:rPr>
              <w:t>)</w:t>
            </w:r>
          </w:p>
        </w:tc>
        <w:tc>
          <w:tcPr>
            <w:tcW w:w="1842" w:type="dxa"/>
            <w:tcBorders>
              <w:top w:val="single" w:sz="12" w:space="0" w:color="auto"/>
              <w:bottom w:val="single" w:sz="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sidRPr="00702586">
              <w:rPr>
                <w:sz w:val="18"/>
                <w:szCs w:val="18"/>
              </w:rPr>
              <w:t>Feu de marche arrière</w:t>
            </w:r>
          </w:p>
        </w:tc>
        <w:tc>
          <w:tcPr>
            <w:tcW w:w="1842" w:type="dxa"/>
            <w:tcBorders>
              <w:top w:val="single" w:sz="2" w:space="0" w:color="auto"/>
              <w:bottom w:val="single" w:sz="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sidRPr="00702586">
              <w:rPr>
                <w:sz w:val="18"/>
              </w:rPr>
              <w:t>Feu indicateur de direction latéral</w:t>
            </w:r>
          </w:p>
        </w:tc>
        <w:tc>
          <w:tcPr>
            <w:tcW w:w="1842" w:type="dxa"/>
            <w:tcBorders>
              <w:top w:val="single" w:sz="2" w:space="0" w:color="auto"/>
              <w:bottom w:val="single" w:sz="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sidRPr="00702586">
              <w:rPr>
                <w:sz w:val="18"/>
                <w:szCs w:val="18"/>
              </w:rPr>
              <w:t>Feu de position latéral</w:t>
            </w:r>
          </w:p>
        </w:tc>
        <w:tc>
          <w:tcPr>
            <w:tcW w:w="1842" w:type="dxa"/>
            <w:tcBorders>
              <w:top w:val="single" w:sz="2" w:space="0" w:color="auto"/>
              <w:bottom w:val="single" w:sz="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326C09">
            <w:pPr>
              <w:kinsoku/>
              <w:overflowPunct/>
              <w:autoSpaceDE/>
              <w:autoSpaceDN/>
              <w:adjustRightInd/>
              <w:snapToGrid/>
              <w:spacing w:before="60" w:after="40" w:line="220" w:lineRule="exact"/>
              <w:ind w:left="57" w:right="57"/>
              <w:rPr>
                <w:sz w:val="18"/>
                <w:szCs w:val="18"/>
              </w:rPr>
            </w:pPr>
            <w:r>
              <w:rPr>
                <w:sz w:val="18"/>
                <w:szCs w:val="18"/>
              </w:rPr>
              <w:t>Feu-stop</w:t>
            </w:r>
          </w:p>
        </w:tc>
        <w:tc>
          <w:tcPr>
            <w:tcW w:w="1842" w:type="dxa"/>
            <w:tcBorders>
              <w:top w:val="single" w:sz="2" w:space="0" w:color="auto"/>
              <w:bottom w:val="single" w:sz="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2" w:space="0" w:color="auto"/>
            </w:tcBorders>
            <w:vAlign w:val="center"/>
          </w:tcPr>
          <w:p w:rsidR="00E752D3" w:rsidRPr="00D47AF3" w:rsidRDefault="00E752D3" w:rsidP="009C68E0">
            <w:pPr>
              <w:kinsoku/>
              <w:overflowPunct/>
              <w:autoSpaceDE/>
              <w:autoSpaceDN/>
              <w:adjustRightInd/>
              <w:snapToGrid/>
              <w:spacing w:before="60" w:after="60" w:line="220" w:lineRule="exact"/>
              <w:ind w:left="57" w:right="57"/>
              <w:rPr>
                <w:sz w:val="18"/>
                <w:szCs w:val="18"/>
              </w:rPr>
            </w:pPr>
            <w:r>
              <w:rPr>
                <w:sz w:val="18"/>
                <w:szCs w:val="18"/>
              </w:rPr>
              <w:t>Feu-stop</w:t>
            </w:r>
            <w:r w:rsidRPr="00D47AF3">
              <w:rPr>
                <w:sz w:val="18"/>
                <w:szCs w:val="18"/>
              </w:rPr>
              <w:t xml:space="preserve"> (</w:t>
            </w:r>
            <w:r>
              <w:rPr>
                <w:sz w:val="18"/>
                <w:szCs w:val="18"/>
              </w:rPr>
              <w:t>véhicule de la catégorie L</w:t>
            </w:r>
            <w:r w:rsidRPr="00D47AF3">
              <w:rPr>
                <w:sz w:val="18"/>
                <w:szCs w:val="18"/>
              </w:rPr>
              <w:t>)</w:t>
            </w:r>
          </w:p>
        </w:tc>
        <w:tc>
          <w:tcPr>
            <w:tcW w:w="1842" w:type="dxa"/>
            <w:tcBorders>
              <w:top w:val="single" w:sz="2" w:space="0" w:color="auto"/>
              <w:bottom w:val="single" w:sz="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r w:rsidR="00E752D3" w:rsidRPr="00D47AF3" w:rsidTr="009C68E0">
        <w:trPr>
          <w:trHeight w:val="284"/>
        </w:trPr>
        <w:tc>
          <w:tcPr>
            <w:tcW w:w="4400" w:type="dxa"/>
            <w:tcBorders>
              <w:top w:val="single" w:sz="2" w:space="0" w:color="auto"/>
              <w:bottom w:val="single" w:sz="12" w:space="0" w:color="auto"/>
            </w:tcBorders>
            <w:vAlign w:val="center"/>
          </w:tcPr>
          <w:p w:rsidR="00E752D3" w:rsidRPr="00D47AF3" w:rsidRDefault="00E752D3" w:rsidP="009C68E0">
            <w:pPr>
              <w:kinsoku/>
              <w:overflowPunct/>
              <w:autoSpaceDE/>
              <w:autoSpaceDN/>
              <w:adjustRightInd/>
              <w:snapToGrid/>
              <w:spacing w:before="60" w:after="60" w:line="220" w:lineRule="exact"/>
              <w:ind w:left="57" w:right="57"/>
              <w:rPr>
                <w:sz w:val="18"/>
                <w:szCs w:val="18"/>
              </w:rPr>
            </w:pPr>
            <w:r>
              <w:rPr>
                <w:sz w:val="18"/>
                <w:szCs w:val="18"/>
              </w:rPr>
              <w:t>Feu-stop</w:t>
            </w:r>
            <w:r w:rsidRPr="00D47AF3">
              <w:rPr>
                <w:sz w:val="18"/>
                <w:szCs w:val="18"/>
              </w:rPr>
              <w:t xml:space="preserve"> (</w:t>
            </w:r>
            <w:r>
              <w:rPr>
                <w:sz w:val="18"/>
                <w:szCs w:val="18"/>
              </w:rPr>
              <w:t>central et placé en hauteur</w:t>
            </w:r>
            <w:r w:rsidRPr="00D47AF3">
              <w:rPr>
                <w:sz w:val="18"/>
                <w:szCs w:val="18"/>
              </w:rPr>
              <w:t>)</w:t>
            </w:r>
          </w:p>
        </w:tc>
        <w:tc>
          <w:tcPr>
            <w:tcW w:w="1842" w:type="dxa"/>
            <w:tcBorders>
              <w:top w:val="single" w:sz="2" w:space="0" w:color="auto"/>
              <w:bottom w:val="single" w:sz="12" w:space="0" w:color="auto"/>
            </w:tcBorders>
          </w:tcPr>
          <w:p w:rsidR="00E752D3" w:rsidRPr="00D47AF3" w:rsidRDefault="00E752D3" w:rsidP="009C68E0">
            <w:pPr>
              <w:kinsoku/>
              <w:overflowPunct/>
              <w:autoSpaceDE/>
              <w:autoSpaceDN/>
              <w:adjustRightInd/>
              <w:snapToGrid/>
              <w:spacing w:before="60" w:after="60" w:line="240" w:lineRule="auto"/>
              <w:jc w:val="center"/>
              <w:rPr>
                <w:iCs/>
                <w:sz w:val="18"/>
                <w:szCs w:val="18"/>
              </w:rPr>
            </w:pPr>
            <w:r w:rsidRPr="00D47AF3">
              <w:rPr>
                <w:sz w:val="18"/>
                <w:szCs w:val="18"/>
              </w:rPr>
              <w:t>Δ0</w:t>
            </w:r>
          </w:p>
        </w:tc>
      </w:tr>
    </w:tbl>
    <w:p w:rsidR="00E752D3" w:rsidRPr="00D47AF3" w:rsidRDefault="00E752D3" w:rsidP="00326C09">
      <w:pPr>
        <w:kinsoku/>
        <w:overflowPunct/>
        <w:autoSpaceDE/>
        <w:autoSpaceDN/>
        <w:adjustRightInd/>
        <w:snapToGrid/>
        <w:spacing w:after="120"/>
        <w:ind w:left="2268" w:right="1134" w:hanging="1134"/>
        <w:jc w:val="right"/>
        <w:rPr>
          <w:rFonts w:eastAsia="Times New Roman"/>
        </w:rPr>
      </w:pPr>
      <w:r>
        <w:rPr>
          <w:rFonts w:eastAsia="Times New Roman"/>
          <w:bCs/>
        </w:rPr>
        <w:t>».</w:t>
      </w:r>
    </w:p>
    <w:p w:rsidR="00E752D3" w:rsidRPr="00D47AF3" w:rsidRDefault="00E752D3" w:rsidP="00326C09">
      <w:pPr>
        <w:pStyle w:val="SingleTxtG"/>
      </w:pPr>
      <w:bookmarkStart w:id="4" w:name="_Hlk504570213"/>
      <w:r w:rsidRPr="00D47AF3">
        <w:rPr>
          <w:i/>
        </w:rPr>
        <w:t>Paragraph</w:t>
      </w:r>
      <w:r>
        <w:rPr>
          <w:i/>
        </w:rPr>
        <w:t>e</w:t>
      </w:r>
      <w:r w:rsidRPr="00D47AF3">
        <w:rPr>
          <w:i/>
        </w:rPr>
        <w:t xml:space="preserve"> 5.4</w:t>
      </w:r>
      <w:r w:rsidRPr="00CF087B">
        <w:t>,</w:t>
      </w:r>
      <w:r w:rsidRPr="00D47AF3">
        <w:t xml:space="preserve"> modifier comme suit</w:t>
      </w:r>
      <w:r w:rsidR="002260EE">
        <w:t> </w:t>
      </w:r>
      <w:r w:rsidRPr="00D47AF3">
        <w:t>:</w:t>
      </w:r>
    </w:p>
    <w:p w:rsidR="00E752D3" w:rsidRPr="00D47AF3" w:rsidRDefault="00E752D3" w:rsidP="002260EE">
      <w:pPr>
        <w:pStyle w:val="SingleTxtG"/>
        <w:ind w:left="2268" w:hanging="1134"/>
      </w:pPr>
      <w:r>
        <w:t>« 5.4</w:t>
      </w:r>
      <w:r w:rsidRPr="00D47AF3">
        <w:tab/>
      </w:r>
      <w:r w:rsidRPr="00833384">
        <w:t xml:space="preserve">PRESCRIPTIONS TECHNIQUES CONCERNANT LES FEUX DE CIRCULATION DIURNE </w:t>
      </w:r>
      <w:r w:rsidRPr="00D47AF3">
        <w:t>(SYMBOL</w:t>
      </w:r>
      <w:r>
        <w:t>ES</w:t>
      </w:r>
      <w:r w:rsidRPr="00D47AF3">
        <w:t xml:space="preserve"> RL</w:t>
      </w:r>
      <w:r w:rsidRPr="00D47AF3">
        <w:rPr>
          <w:b/>
        </w:rPr>
        <w:t>,</w:t>
      </w:r>
      <w:r w:rsidRPr="00D47AF3">
        <w:t xml:space="preserve"> </w:t>
      </w:r>
      <w:r w:rsidRPr="00D47AF3">
        <w:rPr>
          <w:b/>
          <w:color w:val="000000"/>
        </w:rPr>
        <w:t>MRL</w:t>
      </w:r>
      <w:r w:rsidRPr="00D47AF3">
        <w:t>)</w:t>
      </w:r>
    </w:p>
    <w:p w:rsidR="00E752D3" w:rsidRPr="00D47AF3" w:rsidRDefault="00E752D3" w:rsidP="002260EE">
      <w:pPr>
        <w:pStyle w:val="SingleTxtG"/>
        <w:ind w:left="2268" w:hanging="1134"/>
      </w:pPr>
      <w:r>
        <w:t>5.4.1</w:t>
      </w:r>
      <w:r w:rsidRPr="00D47AF3">
        <w:tab/>
      </w:r>
      <w:r w:rsidRPr="00964048">
        <w:t xml:space="preserve">La lumière émise par chacun des deux feux </w:t>
      </w:r>
      <w:r>
        <w:rPr>
          <w:b/>
        </w:rPr>
        <w:t xml:space="preserve">de la même catégorie </w:t>
      </w:r>
      <w:r w:rsidRPr="00964048">
        <w:t>fournis doit satisfaire aux prescriptions du tableau 6.</w:t>
      </w:r>
    </w:p>
    <w:bookmarkEnd w:id="4"/>
    <w:p w:rsidR="00E752D3" w:rsidRPr="00D47AF3" w:rsidRDefault="00E752D3" w:rsidP="002260EE">
      <w:pPr>
        <w:pStyle w:val="SingleTxtG"/>
        <w:ind w:left="2268"/>
        <w:rPr>
          <w:lang w:eastAsia="ja-JP"/>
        </w:rPr>
      </w:pPr>
      <w:r w:rsidRPr="00D47AF3">
        <w:t>Table</w:t>
      </w:r>
      <w:r w:rsidR="002260EE">
        <w:t xml:space="preserve">au </w:t>
      </w:r>
      <w:r w:rsidRPr="00D47AF3">
        <w:t>6</w:t>
      </w:r>
      <w:r>
        <w:t> </w:t>
      </w:r>
      <w:r w:rsidRPr="00D47AF3">
        <w:t xml:space="preserve">: </w:t>
      </w:r>
      <w:r w:rsidRPr="00EA7CC4">
        <w:t>Intensités lumineuses pour les feux de circulation diurne</w:t>
      </w:r>
    </w:p>
    <w:tbl>
      <w:tblPr>
        <w:tblW w:w="6235"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1"/>
        <w:gridCol w:w="1843"/>
        <w:gridCol w:w="2111"/>
      </w:tblGrid>
      <w:tr w:rsidR="00E752D3" w:rsidRPr="00D47AF3" w:rsidTr="00083821">
        <w:trPr>
          <w:cantSplit/>
          <w:trHeight w:val="357"/>
          <w:tblHeader/>
        </w:trPr>
        <w:tc>
          <w:tcPr>
            <w:tcW w:w="2281" w:type="dxa"/>
            <w:tcBorders>
              <w:bottom w:val="single" w:sz="12" w:space="0" w:color="auto"/>
            </w:tcBorders>
            <w:shd w:val="clear" w:color="auto" w:fill="auto"/>
            <w:vAlign w:val="bottom"/>
          </w:tcPr>
          <w:p w:rsidR="00E752D3" w:rsidRPr="00D47AF3" w:rsidRDefault="00E752D3" w:rsidP="009C68E0">
            <w:pPr>
              <w:keepNext/>
              <w:keepLines/>
              <w:suppressAutoHyphens w:val="0"/>
              <w:kinsoku/>
              <w:overflowPunct/>
              <w:autoSpaceDE/>
              <w:autoSpaceDN/>
              <w:adjustRightInd/>
              <w:snapToGrid/>
              <w:spacing w:before="80" w:after="80" w:line="200" w:lineRule="exact"/>
              <w:ind w:left="113" w:right="-3"/>
              <w:rPr>
                <w:rFonts w:eastAsia="Times New Roman"/>
                <w:i/>
                <w:sz w:val="16"/>
                <w:szCs w:val="16"/>
              </w:rPr>
            </w:pPr>
          </w:p>
        </w:tc>
        <w:tc>
          <w:tcPr>
            <w:tcW w:w="1843" w:type="dxa"/>
            <w:tcBorders>
              <w:bottom w:val="single" w:sz="12" w:space="0" w:color="auto"/>
            </w:tcBorders>
            <w:shd w:val="clear" w:color="auto" w:fill="auto"/>
            <w:vAlign w:val="bottom"/>
          </w:tcPr>
          <w:p w:rsidR="00E752D3" w:rsidRPr="00D47AF3" w:rsidRDefault="00E752D3" w:rsidP="00326C09">
            <w:pPr>
              <w:keepNext/>
              <w:keepLines/>
              <w:suppressAutoHyphens w:val="0"/>
              <w:kinsoku/>
              <w:overflowPunct/>
              <w:autoSpaceDE/>
              <w:autoSpaceDN/>
              <w:adjustRightInd/>
              <w:snapToGrid/>
              <w:spacing w:before="80" w:after="80" w:line="200" w:lineRule="exact"/>
              <w:ind w:left="57" w:right="57"/>
              <w:jc w:val="right"/>
              <w:rPr>
                <w:rFonts w:eastAsia="Times New Roman"/>
                <w:i/>
                <w:sz w:val="16"/>
                <w:szCs w:val="16"/>
              </w:rPr>
            </w:pPr>
            <w:r w:rsidRPr="00065E7F">
              <w:rPr>
                <w:rFonts w:eastAsia="Times New Roman"/>
                <w:bCs/>
                <w:i/>
                <w:iCs/>
                <w:sz w:val="16"/>
                <w:szCs w:val="16"/>
              </w:rPr>
              <w:t>Intensité lumineuse minimale en HV</w:t>
            </w:r>
            <w:r w:rsidR="00083821">
              <w:rPr>
                <w:rFonts w:eastAsia="Times New Roman"/>
                <w:bCs/>
                <w:i/>
                <w:iCs/>
                <w:sz w:val="16"/>
                <w:szCs w:val="16"/>
              </w:rPr>
              <w:br/>
            </w:r>
            <w:r w:rsidRPr="00065E7F">
              <w:rPr>
                <w:rFonts w:eastAsia="Times New Roman"/>
                <w:bCs/>
                <w:i/>
                <w:iCs/>
                <w:sz w:val="16"/>
                <w:szCs w:val="16"/>
              </w:rPr>
              <w:t xml:space="preserve"> (valeurs en cd</w:t>
            </w:r>
            <w:r w:rsidRPr="00D47AF3">
              <w:rPr>
                <w:rFonts w:eastAsia="Times New Roman"/>
                <w:i/>
                <w:sz w:val="16"/>
              </w:rPr>
              <w:t>)</w:t>
            </w:r>
          </w:p>
        </w:tc>
        <w:tc>
          <w:tcPr>
            <w:tcW w:w="2111" w:type="dxa"/>
            <w:tcBorders>
              <w:bottom w:val="single" w:sz="12" w:space="0" w:color="auto"/>
            </w:tcBorders>
            <w:shd w:val="clear" w:color="auto" w:fill="auto"/>
            <w:vAlign w:val="bottom"/>
          </w:tcPr>
          <w:p w:rsidR="00E752D3" w:rsidRPr="00D47AF3" w:rsidRDefault="00E752D3" w:rsidP="00326C09">
            <w:pPr>
              <w:keepNext/>
              <w:keepLines/>
              <w:suppressAutoHyphens w:val="0"/>
              <w:kinsoku/>
              <w:overflowPunct/>
              <w:autoSpaceDE/>
              <w:autoSpaceDN/>
              <w:adjustRightInd/>
              <w:snapToGrid/>
              <w:spacing w:before="80" w:after="80" w:line="200" w:lineRule="exact"/>
              <w:ind w:left="57" w:right="57"/>
              <w:jc w:val="right"/>
              <w:rPr>
                <w:rFonts w:eastAsia="Times New Roman"/>
                <w:i/>
                <w:sz w:val="16"/>
                <w:szCs w:val="16"/>
              </w:rPr>
            </w:pPr>
            <w:r w:rsidRPr="00065E7F">
              <w:rPr>
                <w:rFonts w:eastAsia="Times New Roman"/>
                <w:i/>
                <w:iCs/>
                <w:sz w:val="16"/>
                <w:szCs w:val="16"/>
              </w:rPr>
              <w:t xml:space="preserve">Intensité </w:t>
            </w:r>
            <w:r w:rsidRPr="00326C09">
              <w:rPr>
                <w:rFonts w:eastAsia="Times New Roman"/>
                <w:bCs/>
                <w:i/>
                <w:iCs/>
                <w:sz w:val="16"/>
                <w:szCs w:val="16"/>
              </w:rPr>
              <w:t>lumineuse</w:t>
            </w:r>
            <w:r w:rsidRPr="00065E7F">
              <w:rPr>
                <w:rFonts w:eastAsia="Times New Roman"/>
                <w:i/>
                <w:iCs/>
                <w:sz w:val="16"/>
                <w:szCs w:val="16"/>
              </w:rPr>
              <w:t xml:space="preserve"> maximale dans toutes les directions</w:t>
            </w:r>
            <w:r w:rsidRPr="00065E7F">
              <w:rPr>
                <w:rFonts w:eastAsia="Times New Roman"/>
                <w:i/>
                <w:iCs/>
                <w:sz w:val="16"/>
                <w:szCs w:val="16"/>
              </w:rPr>
              <w:br/>
              <w:t>(valeurs en cd</w:t>
            </w:r>
            <w:r w:rsidRPr="00D47AF3">
              <w:rPr>
                <w:rFonts w:eastAsia="Times New Roman"/>
                <w:i/>
                <w:sz w:val="16"/>
              </w:rPr>
              <w:t>)</w:t>
            </w:r>
          </w:p>
        </w:tc>
      </w:tr>
      <w:tr w:rsidR="00E752D3" w:rsidRPr="00D47AF3" w:rsidTr="007C0E60">
        <w:trPr>
          <w:trHeight w:val="48"/>
        </w:trPr>
        <w:tc>
          <w:tcPr>
            <w:tcW w:w="2281" w:type="dxa"/>
            <w:tcBorders>
              <w:top w:val="single" w:sz="12" w:space="0" w:color="auto"/>
              <w:bottom w:val="single" w:sz="4" w:space="0" w:color="auto"/>
            </w:tcBorders>
            <w:shd w:val="clear" w:color="auto" w:fill="auto"/>
          </w:tcPr>
          <w:p w:rsidR="00E752D3" w:rsidRPr="00D47AF3" w:rsidRDefault="00E752D3" w:rsidP="007C0E60">
            <w:pPr>
              <w:suppressAutoHyphens w:val="0"/>
              <w:kinsoku/>
              <w:overflowPunct/>
              <w:autoSpaceDE/>
              <w:autoSpaceDN/>
              <w:adjustRightInd/>
              <w:snapToGrid/>
              <w:spacing w:before="60" w:after="60" w:line="220" w:lineRule="exact"/>
              <w:ind w:left="57" w:right="57"/>
              <w:rPr>
                <w:rFonts w:eastAsia="Times New Roman"/>
                <w:b/>
                <w:sz w:val="18"/>
                <w:lang w:eastAsia="ja-JP"/>
              </w:rPr>
            </w:pPr>
            <w:r>
              <w:rPr>
                <w:rFonts w:eastAsia="Times New Roman"/>
                <w:sz w:val="18"/>
              </w:rPr>
              <w:t>Feux de circulation diurne</w:t>
            </w:r>
            <w:r w:rsidRPr="00CB1105">
              <w:rPr>
                <w:rStyle w:val="FootnoteReference"/>
                <w:b/>
              </w:rPr>
              <w:footnoteReference w:id="6"/>
            </w:r>
            <w:r w:rsidR="007C0E60">
              <w:rPr>
                <w:rFonts w:eastAsia="Times New Roman"/>
                <w:sz w:val="18"/>
                <w:lang w:eastAsia="ja-JP"/>
              </w:rPr>
              <w:br/>
            </w:r>
            <w:r>
              <w:rPr>
                <w:rFonts w:eastAsia="Times New Roman"/>
                <w:b/>
                <w:sz w:val="18"/>
                <w:lang w:eastAsia="ja-JP"/>
              </w:rPr>
              <w:t xml:space="preserve">catégorie </w:t>
            </w:r>
            <w:r w:rsidRPr="00D47AF3">
              <w:rPr>
                <w:rFonts w:eastAsia="Times New Roman"/>
                <w:b/>
                <w:sz w:val="18"/>
                <w:lang w:eastAsia="ja-JP"/>
              </w:rPr>
              <w:t>RL</w:t>
            </w:r>
          </w:p>
        </w:tc>
        <w:tc>
          <w:tcPr>
            <w:tcW w:w="1843" w:type="dxa"/>
            <w:tcBorders>
              <w:top w:val="single" w:sz="12" w:space="0" w:color="auto"/>
              <w:bottom w:val="single" w:sz="4" w:space="0" w:color="auto"/>
            </w:tcBorders>
            <w:shd w:val="clear" w:color="auto" w:fill="auto"/>
            <w:vAlign w:val="center"/>
          </w:tcPr>
          <w:p w:rsidR="00E752D3" w:rsidRPr="00D47AF3" w:rsidRDefault="00E752D3" w:rsidP="007C0E60">
            <w:pPr>
              <w:suppressAutoHyphens w:val="0"/>
              <w:kinsoku/>
              <w:overflowPunct/>
              <w:autoSpaceDE/>
              <w:autoSpaceDN/>
              <w:adjustRightInd/>
              <w:snapToGrid/>
              <w:spacing w:before="60" w:after="60" w:line="220" w:lineRule="exact"/>
              <w:ind w:left="57" w:right="57"/>
              <w:jc w:val="right"/>
              <w:rPr>
                <w:rFonts w:eastAsia="Times New Roman"/>
                <w:sz w:val="18"/>
              </w:rPr>
            </w:pPr>
            <w:r w:rsidRPr="00D47AF3">
              <w:rPr>
                <w:rFonts w:eastAsia="Times New Roman"/>
                <w:sz w:val="18"/>
              </w:rPr>
              <w:t>400</w:t>
            </w:r>
          </w:p>
        </w:tc>
        <w:tc>
          <w:tcPr>
            <w:tcW w:w="2111" w:type="dxa"/>
            <w:tcBorders>
              <w:top w:val="single" w:sz="12" w:space="0" w:color="auto"/>
              <w:bottom w:val="single" w:sz="4" w:space="0" w:color="auto"/>
            </w:tcBorders>
            <w:shd w:val="clear" w:color="auto" w:fill="auto"/>
            <w:vAlign w:val="center"/>
          </w:tcPr>
          <w:p w:rsidR="00E752D3" w:rsidRPr="00D47AF3" w:rsidRDefault="00E752D3" w:rsidP="007C0E60">
            <w:pPr>
              <w:suppressAutoHyphens w:val="0"/>
              <w:kinsoku/>
              <w:overflowPunct/>
              <w:autoSpaceDE/>
              <w:autoSpaceDN/>
              <w:adjustRightInd/>
              <w:snapToGrid/>
              <w:spacing w:before="60" w:after="60" w:line="220" w:lineRule="exact"/>
              <w:ind w:left="57" w:right="57"/>
              <w:jc w:val="right"/>
              <w:rPr>
                <w:rFonts w:eastAsia="Times New Roman"/>
                <w:sz w:val="18"/>
              </w:rPr>
            </w:pPr>
            <w:r w:rsidRPr="00D47AF3">
              <w:rPr>
                <w:rFonts w:eastAsia="Times New Roman"/>
                <w:bCs/>
                <w:sz w:val="18"/>
              </w:rPr>
              <w:t>1</w:t>
            </w:r>
            <w:r>
              <w:rPr>
                <w:rFonts w:eastAsia="Times New Roman"/>
                <w:bCs/>
                <w:sz w:val="18"/>
              </w:rPr>
              <w:t> </w:t>
            </w:r>
            <w:r w:rsidRPr="00D47AF3">
              <w:rPr>
                <w:rFonts w:eastAsia="Times New Roman"/>
                <w:bCs/>
                <w:sz w:val="18"/>
              </w:rPr>
              <w:t>200</w:t>
            </w:r>
          </w:p>
        </w:tc>
      </w:tr>
      <w:tr w:rsidR="00E752D3" w:rsidRPr="00D47AF3" w:rsidTr="007C0E60">
        <w:trPr>
          <w:trHeight w:val="48"/>
        </w:trPr>
        <w:tc>
          <w:tcPr>
            <w:tcW w:w="2281" w:type="dxa"/>
            <w:tcBorders>
              <w:top w:val="single" w:sz="4" w:space="0" w:color="auto"/>
              <w:bottom w:val="single" w:sz="12" w:space="0" w:color="auto"/>
            </w:tcBorders>
            <w:shd w:val="clear" w:color="auto" w:fill="auto"/>
          </w:tcPr>
          <w:p w:rsidR="00E752D3" w:rsidRPr="00D47AF3" w:rsidRDefault="00E752D3" w:rsidP="007C0E60">
            <w:pPr>
              <w:suppressAutoHyphens w:val="0"/>
              <w:kinsoku/>
              <w:overflowPunct/>
              <w:autoSpaceDE/>
              <w:autoSpaceDN/>
              <w:adjustRightInd/>
              <w:snapToGrid/>
              <w:spacing w:before="60" w:after="60" w:line="220" w:lineRule="exact"/>
              <w:ind w:left="57" w:right="57"/>
              <w:rPr>
                <w:rFonts w:eastAsia="Times New Roman"/>
                <w:sz w:val="18"/>
              </w:rPr>
            </w:pPr>
            <w:r>
              <w:rPr>
                <w:rFonts w:eastAsia="Times New Roman"/>
                <w:b/>
                <w:sz w:val="18"/>
              </w:rPr>
              <w:t>Feux de circulation diurne</w:t>
            </w:r>
            <w:r w:rsidR="007C0E60">
              <w:rPr>
                <w:rFonts w:eastAsia="Times New Roman"/>
                <w:b/>
                <w:sz w:val="18"/>
              </w:rPr>
              <w:br/>
            </w:r>
            <w:r>
              <w:rPr>
                <w:rFonts w:eastAsia="Times New Roman"/>
                <w:b/>
                <w:sz w:val="18"/>
              </w:rPr>
              <w:t xml:space="preserve">catégorie </w:t>
            </w:r>
            <w:r w:rsidRPr="00D47AF3">
              <w:rPr>
                <w:rFonts w:eastAsia="Times New Roman"/>
                <w:b/>
                <w:sz w:val="18"/>
              </w:rPr>
              <w:t>MRL</w:t>
            </w:r>
          </w:p>
        </w:tc>
        <w:tc>
          <w:tcPr>
            <w:tcW w:w="1843" w:type="dxa"/>
            <w:tcBorders>
              <w:top w:val="single" w:sz="4" w:space="0" w:color="auto"/>
              <w:bottom w:val="single" w:sz="12" w:space="0" w:color="auto"/>
            </w:tcBorders>
            <w:shd w:val="clear" w:color="auto" w:fill="auto"/>
            <w:vAlign w:val="center"/>
          </w:tcPr>
          <w:p w:rsidR="00E752D3" w:rsidRPr="00D47AF3" w:rsidRDefault="00E752D3" w:rsidP="007C0E60">
            <w:pPr>
              <w:suppressAutoHyphens w:val="0"/>
              <w:kinsoku/>
              <w:overflowPunct/>
              <w:autoSpaceDE/>
              <w:autoSpaceDN/>
              <w:adjustRightInd/>
              <w:snapToGrid/>
              <w:spacing w:before="60" w:after="60" w:line="220" w:lineRule="exact"/>
              <w:ind w:left="57" w:right="57"/>
              <w:jc w:val="right"/>
              <w:rPr>
                <w:rFonts w:eastAsia="Times New Roman"/>
                <w:b/>
                <w:sz w:val="18"/>
              </w:rPr>
            </w:pPr>
            <w:r w:rsidRPr="00D47AF3">
              <w:rPr>
                <w:rFonts w:eastAsia="Times New Roman"/>
                <w:b/>
                <w:sz w:val="18"/>
              </w:rPr>
              <w:t>400</w:t>
            </w:r>
          </w:p>
        </w:tc>
        <w:tc>
          <w:tcPr>
            <w:tcW w:w="2111" w:type="dxa"/>
            <w:tcBorders>
              <w:top w:val="single" w:sz="4" w:space="0" w:color="auto"/>
              <w:bottom w:val="single" w:sz="12" w:space="0" w:color="auto"/>
            </w:tcBorders>
            <w:shd w:val="clear" w:color="auto" w:fill="auto"/>
            <w:vAlign w:val="center"/>
          </w:tcPr>
          <w:p w:rsidR="00E752D3" w:rsidRPr="00D47AF3" w:rsidRDefault="00E752D3" w:rsidP="007C0E60">
            <w:pPr>
              <w:suppressAutoHyphens w:val="0"/>
              <w:kinsoku/>
              <w:overflowPunct/>
              <w:autoSpaceDE/>
              <w:autoSpaceDN/>
              <w:adjustRightInd/>
              <w:snapToGrid/>
              <w:spacing w:before="60" w:after="60" w:line="220" w:lineRule="exact"/>
              <w:ind w:left="57" w:right="57"/>
              <w:jc w:val="right"/>
              <w:rPr>
                <w:rFonts w:eastAsia="Times New Roman"/>
                <w:b/>
                <w:bCs/>
                <w:sz w:val="18"/>
                <w:lang w:eastAsia="ja-JP"/>
              </w:rPr>
            </w:pPr>
            <w:r w:rsidRPr="00D47AF3">
              <w:rPr>
                <w:rFonts w:eastAsia="Times New Roman"/>
                <w:b/>
                <w:bCs/>
                <w:sz w:val="18"/>
                <w:lang w:eastAsia="ja-JP"/>
              </w:rPr>
              <w:t>700</w:t>
            </w:r>
          </w:p>
        </w:tc>
      </w:tr>
    </w:tbl>
    <w:p w:rsidR="00E752D3" w:rsidRPr="00D47AF3" w:rsidRDefault="00E752D3" w:rsidP="002260EE">
      <w:pPr>
        <w:kinsoku/>
        <w:overflowPunct/>
        <w:autoSpaceDE/>
        <w:autoSpaceDN/>
        <w:adjustRightInd/>
        <w:snapToGrid/>
        <w:spacing w:after="120"/>
        <w:ind w:left="2268" w:right="1134" w:hanging="1134"/>
        <w:jc w:val="right"/>
        <w:rPr>
          <w:rFonts w:eastAsia="Times New Roman"/>
          <w:bCs/>
        </w:rPr>
      </w:pPr>
      <w:r>
        <w:rPr>
          <w:rFonts w:eastAsia="Times New Roman"/>
          <w:bCs/>
        </w:rPr>
        <w:t>».</w:t>
      </w:r>
    </w:p>
    <w:p w:rsidR="00E752D3" w:rsidRPr="00D47AF3" w:rsidRDefault="00E752D3" w:rsidP="00083821">
      <w:pPr>
        <w:pStyle w:val="SingleTxtG"/>
      </w:pPr>
      <w:bookmarkStart w:id="5" w:name="_Hlk504574406"/>
      <w:r w:rsidRPr="00083821">
        <w:rPr>
          <w:i/>
        </w:rPr>
        <w:t>Annexe 2, tableau A2-1 : Répartition horizontale et verticale de la lumière dans l’espace</w:t>
      </w:r>
      <w:r w:rsidRPr="00076AD5">
        <w:rPr>
          <w:lang w:eastAsia="ja-JP"/>
        </w:rPr>
        <w:t xml:space="preserve">, </w:t>
      </w:r>
      <w:r w:rsidRPr="00D47AF3">
        <w:t>modifier comme suit</w:t>
      </w:r>
      <w:r w:rsidR="002260EE">
        <w:t> </w:t>
      </w:r>
      <w:r w:rsidRPr="00D47AF3">
        <w:t>:</w:t>
      </w:r>
    </w:p>
    <w:p w:rsidR="00E752D3" w:rsidRPr="00D47AF3" w:rsidRDefault="00E752D3" w:rsidP="00326C09">
      <w:pPr>
        <w:pStyle w:val="SingleTxtG"/>
        <w:jc w:val="left"/>
      </w:pPr>
      <w:r>
        <w:rPr>
          <w:bCs/>
        </w:rPr>
        <w:t>« </w:t>
      </w:r>
      <w:r w:rsidRPr="00D47AF3">
        <w:t>Table</w:t>
      </w:r>
      <w:r>
        <w:t>au</w:t>
      </w:r>
      <w:r w:rsidRPr="00D47AF3">
        <w:t xml:space="preserve"> A2-1</w:t>
      </w:r>
      <w:r w:rsidR="00326C09">
        <w:br/>
      </w:r>
      <w:r w:rsidRPr="00D83BAA">
        <w:t>Répartition horizontale et verticale de la lumière dans l’espace</w:t>
      </w:r>
    </w:p>
    <w:tbl>
      <w:tblPr>
        <w:tblStyle w:val="Grilledutableau1"/>
        <w:tblW w:w="8421" w:type="dxa"/>
        <w:tblInd w:w="1173" w:type="dxa"/>
        <w:tblLayout w:type="fixed"/>
        <w:tblLook w:val="04A0" w:firstRow="1" w:lastRow="0" w:firstColumn="1" w:lastColumn="0" w:noHBand="0" w:noVBand="1"/>
      </w:tblPr>
      <w:tblGrid>
        <w:gridCol w:w="3368"/>
        <w:gridCol w:w="1985"/>
        <w:gridCol w:w="1843"/>
        <w:gridCol w:w="1225"/>
      </w:tblGrid>
      <w:tr w:rsidR="00E752D3" w:rsidRPr="00D47AF3" w:rsidTr="007C0E60">
        <w:trPr>
          <w:tblHeader/>
        </w:trPr>
        <w:tc>
          <w:tcPr>
            <w:tcW w:w="3368" w:type="dxa"/>
            <w:tcBorders>
              <w:top w:val="single" w:sz="4" w:space="0" w:color="auto"/>
              <w:bottom w:val="single" w:sz="12" w:space="0" w:color="auto"/>
            </w:tcBorders>
            <w:vAlign w:val="center"/>
          </w:tcPr>
          <w:p w:rsidR="00E752D3" w:rsidRPr="00D47AF3" w:rsidRDefault="00E752D3" w:rsidP="00326C09">
            <w:pPr>
              <w:kinsoku/>
              <w:overflowPunct/>
              <w:autoSpaceDE/>
              <w:autoSpaceDN/>
              <w:adjustRightInd/>
              <w:snapToGrid/>
              <w:spacing w:before="80" w:after="80" w:line="200" w:lineRule="exact"/>
              <w:ind w:left="57" w:right="57"/>
              <w:rPr>
                <w:bCs/>
                <w:i/>
                <w:sz w:val="16"/>
              </w:rPr>
            </w:pPr>
            <w:r w:rsidRPr="00D83BAA">
              <w:rPr>
                <w:bCs/>
                <w:i/>
                <w:sz w:val="16"/>
              </w:rPr>
              <w:t>Feu</w:t>
            </w:r>
          </w:p>
        </w:tc>
        <w:tc>
          <w:tcPr>
            <w:tcW w:w="1985" w:type="dxa"/>
            <w:tcBorders>
              <w:top w:val="single" w:sz="4" w:space="0" w:color="auto"/>
              <w:bottom w:val="single" w:sz="12" w:space="0" w:color="auto"/>
            </w:tcBorders>
            <w:vAlign w:val="center"/>
          </w:tcPr>
          <w:p w:rsidR="00E752D3" w:rsidRPr="00D47AF3" w:rsidRDefault="00E752D3" w:rsidP="00326C09">
            <w:pPr>
              <w:kinsoku/>
              <w:overflowPunct/>
              <w:autoSpaceDE/>
              <w:autoSpaceDN/>
              <w:adjustRightInd/>
              <w:snapToGrid/>
              <w:spacing w:before="80" w:after="80" w:line="200" w:lineRule="exact"/>
              <w:ind w:left="57" w:right="57"/>
              <w:jc w:val="center"/>
              <w:rPr>
                <w:bCs/>
                <w:i/>
                <w:sz w:val="16"/>
              </w:rPr>
            </w:pPr>
            <w:r w:rsidRPr="00D83BAA">
              <w:rPr>
                <w:bCs/>
                <w:i/>
                <w:sz w:val="16"/>
              </w:rPr>
              <w:t>Angles minimaux horizontaux (intérieurs/extérieurs)</w:t>
            </w:r>
          </w:p>
        </w:tc>
        <w:tc>
          <w:tcPr>
            <w:tcW w:w="1843" w:type="dxa"/>
            <w:tcBorders>
              <w:top w:val="single" w:sz="4" w:space="0" w:color="auto"/>
              <w:bottom w:val="single" w:sz="12" w:space="0" w:color="auto"/>
            </w:tcBorders>
            <w:vAlign w:val="center"/>
          </w:tcPr>
          <w:p w:rsidR="00E752D3" w:rsidRPr="00D47AF3" w:rsidRDefault="00E752D3" w:rsidP="00326C09">
            <w:pPr>
              <w:kinsoku/>
              <w:overflowPunct/>
              <w:autoSpaceDE/>
              <w:autoSpaceDN/>
              <w:adjustRightInd/>
              <w:snapToGrid/>
              <w:spacing w:before="80" w:after="80" w:line="200" w:lineRule="exact"/>
              <w:ind w:left="57" w:right="57"/>
              <w:jc w:val="center"/>
              <w:rPr>
                <w:bCs/>
                <w:i/>
                <w:sz w:val="16"/>
              </w:rPr>
            </w:pPr>
            <w:r w:rsidRPr="00D83BAA">
              <w:rPr>
                <w:bCs/>
                <w:i/>
                <w:sz w:val="16"/>
              </w:rPr>
              <w:t>Angles minimaux verticaux (supérieurs/inférieurs)</w:t>
            </w:r>
          </w:p>
        </w:tc>
        <w:tc>
          <w:tcPr>
            <w:tcW w:w="1225" w:type="dxa"/>
            <w:tcBorders>
              <w:top w:val="single" w:sz="4" w:space="0" w:color="auto"/>
              <w:bottom w:val="single" w:sz="12" w:space="0" w:color="auto"/>
            </w:tcBorders>
            <w:vAlign w:val="center"/>
          </w:tcPr>
          <w:p w:rsidR="00E752D3" w:rsidRPr="00D47AF3" w:rsidRDefault="00E752D3" w:rsidP="00326C09">
            <w:pPr>
              <w:kinsoku/>
              <w:overflowPunct/>
              <w:autoSpaceDE/>
              <w:autoSpaceDN/>
              <w:adjustRightInd/>
              <w:snapToGrid/>
              <w:spacing w:before="80" w:after="80" w:line="200" w:lineRule="exact"/>
              <w:ind w:left="57" w:right="57"/>
              <w:jc w:val="center"/>
              <w:rPr>
                <w:bCs/>
                <w:i/>
                <w:sz w:val="16"/>
              </w:rPr>
            </w:pPr>
            <w:r w:rsidRPr="00D83BAA">
              <w:rPr>
                <w:bCs/>
                <w:i/>
                <w:sz w:val="16"/>
              </w:rPr>
              <w:t>Renseignements complémentaires</w:t>
            </w:r>
          </w:p>
        </w:tc>
      </w:tr>
      <w:tr w:rsidR="00E752D3" w:rsidRPr="00D47AF3" w:rsidTr="00083821">
        <w:tc>
          <w:tcPr>
            <w:tcW w:w="3368" w:type="dxa"/>
            <w:tcBorders>
              <w:top w:val="single" w:sz="12" w:space="0" w:color="auto"/>
            </w:tcBorders>
            <w:vAlign w:val="center"/>
          </w:tcPr>
          <w:p w:rsidR="00E752D3" w:rsidRPr="00D47AF3" w:rsidRDefault="00E752D3" w:rsidP="00326C09">
            <w:pPr>
              <w:kinsoku/>
              <w:overflowPunct/>
              <w:autoSpaceDE/>
              <w:autoSpaceDN/>
              <w:adjustRightInd/>
              <w:snapToGrid/>
              <w:spacing w:before="60" w:after="60" w:line="220" w:lineRule="exact"/>
              <w:ind w:left="57" w:right="57"/>
              <w:rPr>
                <w:sz w:val="18"/>
                <w:szCs w:val="18"/>
              </w:rPr>
            </w:pPr>
            <w:r>
              <w:rPr>
                <w:sz w:val="18"/>
                <w:szCs w:val="18"/>
              </w:rPr>
              <w:t>Feu indicateur de direction avant</w:t>
            </w:r>
            <w:r w:rsidRPr="00D47AF3">
              <w:rPr>
                <w:sz w:val="18"/>
                <w:szCs w:val="18"/>
              </w:rPr>
              <w:t xml:space="preserve"> (1, 1a, 1b)</w:t>
            </w:r>
          </w:p>
        </w:tc>
        <w:tc>
          <w:tcPr>
            <w:tcW w:w="1985" w:type="dxa"/>
            <w:tcBorders>
              <w:top w:val="single" w:sz="12" w:space="0" w:color="auto"/>
            </w:tcBorders>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Pr>
                <w:sz w:val="18"/>
                <w:szCs w:val="18"/>
              </w:rPr>
              <w:t>45°</w:t>
            </w:r>
            <w:r w:rsidRPr="00D47AF3">
              <w:rPr>
                <w:sz w:val="18"/>
                <w:szCs w:val="18"/>
              </w:rPr>
              <w:t>/80°</w:t>
            </w:r>
            <w:r w:rsidR="00326C09">
              <w:rPr>
                <w:sz w:val="18"/>
                <w:szCs w:val="18"/>
              </w:rPr>
              <w:br/>
            </w:r>
            <w:r w:rsidRPr="00D47AF3">
              <w:rPr>
                <w:sz w:val="18"/>
                <w:szCs w:val="18"/>
              </w:rPr>
              <w:t>20°/80°</w:t>
            </w:r>
            <w:r w:rsidRPr="00D47AF3">
              <w:rPr>
                <w:sz w:val="18"/>
                <w:szCs w:val="18"/>
                <w:vertAlign w:val="superscript"/>
              </w:rPr>
              <w:t>5</w:t>
            </w:r>
          </w:p>
        </w:tc>
        <w:tc>
          <w:tcPr>
            <w:tcW w:w="1843" w:type="dxa"/>
            <w:tcBorders>
              <w:top w:val="single" w:sz="12" w:space="0" w:color="auto"/>
            </w:tcBorders>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vertAlign w:val="superscript"/>
              </w:rPr>
            </w:pPr>
            <w:r w:rsidRPr="00D47AF3">
              <w:rPr>
                <w:sz w:val="18"/>
                <w:szCs w:val="18"/>
              </w:rPr>
              <w:t>1</w:t>
            </w:r>
            <w:r>
              <w:rPr>
                <w:sz w:val="18"/>
                <w:szCs w:val="18"/>
              </w:rPr>
              <w:t>5°/</w:t>
            </w:r>
            <w:r w:rsidRPr="00D47AF3">
              <w:rPr>
                <w:sz w:val="18"/>
                <w:szCs w:val="18"/>
              </w:rPr>
              <w:t>15°</w:t>
            </w:r>
            <w:r w:rsidR="00326C09">
              <w:rPr>
                <w:sz w:val="18"/>
                <w:szCs w:val="18"/>
              </w:rPr>
              <w:br/>
            </w:r>
            <w:r>
              <w:rPr>
                <w:sz w:val="18"/>
                <w:szCs w:val="18"/>
              </w:rPr>
              <w:t>15°/</w:t>
            </w:r>
            <w:r w:rsidRPr="00D47AF3">
              <w:rPr>
                <w:sz w:val="18"/>
                <w:szCs w:val="18"/>
              </w:rPr>
              <w:t>5°</w:t>
            </w:r>
            <w:bookmarkStart w:id="6" w:name="_Ref463336956"/>
            <w:r w:rsidRPr="00D47AF3">
              <w:rPr>
                <w:sz w:val="18"/>
                <w:szCs w:val="18"/>
                <w:vertAlign w:val="superscript"/>
              </w:rPr>
              <w:footnoteReference w:id="7"/>
            </w:r>
            <w:bookmarkEnd w:id="6"/>
          </w:p>
        </w:tc>
        <w:tc>
          <w:tcPr>
            <w:tcW w:w="1225" w:type="dxa"/>
            <w:tcBorders>
              <w:top w:val="single" w:sz="12" w:space="0" w:color="auto"/>
            </w:tcBorders>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sidRPr="00D47AF3">
              <w:rPr>
                <w:sz w:val="18"/>
                <w:szCs w:val="18"/>
              </w:rPr>
              <w:t>-</w:t>
            </w:r>
          </w:p>
        </w:tc>
      </w:tr>
      <w:tr w:rsidR="00E752D3" w:rsidRPr="00D47AF3" w:rsidTr="00083821">
        <w:tc>
          <w:tcPr>
            <w:tcW w:w="3368" w:type="dxa"/>
            <w:vAlign w:val="center"/>
          </w:tcPr>
          <w:p w:rsidR="00E752D3" w:rsidRPr="00D47AF3" w:rsidRDefault="00E752D3" w:rsidP="00326C09">
            <w:pPr>
              <w:kinsoku/>
              <w:overflowPunct/>
              <w:autoSpaceDE/>
              <w:autoSpaceDN/>
              <w:adjustRightInd/>
              <w:snapToGrid/>
              <w:spacing w:before="60" w:after="60" w:line="220" w:lineRule="exact"/>
              <w:ind w:left="57" w:right="57"/>
              <w:rPr>
                <w:bCs/>
                <w:sz w:val="18"/>
                <w:szCs w:val="18"/>
              </w:rPr>
            </w:pPr>
            <w:r>
              <w:rPr>
                <w:bCs/>
                <w:sz w:val="18"/>
                <w:szCs w:val="18"/>
              </w:rPr>
              <w:t>Feu indicateur de direction arrière</w:t>
            </w:r>
            <w:r w:rsidRPr="00D47AF3">
              <w:rPr>
                <w:bCs/>
                <w:sz w:val="18"/>
                <w:szCs w:val="18"/>
              </w:rPr>
              <w:t xml:space="preserve"> (2a, 2b)</w:t>
            </w:r>
          </w:p>
        </w:tc>
        <w:tc>
          <w:tcPr>
            <w:tcW w:w="198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Pr>
                <w:sz w:val="18"/>
                <w:szCs w:val="18"/>
              </w:rPr>
              <w:t>45°</w:t>
            </w:r>
            <w:r w:rsidRPr="00D47AF3">
              <w:rPr>
                <w:sz w:val="18"/>
                <w:szCs w:val="18"/>
              </w:rPr>
              <w:t>/80°</w:t>
            </w:r>
            <w:r w:rsidR="00326C09">
              <w:rPr>
                <w:sz w:val="18"/>
                <w:szCs w:val="18"/>
              </w:rPr>
              <w:br/>
            </w:r>
            <w:r>
              <w:rPr>
                <w:sz w:val="18"/>
                <w:szCs w:val="18"/>
              </w:rPr>
              <w:t>20°/</w:t>
            </w:r>
            <w:r w:rsidRPr="00D47AF3">
              <w:rPr>
                <w:sz w:val="18"/>
                <w:szCs w:val="18"/>
              </w:rPr>
              <w:t>80°</w:t>
            </w:r>
            <w:r w:rsidRPr="00D47AF3">
              <w:rPr>
                <w:sz w:val="18"/>
                <w:szCs w:val="18"/>
                <w:vertAlign w:val="superscript"/>
              </w:rPr>
              <w:t>5</w:t>
            </w:r>
          </w:p>
        </w:tc>
        <w:tc>
          <w:tcPr>
            <w:tcW w:w="1843"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Pr>
                <w:sz w:val="18"/>
                <w:szCs w:val="18"/>
              </w:rPr>
              <w:t>15°</w:t>
            </w:r>
            <w:r w:rsidRPr="00D47AF3">
              <w:rPr>
                <w:sz w:val="18"/>
                <w:szCs w:val="18"/>
              </w:rPr>
              <w:t>/15°</w:t>
            </w:r>
            <w:r w:rsidR="00326C09">
              <w:rPr>
                <w:sz w:val="18"/>
                <w:szCs w:val="18"/>
              </w:rPr>
              <w:br/>
            </w:r>
            <w:r>
              <w:rPr>
                <w:sz w:val="18"/>
                <w:szCs w:val="18"/>
              </w:rPr>
              <w:t>15°</w:t>
            </w:r>
            <w:r w:rsidRPr="00D47AF3">
              <w:rPr>
                <w:sz w:val="18"/>
                <w:szCs w:val="18"/>
              </w:rPr>
              <w:t>/5°</w:t>
            </w:r>
            <w:r w:rsidRPr="00D47AF3">
              <w:rPr>
                <w:sz w:val="18"/>
                <w:szCs w:val="18"/>
                <w:vertAlign w:val="superscript"/>
              </w:rPr>
              <w:t>3</w:t>
            </w:r>
            <w:r w:rsidR="00326C09">
              <w:rPr>
                <w:sz w:val="18"/>
                <w:szCs w:val="18"/>
                <w:vertAlign w:val="superscript"/>
              </w:rPr>
              <w:br/>
            </w:r>
            <w:r>
              <w:rPr>
                <w:sz w:val="18"/>
                <w:szCs w:val="18"/>
              </w:rPr>
              <w:t>5°/</w:t>
            </w:r>
            <w:r w:rsidRPr="00D47AF3">
              <w:rPr>
                <w:sz w:val="18"/>
                <w:szCs w:val="18"/>
              </w:rPr>
              <w:t>15°</w:t>
            </w:r>
            <w:r w:rsidRPr="00D47AF3">
              <w:rPr>
                <w:sz w:val="18"/>
                <w:szCs w:val="18"/>
                <w:vertAlign w:val="superscript"/>
              </w:rPr>
              <w:footnoteReference w:id="8"/>
            </w:r>
          </w:p>
        </w:tc>
        <w:tc>
          <w:tcPr>
            <w:tcW w:w="122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sidRPr="00D47AF3">
              <w:rPr>
                <w:sz w:val="18"/>
                <w:szCs w:val="18"/>
              </w:rPr>
              <w:t>-</w:t>
            </w:r>
          </w:p>
        </w:tc>
      </w:tr>
      <w:tr w:rsidR="00E752D3" w:rsidRPr="00D47AF3" w:rsidTr="00083821">
        <w:tc>
          <w:tcPr>
            <w:tcW w:w="3368" w:type="dxa"/>
            <w:vAlign w:val="center"/>
          </w:tcPr>
          <w:p w:rsidR="00E752D3" w:rsidRPr="00D47AF3" w:rsidRDefault="00E752D3" w:rsidP="00326C09">
            <w:pPr>
              <w:kinsoku/>
              <w:overflowPunct/>
              <w:autoSpaceDE/>
              <w:autoSpaceDN/>
              <w:adjustRightInd/>
              <w:snapToGrid/>
              <w:spacing w:before="60" w:after="60" w:line="220" w:lineRule="exact"/>
              <w:ind w:left="57" w:right="57"/>
              <w:rPr>
                <w:sz w:val="18"/>
                <w:szCs w:val="18"/>
              </w:rPr>
            </w:pPr>
            <w:r>
              <w:rPr>
                <w:sz w:val="18"/>
                <w:szCs w:val="18"/>
              </w:rPr>
              <w:t>Feu indicateur de direction avant</w:t>
            </w:r>
            <w:r w:rsidRPr="00D47AF3">
              <w:rPr>
                <w:sz w:val="18"/>
                <w:szCs w:val="18"/>
              </w:rPr>
              <w:t xml:space="preserve"> (11, 11a, 11b, 11c)</w:t>
            </w:r>
            <w:r w:rsidR="00326C09">
              <w:rPr>
                <w:sz w:val="18"/>
                <w:szCs w:val="18"/>
              </w:rPr>
              <w:br/>
            </w:r>
            <w:r>
              <w:rPr>
                <w:sz w:val="18"/>
                <w:szCs w:val="18"/>
              </w:rPr>
              <w:t>Feu indicateur de direction arrière</w:t>
            </w:r>
            <w:r w:rsidRPr="00D47AF3">
              <w:rPr>
                <w:sz w:val="18"/>
                <w:szCs w:val="18"/>
              </w:rPr>
              <w:t xml:space="preserve"> (12)</w:t>
            </w:r>
          </w:p>
        </w:tc>
        <w:tc>
          <w:tcPr>
            <w:tcW w:w="198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sidRPr="00D47AF3">
              <w:rPr>
                <w:sz w:val="18"/>
                <w:szCs w:val="18"/>
              </w:rPr>
              <w:t>20°/80°</w:t>
            </w:r>
          </w:p>
        </w:tc>
        <w:tc>
          <w:tcPr>
            <w:tcW w:w="1843"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vertAlign w:val="superscript"/>
              </w:rPr>
            </w:pPr>
            <w:r w:rsidRPr="00D47AF3">
              <w:rPr>
                <w:sz w:val="18"/>
                <w:szCs w:val="18"/>
              </w:rPr>
              <w:t>15°/15°</w:t>
            </w:r>
            <w:r w:rsidR="00326C09">
              <w:rPr>
                <w:sz w:val="18"/>
                <w:szCs w:val="18"/>
              </w:rPr>
              <w:br/>
            </w:r>
            <w:r>
              <w:rPr>
                <w:sz w:val="18"/>
                <w:szCs w:val="18"/>
              </w:rPr>
              <w:t>15°/</w:t>
            </w:r>
            <w:r w:rsidRPr="00D47AF3">
              <w:rPr>
                <w:sz w:val="18"/>
                <w:szCs w:val="18"/>
              </w:rPr>
              <w:t>5°</w:t>
            </w:r>
            <w:r w:rsidRPr="00D47AF3">
              <w:rPr>
                <w:sz w:val="18"/>
                <w:szCs w:val="18"/>
                <w:vertAlign w:val="superscript"/>
              </w:rPr>
              <w:t>3</w:t>
            </w:r>
          </w:p>
        </w:tc>
        <w:tc>
          <w:tcPr>
            <w:tcW w:w="122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sidRPr="00D47AF3">
              <w:rPr>
                <w:sz w:val="18"/>
                <w:szCs w:val="18"/>
              </w:rPr>
              <w:t>-</w:t>
            </w:r>
          </w:p>
        </w:tc>
      </w:tr>
      <w:tr w:rsidR="00E752D3" w:rsidRPr="00D47AF3" w:rsidTr="00083821">
        <w:tc>
          <w:tcPr>
            <w:tcW w:w="3368" w:type="dxa"/>
            <w:vAlign w:val="center"/>
          </w:tcPr>
          <w:p w:rsidR="00E752D3" w:rsidRPr="00D47AF3" w:rsidRDefault="00E752D3" w:rsidP="00326C09">
            <w:pPr>
              <w:kinsoku/>
              <w:overflowPunct/>
              <w:autoSpaceDE/>
              <w:autoSpaceDN/>
              <w:adjustRightInd/>
              <w:snapToGrid/>
              <w:spacing w:before="60" w:after="60" w:line="220" w:lineRule="exact"/>
              <w:ind w:left="57" w:right="57"/>
              <w:rPr>
                <w:sz w:val="18"/>
                <w:szCs w:val="18"/>
              </w:rPr>
            </w:pPr>
            <w:r w:rsidRPr="00D83BAA">
              <w:rPr>
                <w:sz w:val="18"/>
                <w:szCs w:val="18"/>
              </w:rPr>
              <w:t>Feu de position avant (unique)</w:t>
            </w:r>
            <w:r w:rsidRPr="00D47AF3">
              <w:rPr>
                <w:sz w:val="18"/>
                <w:szCs w:val="18"/>
              </w:rPr>
              <w:t xml:space="preserve"> (MA)</w:t>
            </w:r>
            <w:r w:rsidR="00326C09">
              <w:rPr>
                <w:sz w:val="18"/>
                <w:szCs w:val="18"/>
              </w:rPr>
              <w:br/>
            </w:r>
            <w:r w:rsidRPr="00D83BAA">
              <w:rPr>
                <w:sz w:val="18"/>
                <w:szCs w:val="18"/>
              </w:rPr>
              <w:t xml:space="preserve">Feu de position arrière (unique) </w:t>
            </w:r>
            <w:r w:rsidRPr="00D47AF3">
              <w:rPr>
                <w:sz w:val="18"/>
                <w:szCs w:val="18"/>
              </w:rPr>
              <w:t>(MR)</w:t>
            </w:r>
          </w:p>
        </w:tc>
        <w:tc>
          <w:tcPr>
            <w:tcW w:w="198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Pr>
                <w:sz w:val="18"/>
                <w:szCs w:val="18"/>
              </w:rPr>
              <w:t>80°</w:t>
            </w:r>
            <w:r w:rsidRPr="00D47AF3">
              <w:rPr>
                <w:sz w:val="18"/>
                <w:szCs w:val="18"/>
              </w:rPr>
              <w:t>/80°</w:t>
            </w:r>
          </w:p>
        </w:tc>
        <w:tc>
          <w:tcPr>
            <w:tcW w:w="1843"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Pr>
                <w:sz w:val="18"/>
                <w:szCs w:val="18"/>
              </w:rPr>
              <w:t>15°</w:t>
            </w:r>
            <w:r w:rsidRPr="00D47AF3">
              <w:rPr>
                <w:sz w:val="18"/>
                <w:szCs w:val="18"/>
              </w:rPr>
              <w:t>/10°</w:t>
            </w:r>
            <w:r w:rsidR="00326C09">
              <w:rPr>
                <w:sz w:val="18"/>
                <w:szCs w:val="18"/>
              </w:rPr>
              <w:br/>
            </w:r>
            <w:r w:rsidR="00076AD5">
              <w:rPr>
                <w:sz w:val="18"/>
                <w:szCs w:val="18"/>
              </w:rPr>
              <w:t>15°/5</w:t>
            </w:r>
            <w:r w:rsidRPr="00D47AF3">
              <w:rPr>
                <w:sz w:val="18"/>
                <w:szCs w:val="18"/>
              </w:rPr>
              <w:t>°</w:t>
            </w:r>
            <w:r w:rsidRPr="00D47AF3">
              <w:rPr>
                <w:sz w:val="18"/>
                <w:szCs w:val="18"/>
                <w:vertAlign w:val="superscript"/>
              </w:rPr>
              <w:t>3</w:t>
            </w:r>
          </w:p>
        </w:tc>
        <w:tc>
          <w:tcPr>
            <w:tcW w:w="122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p>
        </w:tc>
      </w:tr>
      <w:tr w:rsidR="00E752D3" w:rsidRPr="00D47AF3" w:rsidTr="00083821">
        <w:tc>
          <w:tcPr>
            <w:tcW w:w="3368" w:type="dxa"/>
            <w:vAlign w:val="center"/>
          </w:tcPr>
          <w:p w:rsidR="00E752D3" w:rsidRPr="00D47AF3" w:rsidRDefault="00E752D3" w:rsidP="00326C09">
            <w:pPr>
              <w:kinsoku/>
              <w:overflowPunct/>
              <w:autoSpaceDE/>
              <w:autoSpaceDN/>
              <w:adjustRightInd/>
              <w:snapToGrid/>
              <w:spacing w:before="60" w:after="60" w:line="220" w:lineRule="exact"/>
              <w:ind w:left="57" w:right="57"/>
              <w:rPr>
                <w:sz w:val="18"/>
                <w:szCs w:val="18"/>
              </w:rPr>
            </w:pPr>
            <w:r w:rsidRPr="00242C04">
              <w:rPr>
                <w:sz w:val="18"/>
                <w:szCs w:val="18"/>
              </w:rPr>
              <w:t>Feux de position avant (paire)</w:t>
            </w:r>
            <w:r w:rsidRPr="00D47AF3">
              <w:rPr>
                <w:sz w:val="18"/>
                <w:szCs w:val="18"/>
              </w:rPr>
              <w:t xml:space="preserve"> (MA)</w:t>
            </w:r>
            <w:r w:rsidR="00326C09">
              <w:rPr>
                <w:sz w:val="18"/>
                <w:szCs w:val="18"/>
              </w:rPr>
              <w:br/>
            </w:r>
            <w:r w:rsidRPr="00242C04">
              <w:rPr>
                <w:sz w:val="18"/>
                <w:szCs w:val="18"/>
              </w:rPr>
              <w:t xml:space="preserve">Feux de position arrière (paire) </w:t>
            </w:r>
            <w:r w:rsidRPr="00D47AF3">
              <w:rPr>
                <w:sz w:val="18"/>
                <w:szCs w:val="18"/>
              </w:rPr>
              <w:t>(MR)</w:t>
            </w:r>
          </w:p>
        </w:tc>
        <w:tc>
          <w:tcPr>
            <w:tcW w:w="198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Pr>
                <w:sz w:val="18"/>
                <w:szCs w:val="18"/>
              </w:rPr>
              <w:t>20°</w:t>
            </w:r>
            <w:r w:rsidRPr="00D47AF3">
              <w:rPr>
                <w:sz w:val="18"/>
                <w:szCs w:val="18"/>
              </w:rPr>
              <w:t>/80°</w:t>
            </w:r>
          </w:p>
        </w:tc>
        <w:tc>
          <w:tcPr>
            <w:tcW w:w="1843"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Pr>
                <w:sz w:val="18"/>
                <w:szCs w:val="18"/>
              </w:rPr>
              <w:t>15°</w:t>
            </w:r>
            <w:r w:rsidRPr="00D47AF3">
              <w:rPr>
                <w:sz w:val="18"/>
                <w:szCs w:val="18"/>
              </w:rPr>
              <w:t>/10°</w:t>
            </w:r>
            <w:r w:rsidR="00326C09">
              <w:rPr>
                <w:sz w:val="18"/>
                <w:szCs w:val="18"/>
              </w:rPr>
              <w:br/>
            </w:r>
            <w:r>
              <w:rPr>
                <w:sz w:val="18"/>
                <w:szCs w:val="18"/>
              </w:rPr>
              <w:t>15°</w:t>
            </w:r>
            <w:r w:rsidRPr="00D47AF3">
              <w:rPr>
                <w:sz w:val="18"/>
                <w:szCs w:val="18"/>
              </w:rPr>
              <w:t>/5°</w:t>
            </w:r>
            <w:r w:rsidRPr="00D47AF3">
              <w:rPr>
                <w:sz w:val="18"/>
                <w:szCs w:val="18"/>
                <w:vertAlign w:val="superscript"/>
              </w:rPr>
              <w:t>3</w:t>
            </w:r>
          </w:p>
        </w:tc>
        <w:tc>
          <w:tcPr>
            <w:tcW w:w="122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p>
        </w:tc>
      </w:tr>
      <w:tr w:rsidR="00E752D3" w:rsidRPr="00D47AF3" w:rsidTr="00083821">
        <w:tc>
          <w:tcPr>
            <w:tcW w:w="3368" w:type="dxa"/>
            <w:vAlign w:val="center"/>
          </w:tcPr>
          <w:p w:rsidR="00E752D3" w:rsidRPr="00D47AF3" w:rsidRDefault="00E752D3" w:rsidP="007C0E60">
            <w:pPr>
              <w:kinsoku/>
              <w:overflowPunct/>
              <w:autoSpaceDE/>
              <w:autoSpaceDN/>
              <w:adjustRightInd/>
              <w:snapToGrid/>
              <w:spacing w:before="60" w:after="60" w:line="220" w:lineRule="exact"/>
              <w:ind w:left="57" w:right="57"/>
              <w:rPr>
                <w:sz w:val="18"/>
                <w:szCs w:val="18"/>
              </w:rPr>
            </w:pPr>
            <w:r w:rsidRPr="00242C04">
              <w:rPr>
                <w:sz w:val="18"/>
                <w:szCs w:val="18"/>
              </w:rPr>
              <w:t xml:space="preserve">Feu-stop </w:t>
            </w:r>
            <w:r w:rsidRPr="00D47AF3">
              <w:rPr>
                <w:sz w:val="18"/>
                <w:szCs w:val="18"/>
              </w:rPr>
              <w:t>(MS)</w:t>
            </w:r>
            <w:r w:rsidR="007C0E60">
              <w:rPr>
                <w:sz w:val="18"/>
                <w:szCs w:val="18"/>
              </w:rPr>
              <w:br/>
            </w:r>
            <w:r w:rsidRPr="00242C04">
              <w:rPr>
                <w:sz w:val="18"/>
                <w:szCs w:val="18"/>
              </w:rPr>
              <w:t xml:space="preserve">Feu de position arrière </w:t>
            </w:r>
            <w:r w:rsidRPr="00D47AF3">
              <w:rPr>
                <w:sz w:val="18"/>
                <w:szCs w:val="18"/>
              </w:rPr>
              <w:t>(R, R1, R2)</w:t>
            </w:r>
          </w:p>
        </w:tc>
        <w:tc>
          <w:tcPr>
            <w:tcW w:w="198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Pr>
                <w:sz w:val="18"/>
                <w:szCs w:val="18"/>
              </w:rPr>
              <w:t>45°</w:t>
            </w:r>
            <w:r w:rsidRPr="00D47AF3">
              <w:rPr>
                <w:sz w:val="18"/>
                <w:szCs w:val="18"/>
              </w:rPr>
              <w:t>/45°</w:t>
            </w:r>
          </w:p>
        </w:tc>
        <w:tc>
          <w:tcPr>
            <w:tcW w:w="1843"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vertAlign w:val="superscript"/>
              </w:rPr>
            </w:pPr>
            <w:r>
              <w:rPr>
                <w:sz w:val="18"/>
                <w:szCs w:val="18"/>
              </w:rPr>
              <w:t>15°</w:t>
            </w:r>
            <w:r w:rsidRPr="00D47AF3">
              <w:rPr>
                <w:sz w:val="18"/>
                <w:szCs w:val="18"/>
              </w:rPr>
              <w:t>/10°</w:t>
            </w:r>
            <w:r w:rsidR="00326C09">
              <w:rPr>
                <w:sz w:val="18"/>
                <w:szCs w:val="18"/>
              </w:rPr>
              <w:br/>
            </w:r>
            <w:r>
              <w:rPr>
                <w:sz w:val="18"/>
                <w:szCs w:val="18"/>
              </w:rPr>
              <w:t>15°</w:t>
            </w:r>
            <w:r w:rsidRPr="00D47AF3">
              <w:rPr>
                <w:sz w:val="18"/>
                <w:szCs w:val="18"/>
              </w:rPr>
              <w:t>/5°</w:t>
            </w:r>
            <w:r w:rsidRPr="00D47AF3">
              <w:rPr>
                <w:sz w:val="18"/>
                <w:szCs w:val="18"/>
                <w:vertAlign w:val="superscript"/>
              </w:rPr>
              <w:t>3</w:t>
            </w:r>
          </w:p>
        </w:tc>
        <w:tc>
          <w:tcPr>
            <w:tcW w:w="122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p>
        </w:tc>
      </w:tr>
      <w:tr w:rsidR="00E752D3" w:rsidRPr="00D47AF3" w:rsidTr="00083821">
        <w:tc>
          <w:tcPr>
            <w:tcW w:w="3368" w:type="dxa"/>
            <w:vAlign w:val="center"/>
          </w:tcPr>
          <w:p w:rsidR="00E752D3" w:rsidRPr="00D47AF3" w:rsidRDefault="00E752D3" w:rsidP="00326C09">
            <w:pPr>
              <w:kinsoku/>
              <w:overflowPunct/>
              <w:autoSpaceDE/>
              <w:autoSpaceDN/>
              <w:adjustRightInd/>
              <w:snapToGrid/>
              <w:spacing w:before="60" w:after="60" w:line="220" w:lineRule="exact"/>
              <w:ind w:left="57" w:right="57"/>
              <w:rPr>
                <w:sz w:val="18"/>
                <w:szCs w:val="18"/>
              </w:rPr>
            </w:pPr>
            <w:r w:rsidRPr="00242C04">
              <w:rPr>
                <w:sz w:val="18"/>
                <w:szCs w:val="18"/>
              </w:rPr>
              <w:t xml:space="preserve">Feu de stationnement avant </w:t>
            </w:r>
            <w:r w:rsidRPr="00D47AF3">
              <w:rPr>
                <w:sz w:val="18"/>
                <w:szCs w:val="18"/>
              </w:rPr>
              <w:t>(77R)</w:t>
            </w:r>
            <w:r w:rsidR="00326C09">
              <w:rPr>
                <w:sz w:val="18"/>
                <w:szCs w:val="18"/>
              </w:rPr>
              <w:br/>
            </w:r>
            <w:r w:rsidRPr="00242C04">
              <w:rPr>
                <w:sz w:val="18"/>
                <w:szCs w:val="18"/>
              </w:rPr>
              <w:t xml:space="preserve">Feu de stationnement arrière </w:t>
            </w:r>
            <w:r w:rsidRPr="00D47AF3">
              <w:rPr>
                <w:sz w:val="18"/>
                <w:szCs w:val="18"/>
              </w:rPr>
              <w:t>(77R)</w:t>
            </w:r>
          </w:p>
        </w:tc>
        <w:tc>
          <w:tcPr>
            <w:tcW w:w="198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Pr>
                <w:sz w:val="18"/>
                <w:szCs w:val="18"/>
              </w:rPr>
              <w:t>0°</w:t>
            </w:r>
            <w:r w:rsidRPr="00D47AF3">
              <w:rPr>
                <w:sz w:val="18"/>
                <w:szCs w:val="18"/>
              </w:rPr>
              <w:t>/45°</w:t>
            </w:r>
          </w:p>
        </w:tc>
        <w:tc>
          <w:tcPr>
            <w:tcW w:w="1843"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Pr>
                <w:sz w:val="18"/>
                <w:szCs w:val="18"/>
              </w:rPr>
              <w:t>15°</w:t>
            </w:r>
            <w:r w:rsidRPr="00D47AF3">
              <w:rPr>
                <w:sz w:val="18"/>
                <w:szCs w:val="18"/>
              </w:rPr>
              <w:t>/15°</w:t>
            </w:r>
            <w:r w:rsidR="00326C09">
              <w:rPr>
                <w:sz w:val="18"/>
                <w:szCs w:val="18"/>
              </w:rPr>
              <w:br/>
            </w:r>
            <w:r>
              <w:rPr>
                <w:sz w:val="18"/>
                <w:szCs w:val="18"/>
              </w:rPr>
              <w:t>15°</w:t>
            </w:r>
            <w:r w:rsidRPr="00D47AF3">
              <w:rPr>
                <w:sz w:val="18"/>
                <w:szCs w:val="18"/>
              </w:rPr>
              <w:t>/5°</w:t>
            </w:r>
            <w:r w:rsidRPr="00D47AF3">
              <w:rPr>
                <w:sz w:val="18"/>
                <w:szCs w:val="18"/>
                <w:vertAlign w:val="superscript"/>
              </w:rPr>
              <w:t>3</w:t>
            </w:r>
          </w:p>
        </w:tc>
        <w:tc>
          <w:tcPr>
            <w:tcW w:w="122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sidRPr="00D47AF3">
              <w:rPr>
                <w:sz w:val="18"/>
                <w:szCs w:val="18"/>
              </w:rPr>
              <w:t>-</w:t>
            </w:r>
          </w:p>
        </w:tc>
      </w:tr>
      <w:tr w:rsidR="00E752D3" w:rsidRPr="00D47AF3" w:rsidTr="00083821">
        <w:tc>
          <w:tcPr>
            <w:tcW w:w="3368" w:type="dxa"/>
            <w:vAlign w:val="center"/>
          </w:tcPr>
          <w:p w:rsidR="00E752D3" w:rsidRPr="00D47AF3" w:rsidRDefault="00E752D3" w:rsidP="00326C09">
            <w:pPr>
              <w:kinsoku/>
              <w:overflowPunct/>
              <w:autoSpaceDE/>
              <w:autoSpaceDN/>
              <w:adjustRightInd/>
              <w:snapToGrid/>
              <w:spacing w:before="60" w:after="60" w:line="220" w:lineRule="exact"/>
              <w:ind w:left="57" w:right="57"/>
              <w:rPr>
                <w:sz w:val="18"/>
                <w:szCs w:val="18"/>
              </w:rPr>
            </w:pPr>
            <w:r w:rsidRPr="00242C04">
              <w:rPr>
                <w:sz w:val="18"/>
                <w:szCs w:val="18"/>
              </w:rPr>
              <w:t xml:space="preserve">Feu d’encombrement avant </w:t>
            </w:r>
            <w:r w:rsidRPr="00D47AF3">
              <w:rPr>
                <w:sz w:val="18"/>
                <w:szCs w:val="18"/>
              </w:rPr>
              <w:t>(AM)</w:t>
            </w:r>
            <w:r w:rsidR="00326C09">
              <w:rPr>
                <w:sz w:val="18"/>
                <w:szCs w:val="18"/>
              </w:rPr>
              <w:br/>
            </w:r>
            <w:r w:rsidRPr="00242C04">
              <w:rPr>
                <w:sz w:val="18"/>
                <w:szCs w:val="18"/>
              </w:rPr>
              <w:t xml:space="preserve">Feu d’encombrement </w:t>
            </w:r>
            <w:r>
              <w:rPr>
                <w:sz w:val="18"/>
                <w:szCs w:val="18"/>
              </w:rPr>
              <w:t>arrière</w:t>
            </w:r>
            <w:r w:rsidRPr="00242C04">
              <w:rPr>
                <w:sz w:val="18"/>
                <w:szCs w:val="18"/>
              </w:rPr>
              <w:t xml:space="preserve"> </w:t>
            </w:r>
            <w:r w:rsidRPr="00D47AF3">
              <w:rPr>
                <w:sz w:val="18"/>
                <w:szCs w:val="18"/>
              </w:rPr>
              <w:t>(RM1, RM2)</w:t>
            </w:r>
          </w:p>
        </w:tc>
        <w:tc>
          <w:tcPr>
            <w:tcW w:w="198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Pr>
                <w:sz w:val="18"/>
                <w:szCs w:val="18"/>
              </w:rPr>
              <w:t>0°/</w:t>
            </w:r>
            <w:r w:rsidRPr="00D47AF3">
              <w:rPr>
                <w:sz w:val="18"/>
                <w:szCs w:val="18"/>
              </w:rPr>
              <w:t>80°</w:t>
            </w:r>
          </w:p>
        </w:tc>
        <w:tc>
          <w:tcPr>
            <w:tcW w:w="1843" w:type="dxa"/>
            <w:vAlign w:val="center"/>
          </w:tcPr>
          <w:p w:rsidR="00E752D3" w:rsidRPr="00D47AF3" w:rsidRDefault="00E752D3" w:rsidP="007C0E60">
            <w:pPr>
              <w:kinsoku/>
              <w:overflowPunct/>
              <w:autoSpaceDE/>
              <w:autoSpaceDN/>
              <w:adjustRightInd/>
              <w:snapToGrid/>
              <w:spacing w:before="60" w:after="60" w:line="220" w:lineRule="exact"/>
              <w:ind w:left="57" w:right="57"/>
              <w:jc w:val="center"/>
              <w:rPr>
                <w:sz w:val="18"/>
                <w:szCs w:val="18"/>
              </w:rPr>
            </w:pPr>
            <w:r>
              <w:rPr>
                <w:sz w:val="18"/>
                <w:szCs w:val="18"/>
              </w:rPr>
              <w:t>15°</w:t>
            </w:r>
            <w:r w:rsidRPr="00D47AF3">
              <w:rPr>
                <w:sz w:val="18"/>
                <w:szCs w:val="18"/>
              </w:rPr>
              <w:t>/15°</w:t>
            </w:r>
            <w:r w:rsidR="007C0E60">
              <w:rPr>
                <w:sz w:val="18"/>
                <w:szCs w:val="18"/>
              </w:rPr>
              <w:br/>
            </w:r>
            <w:r>
              <w:rPr>
                <w:sz w:val="18"/>
                <w:szCs w:val="18"/>
              </w:rPr>
              <w:t>15°</w:t>
            </w:r>
            <w:r w:rsidRPr="00D47AF3">
              <w:rPr>
                <w:sz w:val="18"/>
                <w:szCs w:val="18"/>
              </w:rPr>
              <w:t>/5°</w:t>
            </w:r>
            <w:r w:rsidRPr="00D47AF3">
              <w:rPr>
                <w:sz w:val="18"/>
                <w:szCs w:val="18"/>
                <w:vertAlign w:val="superscript"/>
              </w:rPr>
              <w:t>3</w:t>
            </w:r>
            <w:r w:rsidR="007C0E60">
              <w:rPr>
                <w:sz w:val="18"/>
                <w:szCs w:val="18"/>
                <w:vertAlign w:val="superscript"/>
              </w:rPr>
              <w:br/>
            </w:r>
            <w:r>
              <w:rPr>
                <w:sz w:val="18"/>
                <w:szCs w:val="18"/>
              </w:rPr>
              <w:t>5°/</w:t>
            </w:r>
            <w:r w:rsidRPr="00D47AF3">
              <w:rPr>
                <w:sz w:val="18"/>
                <w:szCs w:val="18"/>
              </w:rPr>
              <w:t>15°</w:t>
            </w:r>
            <w:r w:rsidRPr="00D47AF3">
              <w:rPr>
                <w:sz w:val="18"/>
                <w:szCs w:val="18"/>
                <w:vertAlign w:val="superscript"/>
              </w:rPr>
              <w:t>4</w:t>
            </w:r>
          </w:p>
        </w:tc>
        <w:tc>
          <w:tcPr>
            <w:tcW w:w="1225" w:type="dxa"/>
            <w:vAlign w:val="center"/>
          </w:tcPr>
          <w:p w:rsidR="00E752D3" w:rsidRPr="00D47AF3" w:rsidRDefault="00E752D3" w:rsidP="00326C09">
            <w:pPr>
              <w:kinsoku/>
              <w:overflowPunct/>
              <w:autoSpaceDE/>
              <w:autoSpaceDN/>
              <w:adjustRightInd/>
              <w:snapToGrid/>
              <w:spacing w:before="60" w:after="60" w:line="220" w:lineRule="exact"/>
              <w:ind w:left="57" w:right="57"/>
              <w:jc w:val="center"/>
              <w:rPr>
                <w:sz w:val="18"/>
                <w:szCs w:val="18"/>
              </w:rPr>
            </w:pPr>
            <w:r w:rsidRPr="00D47AF3">
              <w:rPr>
                <w:sz w:val="18"/>
                <w:szCs w:val="18"/>
              </w:rPr>
              <w:t>-</w:t>
            </w:r>
          </w:p>
        </w:tc>
      </w:tr>
      <w:tr w:rsidR="00E752D3" w:rsidRPr="00D47AF3" w:rsidTr="00083821">
        <w:tc>
          <w:tcPr>
            <w:tcW w:w="3368" w:type="dxa"/>
            <w:vAlign w:val="center"/>
          </w:tcPr>
          <w:p w:rsidR="00E752D3" w:rsidRPr="00D47AF3" w:rsidRDefault="00E752D3" w:rsidP="007C0E60">
            <w:pPr>
              <w:keepNext/>
              <w:kinsoku/>
              <w:overflowPunct/>
              <w:autoSpaceDE/>
              <w:autoSpaceDN/>
              <w:adjustRightInd/>
              <w:snapToGrid/>
              <w:spacing w:before="60" w:after="60" w:line="220" w:lineRule="exact"/>
              <w:ind w:left="57" w:right="57"/>
              <w:rPr>
                <w:sz w:val="18"/>
                <w:szCs w:val="18"/>
              </w:rPr>
            </w:pPr>
            <w:r w:rsidRPr="005C3687">
              <w:rPr>
                <w:sz w:val="18"/>
                <w:szCs w:val="18"/>
              </w:rPr>
              <w:t xml:space="preserve">Feu de position avant </w:t>
            </w:r>
            <w:r w:rsidRPr="00D47AF3">
              <w:rPr>
                <w:sz w:val="18"/>
                <w:szCs w:val="18"/>
              </w:rPr>
              <w:t>(A)</w:t>
            </w:r>
            <w:r w:rsidR="00326C09">
              <w:rPr>
                <w:sz w:val="18"/>
                <w:szCs w:val="18"/>
              </w:rPr>
              <w:br/>
            </w:r>
            <w:r w:rsidRPr="005C3687">
              <w:rPr>
                <w:sz w:val="18"/>
                <w:szCs w:val="18"/>
              </w:rPr>
              <w:t xml:space="preserve">Feu de position </w:t>
            </w:r>
            <w:r>
              <w:rPr>
                <w:sz w:val="18"/>
                <w:szCs w:val="18"/>
              </w:rPr>
              <w:t xml:space="preserve">arrière </w:t>
            </w:r>
            <w:r w:rsidRPr="00D47AF3">
              <w:rPr>
                <w:sz w:val="18"/>
                <w:szCs w:val="18"/>
              </w:rPr>
              <w:t>(R, R1, R2)</w:t>
            </w:r>
          </w:p>
        </w:tc>
        <w:tc>
          <w:tcPr>
            <w:tcW w:w="1985" w:type="dxa"/>
            <w:vAlign w:val="center"/>
          </w:tcPr>
          <w:p w:rsidR="00E752D3" w:rsidRPr="00D47AF3" w:rsidRDefault="00E752D3" w:rsidP="00076AD5">
            <w:pPr>
              <w:kinsoku/>
              <w:overflowPunct/>
              <w:autoSpaceDE/>
              <w:autoSpaceDN/>
              <w:adjustRightInd/>
              <w:snapToGrid/>
              <w:spacing w:before="60" w:after="60" w:line="220" w:lineRule="exact"/>
              <w:ind w:left="57" w:right="57"/>
              <w:jc w:val="center"/>
              <w:rPr>
                <w:sz w:val="18"/>
                <w:szCs w:val="18"/>
              </w:rPr>
            </w:pPr>
            <w:r w:rsidRPr="00D47AF3">
              <w:rPr>
                <w:sz w:val="18"/>
                <w:szCs w:val="18"/>
              </w:rPr>
              <w:t>45°/80°</w:t>
            </w:r>
            <w:r w:rsidR="00326C09">
              <w:rPr>
                <w:sz w:val="18"/>
                <w:szCs w:val="18"/>
              </w:rPr>
              <w:br/>
            </w:r>
            <w:r>
              <w:rPr>
                <w:sz w:val="18"/>
                <w:szCs w:val="18"/>
              </w:rPr>
              <w:t>20°/</w:t>
            </w:r>
            <w:r w:rsidRPr="00D47AF3">
              <w:rPr>
                <w:sz w:val="18"/>
                <w:szCs w:val="18"/>
              </w:rPr>
              <w:t>80°</w:t>
            </w:r>
            <w:bookmarkStart w:id="7" w:name="_Ref463337457"/>
            <w:r w:rsidR="00CB1105">
              <w:rPr>
                <w:rStyle w:val="FootnoteReference"/>
                <w:szCs w:val="18"/>
              </w:rPr>
              <w:footnoteReference w:id="9"/>
            </w:r>
            <w:bookmarkEnd w:id="7"/>
          </w:p>
        </w:tc>
        <w:tc>
          <w:tcPr>
            <w:tcW w:w="1843" w:type="dxa"/>
            <w:vAlign w:val="center"/>
          </w:tcPr>
          <w:p w:rsidR="00E752D3" w:rsidRPr="00D47AF3" w:rsidRDefault="00E752D3" w:rsidP="00076AD5">
            <w:pPr>
              <w:kinsoku/>
              <w:overflowPunct/>
              <w:autoSpaceDE/>
              <w:autoSpaceDN/>
              <w:adjustRightInd/>
              <w:snapToGrid/>
              <w:spacing w:before="60" w:after="60" w:line="220" w:lineRule="exact"/>
              <w:ind w:left="57" w:right="57"/>
              <w:jc w:val="center"/>
              <w:rPr>
                <w:sz w:val="18"/>
                <w:szCs w:val="18"/>
              </w:rPr>
            </w:pPr>
            <w:r w:rsidRPr="00D47AF3">
              <w:rPr>
                <w:sz w:val="18"/>
                <w:szCs w:val="18"/>
              </w:rPr>
              <w:t>15°/15°</w:t>
            </w:r>
            <w:r w:rsidR="00326C09">
              <w:rPr>
                <w:sz w:val="18"/>
                <w:szCs w:val="18"/>
              </w:rPr>
              <w:br/>
            </w:r>
            <w:r>
              <w:rPr>
                <w:sz w:val="18"/>
                <w:szCs w:val="18"/>
              </w:rPr>
              <w:t>15°</w:t>
            </w:r>
            <w:r w:rsidRPr="00D47AF3">
              <w:rPr>
                <w:sz w:val="18"/>
                <w:szCs w:val="18"/>
              </w:rPr>
              <w:t>/5°</w:t>
            </w:r>
            <w:r w:rsidRPr="00D47AF3">
              <w:rPr>
                <w:sz w:val="18"/>
                <w:szCs w:val="18"/>
                <w:vertAlign w:val="superscript"/>
              </w:rPr>
              <w:t>3</w:t>
            </w:r>
            <w:r w:rsidR="007C0E60">
              <w:rPr>
                <w:sz w:val="18"/>
                <w:szCs w:val="18"/>
                <w:vertAlign w:val="superscript"/>
              </w:rPr>
              <w:br/>
            </w:r>
            <w:r>
              <w:rPr>
                <w:sz w:val="18"/>
                <w:szCs w:val="18"/>
              </w:rPr>
              <w:t>5°/</w:t>
            </w:r>
            <w:r w:rsidRPr="00D47AF3">
              <w:rPr>
                <w:sz w:val="18"/>
                <w:szCs w:val="18"/>
              </w:rPr>
              <w:t>15°</w:t>
            </w:r>
            <w:r w:rsidRPr="00D47AF3">
              <w:rPr>
                <w:sz w:val="18"/>
                <w:szCs w:val="18"/>
                <w:vertAlign w:val="superscript"/>
              </w:rPr>
              <w:t>4</w:t>
            </w:r>
          </w:p>
        </w:tc>
        <w:tc>
          <w:tcPr>
            <w:tcW w:w="1225" w:type="dxa"/>
            <w:vAlign w:val="center"/>
          </w:tcPr>
          <w:p w:rsidR="00E752D3" w:rsidRPr="00D47AF3" w:rsidRDefault="00E752D3" w:rsidP="007C0E60">
            <w:pPr>
              <w:keepNext/>
              <w:kinsoku/>
              <w:overflowPunct/>
              <w:autoSpaceDE/>
              <w:autoSpaceDN/>
              <w:adjustRightInd/>
              <w:snapToGrid/>
              <w:spacing w:before="60" w:after="60" w:line="220" w:lineRule="exact"/>
              <w:ind w:left="57" w:right="57"/>
              <w:jc w:val="center"/>
              <w:rPr>
                <w:sz w:val="18"/>
                <w:szCs w:val="18"/>
              </w:rPr>
            </w:pPr>
            <w:r w:rsidRPr="00D47AF3">
              <w:rPr>
                <w:sz w:val="18"/>
                <w:szCs w:val="18"/>
              </w:rPr>
              <w:t>-</w:t>
            </w:r>
          </w:p>
        </w:tc>
      </w:tr>
      <w:tr w:rsidR="00E752D3" w:rsidRPr="00D47AF3" w:rsidTr="00076AD5">
        <w:tc>
          <w:tcPr>
            <w:tcW w:w="3368" w:type="dxa"/>
            <w:vAlign w:val="center"/>
          </w:tcPr>
          <w:p w:rsidR="00E752D3" w:rsidRPr="00D47AF3" w:rsidRDefault="00E752D3" w:rsidP="00326C09">
            <w:pPr>
              <w:kinsoku/>
              <w:overflowPunct/>
              <w:autoSpaceDE/>
              <w:autoSpaceDN/>
              <w:adjustRightInd/>
              <w:snapToGrid/>
              <w:spacing w:before="60" w:after="60" w:line="220" w:lineRule="exact"/>
              <w:ind w:left="57" w:right="57"/>
              <w:rPr>
                <w:sz w:val="18"/>
                <w:szCs w:val="18"/>
              </w:rPr>
            </w:pPr>
            <w:r w:rsidRPr="00D03EB6">
              <w:rPr>
                <w:sz w:val="18"/>
                <w:szCs w:val="18"/>
              </w:rPr>
              <w:t xml:space="preserve">Feu-stop </w:t>
            </w:r>
            <w:r w:rsidRPr="00D47AF3">
              <w:rPr>
                <w:sz w:val="18"/>
                <w:szCs w:val="18"/>
              </w:rPr>
              <w:t>(S1, S2)</w:t>
            </w:r>
          </w:p>
        </w:tc>
        <w:tc>
          <w:tcPr>
            <w:tcW w:w="1985" w:type="dxa"/>
            <w:vAlign w:val="center"/>
          </w:tcPr>
          <w:p w:rsidR="00E752D3" w:rsidRPr="00D47AF3" w:rsidRDefault="00E752D3" w:rsidP="00076AD5">
            <w:pPr>
              <w:kinsoku/>
              <w:overflowPunct/>
              <w:autoSpaceDE/>
              <w:autoSpaceDN/>
              <w:adjustRightInd/>
              <w:snapToGrid/>
              <w:spacing w:before="60" w:after="60" w:line="220" w:lineRule="exact"/>
              <w:ind w:left="57" w:right="57"/>
              <w:jc w:val="center"/>
              <w:rPr>
                <w:sz w:val="18"/>
                <w:szCs w:val="18"/>
              </w:rPr>
            </w:pPr>
            <w:r>
              <w:rPr>
                <w:sz w:val="18"/>
                <w:szCs w:val="18"/>
              </w:rPr>
              <w:t>45°</w:t>
            </w:r>
            <w:r w:rsidRPr="00D47AF3">
              <w:rPr>
                <w:sz w:val="18"/>
                <w:szCs w:val="18"/>
              </w:rPr>
              <w:t>/45°</w:t>
            </w:r>
            <w:r w:rsidR="007C0E60">
              <w:rPr>
                <w:sz w:val="18"/>
                <w:szCs w:val="18"/>
              </w:rPr>
              <w:br/>
            </w:r>
            <w:r>
              <w:rPr>
                <w:sz w:val="18"/>
                <w:szCs w:val="18"/>
              </w:rPr>
              <w:t>20°</w:t>
            </w:r>
            <w:r w:rsidRPr="00D47AF3">
              <w:rPr>
                <w:sz w:val="18"/>
                <w:szCs w:val="18"/>
              </w:rPr>
              <w:t>/45°</w:t>
            </w:r>
            <w:r w:rsidRPr="00D47AF3">
              <w:rPr>
                <w:sz w:val="18"/>
                <w:szCs w:val="18"/>
                <w:vertAlign w:val="superscript"/>
              </w:rPr>
              <w:t>5</w:t>
            </w:r>
          </w:p>
        </w:tc>
        <w:tc>
          <w:tcPr>
            <w:tcW w:w="1843" w:type="dxa"/>
            <w:vAlign w:val="center"/>
          </w:tcPr>
          <w:p w:rsidR="00E752D3" w:rsidRPr="00D47AF3" w:rsidRDefault="00E752D3" w:rsidP="00076AD5">
            <w:pPr>
              <w:kinsoku/>
              <w:overflowPunct/>
              <w:autoSpaceDE/>
              <w:autoSpaceDN/>
              <w:adjustRightInd/>
              <w:snapToGrid/>
              <w:spacing w:before="60" w:after="60" w:line="220" w:lineRule="exact"/>
              <w:ind w:left="57" w:right="57"/>
              <w:jc w:val="center"/>
              <w:rPr>
                <w:sz w:val="18"/>
                <w:szCs w:val="18"/>
              </w:rPr>
            </w:pPr>
            <w:r w:rsidRPr="00D47AF3">
              <w:rPr>
                <w:sz w:val="18"/>
                <w:szCs w:val="18"/>
              </w:rPr>
              <w:t>15°/15°</w:t>
            </w:r>
            <w:r w:rsidR="007C0E60">
              <w:rPr>
                <w:sz w:val="18"/>
                <w:szCs w:val="18"/>
              </w:rPr>
              <w:br/>
            </w:r>
            <w:r>
              <w:rPr>
                <w:sz w:val="18"/>
                <w:szCs w:val="18"/>
              </w:rPr>
              <w:t>15°</w:t>
            </w:r>
            <w:r w:rsidRPr="00D47AF3">
              <w:rPr>
                <w:sz w:val="18"/>
                <w:szCs w:val="18"/>
              </w:rPr>
              <w:t>/5°</w:t>
            </w:r>
            <w:r w:rsidRPr="00D47AF3">
              <w:rPr>
                <w:sz w:val="18"/>
                <w:szCs w:val="18"/>
                <w:vertAlign w:val="superscript"/>
              </w:rPr>
              <w:t>3</w:t>
            </w:r>
            <w:r w:rsidR="007C0E60">
              <w:rPr>
                <w:sz w:val="18"/>
                <w:szCs w:val="18"/>
                <w:vertAlign w:val="superscript"/>
              </w:rPr>
              <w:br/>
            </w:r>
            <w:r>
              <w:rPr>
                <w:sz w:val="18"/>
                <w:szCs w:val="18"/>
              </w:rPr>
              <w:t>5°/</w:t>
            </w:r>
            <w:r w:rsidRPr="00D47AF3">
              <w:rPr>
                <w:sz w:val="18"/>
                <w:szCs w:val="18"/>
              </w:rPr>
              <w:t>15°</w:t>
            </w:r>
            <w:r w:rsidRPr="00D47AF3">
              <w:rPr>
                <w:sz w:val="18"/>
                <w:szCs w:val="18"/>
                <w:vertAlign w:val="superscript"/>
              </w:rPr>
              <w:t>4</w:t>
            </w:r>
          </w:p>
        </w:tc>
        <w:tc>
          <w:tcPr>
            <w:tcW w:w="1225" w:type="dxa"/>
            <w:vAlign w:val="center"/>
          </w:tcPr>
          <w:p w:rsidR="00E752D3" w:rsidRPr="00D47AF3" w:rsidRDefault="00E752D3" w:rsidP="009C68E0">
            <w:pPr>
              <w:kinsoku/>
              <w:overflowPunct/>
              <w:autoSpaceDE/>
              <w:autoSpaceDN/>
              <w:adjustRightInd/>
              <w:snapToGrid/>
              <w:ind w:left="147"/>
              <w:jc w:val="center"/>
              <w:rPr>
                <w:sz w:val="18"/>
                <w:szCs w:val="18"/>
              </w:rPr>
            </w:pPr>
          </w:p>
        </w:tc>
      </w:tr>
      <w:tr w:rsidR="00E752D3" w:rsidRPr="00D47AF3" w:rsidTr="00083821">
        <w:tc>
          <w:tcPr>
            <w:tcW w:w="3368" w:type="dxa"/>
            <w:vAlign w:val="center"/>
          </w:tcPr>
          <w:p w:rsidR="00E752D3" w:rsidRPr="00D47AF3" w:rsidRDefault="00E752D3" w:rsidP="00326C09">
            <w:pPr>
              <w:kinsoku/>
              <w:overflowPunct/>
              <w:autoSpaceDE/>
              <w:autoSpaceDN/>
              <w:adjustRightInd/>
              <w:snapToGrid/>
              <w:spacing w:before="60" w:after="60" w:line="220" w:lineRule="exact"/>
              <w:ind w:left="57" w:right="57"/>
              <w:rPr>
                <w:sz w:val="18"/>
                <w:szCs w:val="18"/>
              </w:rPr>
            </w:pPr>
            <w:r w:rsidRPr="00D03EB6">
              <w:rPr>
                <w:sz w:val="18"/>
                <w:szCs w:val="18"/>
              </w:rPr>
              <w:t xml:space="preserve">Feu-stop placé en hauteur </w:t>
            </w:r>
            <w:r w:rsidRPr="00D47AF3">
              <w:rPr>
                <w:sz w:val="18"/>
                <w:szCs w:val="18"/>
              </w:rPr>
              <w:t>(S3, S4)</w:t>
            </w:r>
          </w:p>
        </w:tc>
        <w:tc>
          <w:tcPr>
            <w:tcW w:w="1985" w:type="dxa"/>
            <w:vAlign w:val="center"/>
          </w:tcPr>
          <w:p w:rsidR="00E752D3" w:rsidRPr="00D47AF3" w:rsidRDefault="00E752D3" w:rsidP="00076AD5">
            <w:pPr>
              <w:kinsoku/>
              <w:overflowPunct/>
              <w:autoSpaceDE/>
              <w:autoSpaceDN/>
              <w:adjustRightInd/>
              <w:snapToGrid/>
              <w:spacing w:before="60" w:after="60" w:line="220" w:lineRule="exact"/>
              <w:ind w:left="57" w:right="57"/>
              <w:jc w:val="center"/>
              <w:rPr>
                <w:sz w:val="18"/>
                <w:szCs w:val="18"/>
              </w:rPr>
            </w:pPr>
            <w:r>
              <w:rPr>
                <w:sz w:val="18"/>
                <w:szCs w:val="18"/>
              </w:rPr>
              <w:t>10°</w:t>
            </w:r>
            <w:r w:rsidRPr="00D47AF3">
              <w:rPr>
                <w:sz w:val="18"/>
                <w:szCs w:val="18"/>
              </w:rPr>
              <w:t>/10°</w:t>
            </w:r>
          </w:p>
        </w:tc>
        <w:tc>
          <w:tcPr>
            <w:tcW w:w="1843" w:type="dxa"/>
            <w:vAlign w:val="center"/>
          </w:tcPr>
          <w:p w:rsidR="00E752D3" w:rsidRPr="00D47AF3" w:rsidRDefault="00E752D3" w:rsidP="00076AD5">
            <w:pPr>
              <w:kinsoku/>
              <w:overflowPunct/>
              <w:autoSpaceDE/>
              <w:autoSpaceDN/>
              <w:adjustRightInd/>
              <w:snapToGrid/>
              <w:spacing w:before="60" w:after="60" w:line="220" w:lineRule="exact"/>
              <w:ind w:left="57" w:right="57"/>
              <w:jc w:val="center"/>
              <w:rPr>
                <w:sz w:val="18"/>
                <w:szCs w:val="18"/>
              </w:rPr>
            </w:pPr>
            <w:r w:rsidRPr="00D47AF3">
              <w:rPr>
                <w:sz w:val="18"/>
                <w:szCs w:val="18"/>
              </w:rPr>
              <w:t>10°/5°</w:t>
            </w:r>
          </w:p>
        </w:tc>
        <w:tc>
          <w:tcPr>
            <w:tcW w:w="1225" w:type="dxa"/>
            <w:vAlign w:val="center"/>
          </w:tcPr>
          <w:p w:rsidR="00E752D3" w:rsidRPr="00D47AF3" w:rsidRDefault="00E752D3" w:rsidP="009C68E0">
            <w:pPr>
              <w:kinsoku/>
              <w:overflowPunct/>
              <w:autoSpaceDE/>
              <w:autoSpaceDN/>
              <w:adjustRightInd/>
              <w:snapToGrid/>
              <w:rPr>
                <w:sz w:val="18"/>
                <w:szCs w:val="18"/>
              </w:rPr>
            </w:pPr>
            <w:r w:rsidRPr="00D47AF3">
              <w:rPr>
                <w:sz w:val="18"/>
                <w:szCs w:val="18"/>
              </w:rPr>
              <w:t>-</w:t>
            </w:r>
          </w:p>
        </w:tc>
      </w:tr>
      <w:tr w:rsidR="00E752D3" w:rsidRPr="00D47AF3" w:rsidTr="00083821">
        <w:tc>
          <w:tcPr>
            <w:tcW w:w="3368" w:type="dxa"/>
            <w:tcBorders>
              <w:bottom w:val="single" w:sz="12" w:space="0" w:color="auto"/>
            </w:tcBorders>
            <w:vAlign w:val="center"/>
          </w:tcPr>
          <w:p w:rsidR="00E752D3" w:rsidRPr="00D47AF3" w:rsidRDefault="00E752D3" w:rsidP="00326C09">
            <w:pPr>
              <w:kinsoku/>
              <w:overflowPunct/>
              <w:autoSpaceDE/>
              <w:autoSpaceDN/>
              <w:adjustRightInd/>
              <w:snapToGrid/>
              <w:spacing w:before="60" w:after="60" w:line="220" w:lineRule="exact"/>
              <w:ind w:left="57" w:right="57"/>
              <w:rPr>
                <w:sz w:val="18"/>
                <w:szCs w:val="18"/>
              </w:rPr>
            </w:pPr>
            <w:r>
              <w:rPr>
                <w:sz w:val="18"/>
                <w:szCs w:val="18"/>
              </w:rPr>
              <w:t>Feux de circulation diurne</w:t>
            </w:r>
            <w:r w:rsidRPr="00D47AF3">
              <w:rPr>
                <w:sz w:val="18"/>
                <w:szCs w:val="18"/>
              </w:rPr>
              <w:t xml:space="preserve"> (RL,</w:t>
            </w:r>
            <w:r w:rsidRPr="00D47AF3">
              <w:rPr>
                <w:b/>
                <w:sz w:val="18"/>
                <w:szCs w:val="18"/>
              </w:rPr>
              <w:t xml:space="preserve"> MRL</w:t>
            </w:r>
            <w:r w:rsidRPr="00D47AF3">
              <w:rPr>
                <w:sz w:val="18"/>
                <w:szCs w:val="18"/>
              </w:rPr>
              <w:t>)</w:t>
            </w:r>
          </w:p>
        </w:tc>
        <w:tc>
          <w:tcPr>
            <w:tcW w:w="1985" w:type="dxa"/>
            <w:tcBorders>
              <w:bottom w:val="single" w:sz="12" w:space="0" w:color="auto"/>
            </w:tcBorders>
            <w:vAlign w:val="center"/>
          </w:tcPr>
          <w:p w:rsidR="00E752D3" w:rsidRPr="00D47AF3" w:rsidRDefault="00E752D3" w:rsidP="00076AD5">
            <w:pPr>
              <w:kinsoku/>
              <w:overflowPunct/>
              <w:autoSpaceDE/>
              <w:autoSpaceDN/>
              <w:adjustRightInd/>
              <w:snapToGrid/>
              <w:spacing w:before="60" w:after="60" w:line="220" w:lineRule="exact"/>
              <w:ind w:left="57" w:right="57"/>
              <w:jc w:val="center"/>
              <w:rPr>
                <w:sz w:val="18"/>
                <w:szCs w:val="18"/>
              </w:rPr>
            </w:pPr>
            <w:r>
              <w:rPr>
                <w:sz w:val="18"/>
                <w:szCs w:val="18"/>
              </w:rPr>
              <w:t>20°/</w:t>
            </w:r>
            <w:r w:rsidRPr="00D47AF3">
              <w:rPr>
                <w:sz w:val="18"/>
                <w:szCs w:val="18"/>
              </w:rPr>
              <w:t>20°</w:t>
            </w:r>
          </w:p>
        </w:tc>
        <w:tc>
          <w:tcPr>
            <w:tcW w:w="1843" w:type="dxa"/>
            <w:tcBorders>
              <w:bottom w:val="single" w:sz="12" w:space="0" w:color="auto"/>
            </w:tcBorders>
            <w:vAlign w:val="center"/>
          </w:tcPr>
          <w:p w:rsidR="00E752D3" w:rsidRPr="00D47AF3" w:rsidRDefault="00E752D3" w:rsidP="00076AD5">
            <w:pPr>
              <w:kinsoku/>
              <w:overflowPunct/>
              <w:autoSpaceDE/>
              <w:autoSpaceDN/>
              <w:adjustRightInd/>
              <w:snapToGrid/>
              <w:spacing w:before="60" w:after="60" w:line="220" w:lineRule="exact"/>
              <w:ind w:left="57" w:right="57"/>
              <w:jc w:val="center"/>
              <w:rPr>
                <w:sz w:val="18"/>
                <w:szCs w:val="18"/>
              </w:rPr>
            </w:pPr>
            <w:r>
              <w:rPr>
                <w:sz w:val="18"/>
                <w:szCs w:val="18"/>
              </w:rPr>
              <w:t>10°</w:t>
            </w:r>
            <w:r w:rsidRPr="00D47AF3">
              <w:rPr>
                <w:sz w:val="18"/>
                <w:szCs w:val="18"/>
              </w:rPr>
              <w:t>/5°</w:t>
            </w:r>
          </w:p>
        </w:tc>
        <w:tc>
          <w:tcPr>
            <w:tcW w:w="1225" w:type="dxa"/>
            <w:tcBorders>
              <w:bottom w:val="single" w:sz="12" w:space="0" w:color="auto"/>
            </w:tcBorders>
            <w:vAlign w:val="center"/>
          </w:tcPr>
          <w:p w:rsidR="00E752D3" w:rsidRPr="00D47AF3" w:rsidRDefault="00E752D3" w:rsidP="009C68E0">
            <w:pPr>
              <w:kinsoku/>
              <w:overflowPunct/>
              <w:autoSpaceDE/>
              <w:autoSpaceDN/>
              <w:adjustRightInd/>
              <w:snapToGrid/>
              <w:rPr>
                <w:sz w:val="18"/>
                <w:szCs w:val="18"/>
              </w:rPr>
            </w:pPr>
          </w:p>
        </w:tc>
      </w:tr>
    </w:tbl>
    <w:p w:rsidR="00E752D3" w:rsidRPr="00D47AF3" w:rsidRDefault="00E752D3" w:rsidP="007C0E60">
      <w:pPr>
        <w:kinsoku/>
        <w:overflowPunct/>
        <w:autoSpaceDE/>
        <w:autoSpaceDN/>
        <w:adjustRightInd/>
        <w:snapToGrid/>
        <w:spacing w:after="120"/>
        <w:ind w:left="2268" w:right="1134" w:hanging="1134"/>
        <w:jc w:val="right"/>
        <w:rPr>
          <w:rFonts w:eastAsia="Times New Roman"/>
          <w:b/>
          <w:lang w:eastAsia="ja-JP"/>
        </w:rPr>
      </w:pPr>
      <w:r>
        <w:rPr>
          <w:rFonts w:eastAsia="Times New Roman"/>
          <w:bCs/>
        </w:rPr>
        <w:t>».</w:t>
      </w:r>
    </w:p>
    <w:bookmarkEnd w:id="5"/>
    <w:p w:rsidR="00E752D3" w:rsidRPr="00D47AF3" w:rsidRDefault="00E752D3" w:rsidP="007C0E60">
      <w:pPr>
        <w:pStyle w:val="HChG"/>
      </w:pPr>
      <w:r w:rsidRPr="00D47AF3">
        <w:tab/>
        <w:t>II.</w:t>
      </w:r>
      <w:r w:rsidRPr="00D47AF3">
        <w:tab/>
        <w:t>Justification</w:t>
      </w:r>
    </w:p>
    <w:p w:rsidR="00E752D3" w:rsidRPr="00D47AF3" w:rsidRDefault="00E752D3" w:rsidP="00E84C1E">
      <w:pPr>
        <w:pStyle w:val="SingleTxtG"/>
      </w:pPr>
      <w:r w:rsidRPr="00D47AF3">
        <w:t>1.</w:t>
      </w:r>
      <w:r w:rsidRPr="00D47AF3">
        <w:tab/>
      </w:r>
      <w:r>
        <w:t>À sa réunion téléphonique spéciale du 17 mai</w:t>
      </w:r>
      <w:r w:rsidR="00E84C1E">
        <w:t xml:space="preserve"> </w:t>
      </w:r>
      <w:r>
        <w:t>2017, l</w:t>
      </w:r>
      <w:r w:rsidRPr="00D47AF3">
        <w:t xml:space="preserve">e </w:t>
      </w:r>
      <w:r w:rsidRPr="007F4871">
        <w:t xml:space="preserve">Groupe d’intérêt spécial des feux de circulation diurne des véhicules de la catégorie L </w:t>
      </w:r>
      <w:r>
        <w:t xml:space="preserve">est convenu qu’il était nécessaire d’introduire des prescriptions prévoyant une </w:t>
      </w:r>
      <w:r w:rsidRPr="003F12CB">
        <w:t>commande permettant de faire basculer le mode d’éclairage pour passer automatiquement des feux de circulation diurne aux projecteurs</w:t>
      </w:r>
      <w:r w:rsidRPr="00487951">
        <w:t xml:space="preserve"> </w:t>
      </w:r>
      <w:r>
        <w:t>lorsque l’intensité</w:t>
      </w:r>
      <w:r w:rsidRPr="00D47AF3">
        <w:t xml:space="preserve"> </w:t>
      </w:r>
      <w:r>
        <w:t>lumineuse maximale est supérieure à 700 cd.</w:t>
      </w:r>
    </w:p>
    <w:p w:rsidR="00E752D3" w:rsidRPr="00E84C1E" w:rsidRDefault="00E752D3" w:rsidP="00E84C1E">
      <w:pPr>
        <w:pStyle w:val="SingleTxtG"/>
        <w:rPr>
          <w:i/>
        </w:rPr>
      </w:pPr>
      <w:r w:rsidRPr="00E84C1E">
        <w:rPr>
          <w:i/>
        </w:rPr>
        <w:t>Partie A</w:t>
      </w:r>
    </w:p>
    <w:p w:rsidR="00E752D3" w:rsidRPr="00D47AF3" w:rsidRDefault="00E752D3" w:rsidP="00E84C1E">
      <w:pPr>
        <w:pStyle w:val="SingleTxtG"/>
      </w:pPr>
      <w:r>
        <w:t>2.</w:t>
      </w:r>
      <w:r>
        <w:tab/>
        <w:t>L</w:t>
      </w:r>
      <w:r w:rsidRPr="00D47AF3">
        <w:t>e text</w:t>
      </w:r>
      <w:r>
        <w:t>e</w:t>
      </w:r>
      <w:r w:rsidRPr="00D47AF3">
        <w:t xml:space="preserve"> </w:t>
      </w:r>
      <w:r>
        <w:t>est fondé sur le</w:t>
      </w:r>
      <w:r w:rsidRPr="00D47AF3">
        <w:t xml:space="preserve"> document ECE/TRANS/WP.29/GRE/2016/35</w:t>
      </w:r>
      <w:r>
        <w:t xml:space="preserve">, présenté par le Japon et distribué à la soixante-seizième </w:t>
      </w:r>
      <w:r w:rsidRPr="00D47AF3">
        <w:t xml:space="preserve">session </w:t>
      </w:r>
      <w:r>
        <w:t xml:space="preserve">du </w:t>
      </w:r>
      <w:r w:rsidRPr="00D47AF3">
        <w:t xml:space="preserve">GRE, </w:t>
      </w:r>
      <w:r>
        <w:t>avec les modifications suivantes :</w:t>
      </w:r>
    </w:p>
    <w:p w:rsidR="00E752D3" w:rsidRPr="00D47AF3" w:rsidRDefault="00E752D3" w:rsidP="00E84C1E">
      <w:pPr>
        <w:pStyle w:val="SingleTxtG"/>
        <w:ind w:firstLine="567"/>
      </w:pPr>
      <w:r w:rsidRPr="00D47AF3">
        <w:t>a)</w:t>
      </w:r>
      <w:r w:rsidRPr="00D47AF3">
        <w:tab/>
        <w:t xml:space="preserve">Introduction </w:t>
      </w:r>
      <w:r>
        <w:t xml:space="preserve">de prescriptions prévoyant une </w:t>
      </w:r>
      <w:r w:rsidRPr="003F12CB">
        <w:t>commande permettant de faire basculer le mode d’éclairage pour passer automatiquement des feux de circulation diurne aux projecteurs</w:t>
      </w:r>
      <w:r w:rsidRPr="00487951">
        <w:t xml:space="preserve"> </w:t>
      </w:r>
      <w:r>
        <w:t>lorsque l’intensité lumineuse maximale est supérieure à 700 </w:t>
      </w:r>
      <w:r w:rsidRPr="00D47AF3">
        <w:t xml:space="preserve">cd. </w:t>
      </w:r>
      <w:r>
        <w:t>En corrélation avec cette nouvelle prescription</w:t>
      </w:r>
      <w:r w:rsidRPr="00D47AF3">
        <w:t xml:space="preserve">, </w:t>
      </w:r>
      <w:r>
        <w:t xml:space="preserve">la nouvelle catégorie de feux de circulation diurne MRL, qui produisent une intensité lumineuse maximale inférieure à </w:t>
      </w:r>
      <w:r w:rsidRPr="00D47AF3">
        <w:t>700</w:t>
      </w:r>
      <w:r>
        <w:t> </w:t>
      </w:r>
      <w:r w:rsidRPr="00D47AF3">
        <w:t>cd</w:t>
      </w:r>
      <w:r>
        <w:t>, est introduite dans le Règlement concernant les dispositifs de signalisation lumineuse </w:t>
      </w:r>
      <w:r w:rsidRPr="00D47AF3">
        <w:t>;</w:t>
      </w:r>
    </w:p>
    <w:p w:rsidR="00E752D3" w:rsidRPr="00D47AF3" w:rsidRDefault="00E752D3" w:rsidP="00E84C1E">
      <w:pPr>
        <w:pStyle w:val="SingleTxtG"/>
        <w:ind w:firstLine="567"/>
      </w:pPr>
      <w:r w:rsidRPr="00D47AF3">
        <w:t>b)</w:t>
      </w:r>
      <w:r w:rsidRPr="00D47AF3">
        <w:tab/>
        <w:t xml:space="preserve">Introduction </w:t>
      </w:r>
      <w:r>
        <w:t>de dispositions transitoires</w:t>
      </w:r>
      <w:r w:rsidRPr="00D47AF3">
        <w:t xml:space="preserve">, </w:t>
      </w:r>
      <w:r>
        <w:t>conformément aux propositions déjà avancées par le Japon dans le document</w:t>
      </w:r>
      <w:r w:rsidRPr="00D47AF3">
        <w:t xml:space="preserve"> ECE/TRANS/WP.29/GRE/2016/35 </w:t>
      </w:r>
      <w:r>
        <w:t>et validées à la réunion spéciale du</w:t>
      </w:r>
      <w:r w:rsidRPr="00D47AF3">
        <w:t xml:space="preserve"> 17</w:t>
      </w:r>
      <w:r w:rsidR="00E84C1E">
        <w:t> </w:t>
      </w:r>
      <w:r>
        <w:t>mai</w:t>
      </w:r>
      <w:r w:rsidR="00E84C1E">
        <w:t xml:space="preserve"> </w:t>
      </w:r>
      <w:r w:rsidRPr="00D47AF3">
        <w:t>2017</w:t>
      </w:r>
      <w:r>
        <w:t> </w:t>
      </w:r>
      <w:r w:rsidRPr="00D47AF3">
        <w:t xml:space="preserve">; </w:t>
      </w:r>
      <w:r>
        <w:t xml:space="preserve">voir les </w:t>
      </w:r>
      <w:r w:rsidRPr="00D47AF3">
        <w:t>par</w:t>
      </w:r>
      <w:r w:rsidR="00076AD5">
        <w:t xml:space="preserve">agraphes </w:t>
      </w:r>
      <w:r w:rsidRPr="00D47AF3">
        <w:t>11.7</w:t>
      </w:r>
      <w:r>
        <w:t xml:space="preserve"> à 11.11 </w:t>
      </w:r>
      <w:r w:rsidRPr="00D47AF3">
        <w:t>;</w:t>
      </w:r>
    </w:p>
    <w:p w:rsidR="00E752D3" w:rsidRPr="00D47AF3" w:rsidRDefault="00E752D3" w:rsidP="00E84C1E">
      <w:pPr>
        <w:pStyle w:val="SingleTxtG"/>
        <w:ind w:firstLine="567"/>
      </w:pPr>
      <w:r w:rsidRPr="00D47AF3">
        <w:t>c)</w:t>
      </w:r>
      <w:r w:rsidRPr="00D47AF3">
        <w:tab/>
        <w:t xml:space="preserve">Clarification </w:t>
      </w:r>
      <w:r>
        <w:t>des prescriptions relatives à la luminosité ambiante</w:t>
      </w:r>
      <w:r w:rsidRPr="00D47AF3">
        <w:t xml:space="preserve">, </w:t>
      </w:r>
      <w:r>
        <w:t xml:space="preserve">en reformulant la proposition initiale </w:t>
      </w:r>
      <w:r w:rsidRPr="007845A9">
        <w:t xml:space="preserve">avancée par le Japon dans le document </w:t>
      </w:r>
      <w:r>
        <w:t>ECE/TRANS/WP.29/GRE/2016/35</w:t>
      </w:r>
      <w:r w:rsidRPr="00D47AF3">
        <w:t xml:space="preserve"> </w:t>
      </w:r>
      <w:r>
        <w:t>(par</w:t>
      </w:r>
      <w:r w:rsidRPr="00D47AF3">
        <w:t>.</w:t>
      </w:r>
      <w:r>
        <w:t> 5.11.1)</w:t>
      </w:r>
      <w:r w:rsidRPr="00D47AF3">
        <w:t xml:space="preserve"> </w:t>
      </w:r>
      <w:r>
        <w:t>tout en en conservant la teneur</w:t>
      </w:r>
      <w:r w:rsidRPr="00D47AF3">
        <w:t xml:space="preserve">. </w:t>
      </w:r>
      <w:r>
        <w:t>À titre de référence</w:t>
      </w:r>
      <w:r w:rsidRPr="00D47AF3">
        <w:t xml:space="preserve">, </w:t>
      </w:r>
      <w:r>
        <w:t>cette proposition était libellée comme suit :</w:t>
      </w:r>
    </w:p>
    <w:p w:rsidR="00E752D3" w:rsidRPr="00D47AF3" w:rsidRDefault="00E752D3" w:rsidP="00E84C1E">
      <w:pPr>
        <w:pStyle w:val="SingleTxtG"/>
        <w:ind w:left="2268" w:hanging="1134"/>
      </w:pPr>
      <w:r>
        <w:t>« 5.11.1</w:t>
      </w:r>
      <w:r w:rsidRPr="00D47AF3">
        <w:tab/>
      </w:r>
      <w:r w:rsidRPr="00000F1C">
        <w:t>Le feu de croisement doit s’allumer aut</w:t>
      </w:r>
      <w:r>
        <w:t>omatiquement dans un délai de 2 </w:t>
      </w:r>
      <w:r w:rsidRPr="00000F1C">
        <w:t xml:space="preserve">secondes lorsque la luminosité ambiante tombe en dessous de </w:t>
      </w:r>
      <w:r>
        <w:t>1 000 </w:t>
      </w:r>
      <w:r w:rsidRPr="00000F1C">
        <w:t>lux (par exemple la nuit, dans les tunnels, etc.), puis doit rester allumé jusqu’à ce que la luminosité a</w:t>
      </w:r>
      <w:r>
        <w:t>mbiante atteigne au moins 1 000 </w:t>
      </w:r>
      <w:r w:rsidRPr="00000F1C">
        <w:t>lux</w:t>
      </w:r>
      <w:r>
        <w:t>. ».</w:t>
      </w:r>
    </w:p>
    <w:p w:rsidR="00E752D3" w:rsidRPr="00D47AF3" w:rsidRDefault="00E752D3" w:rsidP="00E84C1E">
      <w:pPr>
        <w:pStyle w:val="SingleTxtG"/>
        <w:ind w:firstLine="567"/>
      </w:pPr>
      <w:r w:rsidRPr="00D47AF3">
        <w:t>d)</w:t>
      </w:r>
      <w:r w:rsidRPr="00D47AF3">
        <w:tab/>
      </w:r>
      <w:r>
        <w:t>On suppose que, lorsque deux feux de circulation diurne de catégorie</w:t>
      </w:r>
      <w:r w:rsidRPr="00D47AF3">
        <w:t xml:space="preserve"> MRL</w:t>
      </w:r>
      <w:r>
        <w:t xml:space="preserve"> sont montés</w:t>
      </w:r>
      <w:r w:rsidRPr="00D47AF3">
        <w:t xml:space="preserve">, </w:t>
      </w:r>
      <w:r>
        <w:t>la</w:t>
      </w:r>
      <w:r w:rsidRPr="00D47AF3">
        <w:t xml:space="preserve"> condition </w:t>
      </w:r>
      <w:r>
        <w:t>relative à l’intensité lumineuse maximale de 700 </w:t>
      </w:r>
      <w:r w:rsidRPr="00D47AF3">
        <w:t xml:space="preserve">cd </w:t>
      </w:r>
      <w:r>
        <w:t>s’applique à chacun d’entre eux</w:t>
      </w:r>
      <w:r w:rsidRPr="00D47AF3">
        <w:t xml:space="preserve">. </w:t>
      </w:r>
      <w:r>
        <w:t xml:space="preserve">Selon le Règlement </w:t>
      </w:r>
      <w:r w:rsidRPr="00261A85">
        <w:t>n</w:t>
      </w:r>
      <w:r w:rsidRPr="00261A85">
        <w:rPr>
          <w:vertAlign w:val="superscript"/>
        </w:rPr>
        <w:t>o</w:t>
      </w:r>
      <w:r>
        <w:t> </w:t>
      </w:r>
      <w:r w:rsidRPr="00D47AF3">
        <w:t xml:space="preserve">53, </w:t>
      </w:r>
      <w:r>
        <w:t>l’installation de deux projecteurs est admise</w:t>
      </w:r>
      <w:r w:rsidRPr="00746F86">
        <w:t xml:space="preserve"> </w:t>
      </w:r>
      <w:r>
        <w:t>sur les moto</w:t>
      </w:r>
      <w:r w:rsidRPr="00D47AF3">
        <w:t xml:space="preserve">cycles. </w:t>
      </w:r>
      <w:r>
        <w:t>En conséquence, l’éblouissement imputable à deux feux de circulation diurne devrait rester identique</w:t>
      </w:r>
      <w:r w:rsidRPr="00D47AF3">
        <w:t xml:space="preserve"> </w:t>
      </w:r>
      <w:r>
        <w:t>à celui provoqué par des projecteurs </w:t>
      </w:r>
      <w:r w:rsidRPr="00D47AF3">
        <w:t>;</w:t>
      </w:r>
    </w:p>
    <w:p w:rsidR="00E752D3" w:rsidRPr="00D47AF3" w:rsidRDefault="00E752D3" w:rsidP="00E84C1E">
      <w:pPr>
        <w:pStyle w:val="SingleTxtG"/>
        <w:ind w:firstLine="567"/>
      </w:pPr>
      <w:r w:rsidRPr="00D47AF3">
        <w:t>e)</w:t>
      </w:r>
      <w:r w:rsidRPr="00D47AF3">
        <w:tab/>
      </w:r>
      <w:r>
        <w:t>Cette proposition est à mettre en correspondance avec une proposition relative au Règlement concernant les dispositifs de signalisation lumineuse</w:t>
      </w:r>
      <w:r w:rsidRPr="00D47AF3">
        <w:t>.</w:t>
      </w:r>
    </w:p>
    <w:p w:rsidR="00E752D3" w:rsidRPr="00E84C1E" w:rsidRDefault="00E752D3" w:rsidP="007C0E60">
      <w:pPr>
        <w:pStyle w:val="SingleTxtG"/>
        <w:keepNext/>
        <w:rPr>
          <w:i/>
        </w:rPr>
      </w:pPr>
      <w:r w:rsidRPr="00E84C1E">
        <w:rPr>
          <w:i/>
        </w:rPr>
        <w:t>Partie B</w:t>
      </w:r>
    </w:p>
    <w:p w:rsidR="00E752D3" w:rsidRDefault="00E752D3" w:rsidP="00E84C1E">
      <w:pPr>
        <w:pStyle w:val="SingleTxtG"/>
      </w:pPr>
      <w:r w:rsidRPr="00D47AF3">
        <w:t>3.</w:t>
      </w:r>
      <w:r w:rsidRPr="00D47AF3">
        <w:tab/>
      </w:r>
      <w:r w:rsidRPr="008B1DBD">
        <w:t xml:space="preserve">Le texte est fondé sur le document </w:t>
      </w:r>
      <w:r w:rsidRPr="00D47AF3">
        <w:t xml:space="preserve">ECE/TRANS/WP.29/GRE/2017/9, </w:t>
      </w:r>
      <w:r w:rsidRPr="008B1DBD">
        <w:t>distribué à la soixante-</w:t>
      </w:r>
      <w:r>
        <w:t>dix-huitième</w:t>
      </w:r>
      <w:r w:rsidRPr="008B1DBD">
        <w:t xml:space="preserve"> session du GRE</w:t>
      </w:r>
      <w:r w:rsidRPr="00D47AF3">
        <w:t xml:space="preserve">, </w:t>
      </w:r>
      <w:r>
        <w:t>sous réserves des modifications ci-après</w:t>
      </w:r>
      <w:r w:rsidRPr="00D47AF3">
        <w:t xml:space="preserve">. </w:t>
      </w:r>
      <w:r>
        <w:t>En plus de la proposition d’</w:t>
      </w:r>
      <w:r w:rsidRPr="00D47AF3">
        <w:t>amend</w:t>
      </w:r>
      <w:r>
        <w:t>e</w:t>
      </w:r>
      <w:r w:rsidRPr="00D47AF3">
        <w:t xml:space="preserve">ments </w:t>
      </w:r>
      <w:r>
        <w:t xml:space="preserve">au Règlement </w:t>
      </w:r>
      <w:r w:rsidRPr="007D1751">
        <w:t>n</w:t>
      </w:r>
      <w:r w:rsidRPr="007D1751">
        <w:rPr>
          <w:vertAlign w:val="superscript"/>
        </w:rPr>
        <w:t>o</w:t>
      </w:r>
      <w:r>
        <w:t> </w:t>
      </w:r>
      <w:r w:rsidRPr="00D47AF3">
        <w:t xml:space="preserve">53 </w:t>
      </w:r>
      <w:r>
        <w:t>soumise en parallèle</w:t>
      </w:r>
      <w:r w:rsidRPr="00D47AF3">
        <w:t xml:space="preserve">, </w:t>
      </w:r>
      <w:r>
        <w:t>il convient de modifier le projet de nouveau Règlement concernant les dispositifs de signalisation lumineuse</w:t>
      </w:r>
      <w:r w:rsidRPr="00D47AF3">
        <w:t xml:space="preserve">, </w:t>
      </w:r>
      <w:r>
        <w:t xml:space="preserve">afin d’ajouter une nouvelle catégorie </w:t>
      </w:r>
      <w:r w:rsidRPr="00D47AF3">
        <w:t xml:space="preserve">(MRL) </w:t>
      </w:r>
      <w:r>
        <w:t>de feux de circulation diurne</w:t>
      </w:r>
      <w:r w:rsidRPr="00D47AF3">
        <w:t xml:space="preserve">, </w:t>
      </w:r>
      <w:r>
        <w:t>correspondant à une intensité lumineuse maximale inférieure à</w:t>
      </w:r>
      <w:r w:rsidRPr="00D47AF3">
        <w:t xml:space="preserve"> 700</w:t>
      </w:r>
      <w:r>
        <w:t> c</w:t>
      </w:r>
      <w:r w:rsidRPr="00D47AF3">
        <w:t xml:space="preserve">d. </w:t>
      </w:r>
      <w:r>
        <w:t>Des modifications ont été apportées à plusieurs paragraphes et tableaux, de même qu’à l’annexe 2 (</w:t>
      </w:r>
      <w:r w:rsidRPr="004472E0">
        <w:t>Répartition horizontale et verticale de la lumière dans l’espace</w:t>
      </w:r>
      <w:r>
        <w:t>)</w:t>
      </w:r>
      <w:r w:rsidRPr="00D47AF3">
        <w:t xml:space="preserve">, </w:t>
      </w:r>
      <w:r>
        <w:t xml:space="preserve">afin de préciser que l’installation de feux de circulation diurne d’une nouvelle catégorie </w:t>
      </w:r>
      <w:r w:rsidRPr="00D47AF3">
        <w:t xml:space="preserve">(MRL) </w:t>
      </w:r>
      <w:r>
        <w:t xml:space="preserve">peut être admise même en l’absence d’une </w:t>
      </w:r>
      <w:r w:rsidRPr="00DB1D33">
        <w:t>commande permettant de faire basculer le mode d’éclairage pour passer automatiquement des feux de circulation diurne aux projecteurs</w:t>
      </w:r>
      <w:r w:rsidRPr="00D47AF3">
        <w:t>.</w:t>
      </w:r>
    </w:p>
    <w:p w:rsidR="007C0E60" w:rsidRPr="007C0E60" w:rsidRDefault="007C0E60" w:rsidP="007C0E60">
      <w:pPr>
        <w:pStyle w:val="SingleTxtG"/>
        <w:spacing w:before="240" w:after="0"/>
        <w:jc w:val="center"/>
        <w:rPr>
          <w:u w:val="single"/>
        </w:rPr>
      </w:pPr>
      <w:r>
        <w:rPr>
          <w:u w:val="single"/>
        </w:rPr>
        <w:tab/>
      </w:r>
      <w:r>
        <w:rPr>
          <w:u w:val="single"/>
        </w:rPr>
        <w:tab/>
      </w:r>
      <w:r>
        <w:rPr>
          <w:u w:val="single"/>
        </w:rPr>
        <w:tab/>
      </w:r>
    </w:p>
    <w:sectPr w:rsidR="007C0E60" w:rsidRPr="007C0E60" w:rsidSect="00E752D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8E0" w:rsidRDefault="009C68E0" w:rsidP="00F95C08">
      <w:pPr>
        <w:spacing w:line="240" w:lineRule="auto"/>
      </w:pPr>
    </w:p>
  </w:endnote>
  <w:endnote w:type="continuationSeparator" w:id="0">
    <w:p w:rsidR="009C68E0" w:rsidRPr="00AC3823" w:rsidRDefault="009C68E0" w:rsidP="00AC3823">
      <w:pPr>
        <w:pStyle w:val="Footer"/>
      </w:pPr>
    </w:p>
  </w:endnote>
  <w:endnote w:type="continuationNotice" w:id="1">
    <w:p w:rsidR="009C68E0" w:rsidRDefault="009C68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Mincho">
    <w:altName w:val="Yu Gothic"/>
    <w:charset w:val="80"/>
    <w:family w:val="roma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8E0" w:rsidRPr="00E752D3" w:rsidRDefault="009C68E0" w:rsidP="00E752D3">
    <w:pPr>
      <w:pStyle w:val="Footer"/>
      <w:tabs>
        <w:tab w:val="right" w:pos="9638"/>
      </w:tabs>
    </w:pPr>
    <w:r w:rsidRPr="00E752D3">
      <w:rPr>
        <w:b/>
        <w:sz w:val="18"/>
      </w:rPr>
      <w:fldChar w:fldCharType="begin"/>
    </w:r>
    <w:r w:rsidRPr="00E752D3">
      <w:rPr>
        <w:b/>
        <w:sz w:val="18"/>
      </w:rPr>
      <w:instrText xml:space="preserve"> PAGE  \* MERGEFORMAT </w:instrText>
    </w:r>
    <w:r w:rsidRPr="00E752D3">
      <w:rPr>
        <w:b/>
        <w:sz w:val="18"/>
      </w:rPr>
      <w:fldChar w:fldCharType="separate"/>
    </w:r>
    <w:r w:rsidR="00C42C2D">
      <w:rPr>
        <w:b/>
        <w:noProof/>
        <w:sz w:val="18"/>
      </w:rPr>
      <w:t>2</w:t>
    </w:r>
    <w:r w:rsidRPr="00E752D3">
      <w:rPr>
        <w:b/>
        <w:sz w:val="18"/>
      </w:rPr>
      <w:fldChar w:fldCharType="end"/>
    </w:r>
    <w:r>
      <w:rPr>
        <w:b/>
        <w:sz w:val="18"/>
      </w:rPr>
      <w:tab/>
    </w:r>
    <w:r>
      <w:t>GE.18-01886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8E0" w:rsidRPr="00E752D3" w:rsidRDefault="009C68E0" w:rsidP="00E752D3">
    <w:pPr>
      <w:pStyle w:val="Footer"/>
      <w:tabs>
        <w:tab w:val="right" w:pos="9638"/>
      </w:tabs>
      <w:rPr>
        <w:b/>
        <w:sz w:val="18"/>
      </w:rPr>
    </w:pPr>
    <w:r>
      <w:t>GE.18-01886</w:t>
    </w:r>
    <w:r>
      <w:tab/>
    </w:r>
    <w:r w:rsidRPr="00E752D3">
      <w:rPr>
        <w:b/>
        <w:sz w:val="18"/>
      </w:rPr>
      <w:fldChar w:fldCharType="begin"/>
    </w:r>
    <w:r w:rsidRPr="00E752D3">
      <w:rPr>
        <w:b/>
        <w:sz w:val="18"/>
      </w:rPr>
      <w:instrText xml:space="preserve"> PAGE  \* MERGEFORMAT </w:instrText>
    </w:r>
    <w:r w:rsidRPr="00E752D3">
      <w:rPr>
        <w:b/>
        <w:sz w:val="18"/>
      </w:rPr>
      <w:fldChar w:fldCharType="separate"/>
    </w:r>
    <w:r w:rsidR="00275BE1">
      <w:rPr>
        <w:b/>
        <w:noProof/>
        <w:sz w:val="18"/>
      </w:rPr>
      <w:t>7</w:t>
    </w:r>
    <w:r w:rsidRPr="00E752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8E0" w:rsidRPr="00E752D3" w:rsidRDefault="009C68E0" w:rsidP="00E752D3">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18-01886  (F)</w:t>
    </w:r>
    <w:r w:rsidR="00E84C1E">
      <w:rPr>
        <w:sz w:val="20"/>
      </w:rPr>
      <w:t xml:space="preserve">    220218    230218</w:t>
    </w:r>
    <w:r>
      <w:rPr>
        <w:sz w:val="20"/>
      </w:rPr>
      <w:br/>
    </w:r>
    <w:r w:rsidRPr="00E752D3">
      <w:rPr>
        <w:rFonts w:ascii="C39T30Lfz" w:hAnsi="C39T30Lfz"/>
        <w:sz w:val="56"/>
      </w:rPr>
      <w:t></w:t>
    </w:r>
    <w:r w:rsidRPr="00E752D3">
      <w:rPr>
        <w:rFonts w:ascii="C39T30Lfz" w:hAnsi="C39T30Lfz"/>
        <w:sz w:val="56"/>
      </w:rPr>
      <w:t></w:t>
    </w:r>
    <w:r w:rsidRPr="00E752D3">
      <w:rPr>
        <w:rFonts w:ascii="C39T30Lfz" w:hAnsi="C39T30Lfz"/>
        <w:sz w:val="56"/>
      </w:rPr>
      <w:t></w:t>
    </w:r>
    <w:r w:rsidRPr="00E752D3">
      <w:rPr>
        <w:rFonts w:ascii="C39T30Lfz" w:hAnsi="C39T30Lfz"/>
        <w:sz w:val="56"/>
      </w:rPr>
      <w:t></w:t>
    </w:r>
    <w:r w:rsidRPr="00E752D3">
      <w:rPr>
        <w:rFonts w:ascii="C39T30Lfz" w:hAnsi="C39T30Lfz"/>
        <w:sz w:val="56"/>
      </w:rPr>
      <w:t></w:t>
    </w:r>
    <w:r w:rsidRPr="00E752D3">
      <w:rPr>
        <w:rFonts w:ascii="C39T30Lfz" w:hAnsi="C39T30Lfz"/>
        <w:sz w:val="56"/>
      </w:rPr>
      <w:t></w:t>
    </w:r>
    <w:r w:rsidRPr="00E752D3">
      <w:rPr>
        <w:rFonts w:ascii="C39T30Lfz" w:hAnsi="C39T30Lfz"/>
        <w:sz w:val="56"/>
      </w:rPr>
      <w:t></w:t>
    </w:r>
    <w:r w:rsidRPr="00E752D3">
      <w:rPr>
        <w:rFonts w:ascii="C39T30Lfz" w:hAnsi="C39T30Lfz"/>
        <w:sz w:val="56"/>
      </w:rPr>
      <w:t></w:t>
    </w:r>
    <w:r w:rsidRPr="00E752D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8E0" w:rsidRPr="00AC3823" w:rsidRDefault="009C68E0" w:rsidP="00AC3823">
      <w:pPr>
        <w:pStyle w:val="Footer"/>
        <w:tabs>
          <w:tab w:val="right" w:pos="2155"/>
        </w:tabs>
        <w:spacing w:after="80" w:line="240" w:lineRule="atLeast"/>
        <w:ind w:left="680"/>
        <w:rPr>
          <w:u w:val="single"/>
        </w:rPr>
      </w:pPr>
      <w:r>
        <w:rPr>
          <w:u w:val="single"/>
        </w:rPr>
        <w:tab/>
      </w:r>
    </w:p>
  </w:footnote>
  <w:footnote w:type="continuationSeparator" w:id="0">
    <w:p w:rsidR="009C68E0" w:rsidRPr="00AC3823" w:rsidRDefault="009C68E0" w:rsidP="00AC3823">
      <w:pPr>
        <w:pStyle w:val="Footer"/>
        <w:tabs>
          <w:tab w:val="right" w:pos="2155"/>
        </w:tabs>
        <w:spacing w:after="80" w:line="240" w:lineRule="atLeast"/>
        <w:ind w:left="680"/>
        <w:rPr>
          <w:u w:val="single"/>
        </w:rPr>
      </w:pPr>
      <w:r>
        <w:rPr>
          <w:u w:val="single"/>
        </w:rPr>
        <w:tab/>
      </w:r>
    </w:p>
  </w:footnote>
  <w:footnote w:type="continuationNotice" w:id="1">
    <w:p w:rsidR="009C68E0" w:rsidRPr="00AC3823" w:rsidRDefault="009C68E0">
      <w:pPr>
        <w:spacing w:line="240" w:lineRule="auto"/>
        <w:rPr>
          <w:sz w:val="2"/>
          <w:szCs w:val="2"/>
        </w:rPr>
      </w:pPr>
    </w:p>
  </w:footnote>
  <w:footnote w:id="2">
    <w:p w:rsidR="009C68E0" w:rsidRPr="00E752D3" w:rsidRDefault="009C68E0">
      <w:pPr>
        <w:pStyle w:val="FootnoteText"/>
      </w:pPr>
      <w:r>
        <w:rPr>
          <w:rStyle w:val="FootnoteReference"/>
        </w:rPr>
        <w:tab/>
      </w:r>
      <w:r w:rsidRPr="00E752D3">
        <w:rPr>
          <w:rStyle w:val="FootnoteReference"/>
          <w:sz w:val="20"/>
          <w:vertAlign w:val="baseline"/>
        </w:rPr>
        <w:t>*</w:t>
      </w:r>
      <w:r>
        <w:rPr>
          <w:rStyle w:val="FootnoteReference"/>
          <w:sz w:val="20"/>
          <w:vertAlign w:val="baseline"/>
        </w:rPr>
        <w:tab/>
      </w:r>
      <w:r w:rsidRPr="00E752D3">
        <w:rPr>
          <w:spacing w:val="-2"/>
          <w:szCs w:val="18"/>
        </w:rPr>
        <w:t>Conformément au programme de travail du Comité des transports intérieurs pou</w:t>
      </w:r>
      <w:r w:rsidRPr="0045139D">
        <w:rPr>
          <w:szCs w:val="18"/>
        </w:rPr>
        <w:t>r la période 2014</w:t>
      </w:r>
      <w:r>
        <w:rPr>
          <w:szCs w:val="18"/>
        </w:rPr>
        <w:noBreakHyphen/>
      </w:r>
      <w:r w:rsidRPr="0045139D">
        <w:rPr>
          <w:szCs w:val="18"/>
        </w:rPr>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 w:id="3">
    <w:p w:rsidR="009C68E0" w:rsidRPr="002260EE" w:rsidRDefault="009C68E0">
      <w:pPr>
        <w:pStyle w:val="FootnoteText"/>
      </w:pPr>
      <w:r>
        <w:rPr>
          <w:rStyle w:val="FootnoteReference"/>
        </w:rPr>
        <w:tab/>
      </w:r>
      <w:r w:rsidRPr="002260EE">
        <w:rPr>
          <w:rStyle w:val="FootnoteReference"/>
          <w:sz w:val="20"/>
          <w:vertAlign w:val="baseline"/>
        </w:rPr>
        <w:t>**</w:t>
      </w:r>
      <w:r>
        <w:rPr>
          <w:rStyle w:val="FootnoteReference"/>
          <w:sz w:val="20"/>
          <w:vertAlign w:val="baseline"/>
        </w:rPr>
        <w:tab/>
      </w:r>
      <w:r w:rsidRPr="0045139D">
        <w:t>Le projet de nouveau Règlement concernant les dispositifs de signalisation lumineuse a été publié dans les documents ECE/TRANS/WP.29/GRE/2017/9 et ECE/TRANS/WP.29/GRE/2018/2 (note du</w:t>
      </w:r>
      <w:r>
        <w:t> </w:t>
      </w:r>
      <w:r w:rsidRPr="0045139D">
        <w:t>secrétariat).</w:t>
      </w:r>
    </w:p>
  </w:footnote>
  <w:footnote w:id="4">
    <w:p w:rsidR="009C68E0" w:rsidRPr="0045139D" w:rsidRDefault="009C68E0" w:rsidP="00E752D3">
      <w:pPr>
        <w:pStyle w:val="FootnoteText"/>
        <w:ind w:hanging="141"/>
      </w:pPr>
      <w:r w:rsidRPr="0045139D">
        <w:rPr>
          <w:rStyle w:val="FootnoteReference"/>
        </w:rPr>
        <w:footnoteRef/>
      </w:r>
      <w:r w:rsidRPr="0045139D">
        <w:t xml:space="preserve"> </w:t>
      </w:r>
      <w:r w:rsidRPr="0045139D">
        <w:rPr>
          <w:b/>
          <w:szCs w:val="18"/>
        </w:rPr>
        <w:t>Ce type de feu ne peut être monté sur un véhicule de la catégorie L</w:t>
      </w:r>
      <w:r w:rsidRPr="0045139D">
        <w:rPr>
          <w:b/>
          <w:szCs w:val="18"/>
          <w:vertAlign w:val="subscript"/>
        </w:rPr>
        <w:t>3</w:t>
      </w:r>
      <w:r w:rsidRPr="0045139D">
        <w:rPr>
          <w:b/>
          <w:szCs w:val="18"/>
        </w:rPr>
        <w:t xml:space="preserve"> non équipé d’une commande </w:t>
      </w:r>
      <w:r>
        <w:rPr>
          <w:b/>
          <w:szCs w:val="18"/>
        </w:rPr>
        <w:t xml:space="preserve">permettant de faire basculer le mode d’éclairage pour passer automatiquement </w:t>
      </w:r>
      <w:r w:rsidRPr="00DE3345">
        <w:rPr>
          <w:b/>
          <w:szCs w:val="18"/>
        </w:rPr>
        <w:t xml:space="preserve">des feux de circulation </w:t>
      </w:r>
      <w:r>
        <w:rPr>
          <w:b/>
          <w:szCs w:val="18"/>
        </w:rPr>
        <w:t>diurne</w:t>
      </w:r>
      <w:r w:rsidRPr="0045139D">
        <w:rPr>
          <w:b/>
          <w:szCs w:val="18"/>
        </w:rPr>
        <w:t xml:space="preserve"> </w:t>
      </w:r>
      <w:r>
        <w:rPr>
          <w:b/>
          <w:szCs w:val="18"/>
        </w:rPr>
        <w:t xml:space="preserve">aux </w:t>
      </w:r>
      <w:r w:rsidRPr="0045139D">
        <w:rPr>
          <w:b/>
          <w:szCs w:val="18"/>
        </w:rPr>
        <w:t>projecteurs.</w:t>
      </w:r>
    </w:p>
  </w:footnote>
  <w:footnote w:id="5">
    <w:p w:rsidR="009C68E0" w:rsidRPr="0045139D" w:rsidRDefault="009C68E0" w:rsidP="00326C09">
      <w:pPr>
        <w:pStyle w:val="FootnoteText"/>
        <w:tabs>
          <w:tab w:val="clear" w:pos="1021"/>
          <w:tab w:val="right" w:pos="993"/>
        </w:tabs>
        <w:spacing w:line="200" w:lineRule="exact"/>
        <w:rPr>
          <w:b/>
        </w:rPr>
      </w:pPr>
      <w:r w:rsidRPr="0045139D">
        <w:rPr>
          <w:b/>
        </w:rPr>
        <w:tab/>
      </w:r>
      <w:r w:rsidRPr="0045139D">
        <w:rPr>
          <w:rStyle w:val="FootnoteReference"/>
          <w:b/>
        </w:rPr>
        <w:footnoteRef/>
      </w:r>
      <w:r w:rsidRPr="0045139D">
        <w:rPr>
          <w:b/>
        </w:rPr>
        <w:t xml:space="preserve"> </w:t>
      </w:r>
      <w:r w:rsidRPr="0045139D">
        <w:rPr>
          <w:b/>
        </w:rPr>
        <w:tab/>
      </w:r>
      <w:r w:rsidRPr="0045139D">
        <w:rPr>
          <w:b/>
          <w:szCs w:val="18"/>
        </w:rPr>
        <w:t xml:space="preserve">Ce type de feu ne peut être monté </w:t>
      </w:r>
      <w:r w:rsidRPr="002260EE">
        <w:rPr>
          <w:b/>
          <w:spacing w:val="-2"/>
          <w:szCs w:val="18"/>
        </w:rPr>
        <w:t>sur un véhicule de la catégorie L</w:t>
      </w:r>
      <w:r w:rsidRPr="002260EE">
        <w:rPr>
          <w:b/>
          <w:spacing w:val="-2"/>
          <w:szCs w:val="18"/>
          <w:vertAlign w:val="subscript"/>
        </w:rPr>
        <w:t>3</w:t>
      </w:r>
      <w:r w:rsidRPr="002260EE">
        <w:rPr>
          <w:b/>
          <w:spacing w:val="-2"/>
          <w:szCs w:val="18"/>
        </w:rPr>
        <w:t xml:space="preserve"> non</w:t>
      </w:r>
      <w:r w:rsidRPr="0045139D">
        <w:rPr>
          <w:b/>
          <w:szCs w:val="18"/>
        </w:rPr>
        <w:t xml:space="preserve"> équipé d’une commande </w:t>
      </w:r>
      <w:r>
        <w:rPr>
          <w:b/>
          <w:szCs w:val="18"/>
        </w:rPr>
        <w:t xml:space="preserve">permettant de faire basculer le mode d’éclairage pour passer automatiquement </w:t>
      </w:r>
      <w:r w:rsidRPr="00DE3345">
        <w:rPr>
          <w:b/>
          <w:szCs w:val="18"/>
        </w:rPr>
        <w:t xml:space="preserve">des feux de circulation </w:t>
      </w:r>
      <w:r>
        <w:rPr>
          <w:b/>
          <w:szCs w:val="18"/>
        </w:rPr>
        <w:t>diurne</w:t>
      </w:r>
      <w:r w:rsidRPr="0045139D">
        <w:rPr>
          <w:b/>
          <w:szCs w:val="18"/>
        </w:rPr>
        <w:t xml:space="preserve"> </w:t>
      </w:r>
      <w:r>
        <w:rPr>
          <w:b/>
          <w:szCs w:val="18"/>
        </w:rPr>
        <w:t xml:space="preserve">aux </w:t>
      </w:r>
      <w:r w:rsidRPr="0045139D">
        <w:rPr>
          <w:b/>
          <w:szCs w:val="18"/>
        </w:rPr>
        <w:t>projecteurs.</w:t>
      </w:r>
    </w:p>
  </w:footnote>
  <w:footnote w:id="6">
    <w:p w:rsidR="009C68E0" w:rsidRPr="0045139D" w:rsidRDefault="009C68E0" w:rsidP="00E752D3">
      <w:pPr>
        <w:pStyle w:val="FootnoteText"/>
        <w:tabs>
          <w:tab w:val="clear" w:pos="1021"/>
          <w:tab w:val="right" w:pos="993"/>
        </w:tabs>
        <w:rPr>
          <w:b/>
        </w:rPr>
      </w:pPr>
      <w:r w:rsidRPr="0045139D">
        <w:rPr>
          <w:b/>
        </w:rPr>
        <w:tab/>
      </w:r>
      <w:r w:rsidRPr="0045139D">
        <w:rPr>
          <w:b/>
          <w:vertAlign w:val="superscript"/>
        </w:rPr>
        <w:footnoteRef/>
      </w:r>
      <w:r w:rsidRPr="0045139D">
        <w:rPr>
          <w:b/>
        </w:rPr>
        <w:tab/>
        <w:t>Ce type de feu ne peut être monté sur un véhicule de la catégorie L</w:t>
      </w:r>
      <w:r w:rsidRPr="0045139D">
        <w:rPr>
          <w:b/>
          <w:vertAlign w:val="subscript"/>
        </w:rPr>
        <w:t>3</w:t>
      </w:r>
      <w:r w:rsidRPr="0045139D">
        <w:rPr>
          <w:b/>
        </w:rPr>
        <w:t xml:space="preserve"> non équipé </w:t>
      </w:r>
      <w:r w:rsidRPr="0045139D">
        <w:rPr>
          <w:b/>
          <w:szCs w:val="18"/>
        </w:rPr>
        <w:t xml:space="preserve">d’une commande </w:t>
      </w:r>
      <w:r>
        <w:rPr>
          <w:b/>
          <w:szCs w:val="18"/>
        </w:rPr>
        <w:t xml:space="preserve">permettant de faire basculer le mode d’éclairage pour passer automatiquement </w:t>
      </w:r>
      <w:r w:rsidRPr="00DE3345">
        <w:rPr>
          <w:b/>
          <w:szCs w:val="18"/>
        </w:rPr>
        <w:t>des</w:t>
      </w:r>
      <w:r>
        <w:rPr>
          <w:b/>
          <w:szCs w:val="18"/>
        </w:rPr>
        <w:t> </w:t>
      </w:r>
      <w:r w:rsidRPr="00DE3345">
        <w:rPr>
          <w:b/>
          <w:szCs w:val="18"/>
        </w:rPr>
        <w:t xml:space="preserve">feux de circulation </w:t>
      </w:r>
      <w:r>
        <w:rPr>
          <w:b/>
          <w:szCs w:val="18"/>
        </w:rPr>
        <w:t>diurne</w:t>
      </w:r>
      <w:r w:rsidRPr="0045139D">
        <w:rPr>
          <w:b/>
          <w:szCs w:val="18"/>
        </w:rPr>
        <w:t xml:space="preserve"> </w:t>
      </w:r>
      <w:r>
        <w:rPr>
          <w:b/>
          <w:szCs w:val="18"/>
        </w:rPr>
        <w:t xml:space="preserve">aux </w:t>
      </w:r>
      <w:r w:rsidRPr="0045139D">
        <w:rPr>
          <w:b/>
          <w:szCs w:val="18"/>
        </w:rPr>
        <w:t>projecteurs</w:t>
      </w:r>
      <w:r w:rsidRPr="0045139D">
        <w:rPr>
          <w:b/>
        </w:rPr>
        <w:t>.</w:t>
      </w:r>
    </w:p>
  </w:footnote>
  <w:footnote w:id="7">
    <w:p w:rsidR="009C68E0" w:rsidRPr="0045139D" w:rsidRDefault="00CB1105" w:rsidP="00CB1105">
      <w:pPr>
        <w:pStyle w:val="FootnoteText"/>
        <w:tabs>
          <w:tab w:val="clear" w:pos="1021"/>
          <w:tab w:val="right" w:pos="993"/>
        </w:tabs>
      </w:pPr>
      <w:r>
        <w:rPr>
          <w:lang w:eastAsia="ja-JP"/>
        </w:rPr>
        <w:tab/>
      </w:r>
      <w:r w:rsidR="009C68E0" w:rsidRPr="0045139D">
        <w:rPr>
          <w:rStyle w:val="FootnoteReference"/>
        </w:rPr>
        <w:footnoteRef/>
      </w:r>
      <w:r>
        <w:rPr>
          <w:lang w:eastAsia="ja-JP"/>
        </w:rPr>
        <w:tab/>
      </w:r>
      <w:r w:rsidR="009C68E0" w:rsidRPr="0045139D">
        <w:t>Pour les feux destinés à être montés de sorte que leur plan H se trouve à une hauteur inférieure à</w:t>
      </w:r>
      <w:r>
        <w:t> </w:t>
      </w:r>
      <w:r w:rsidR="009C68E0" w:rsidRPr="0045139D">
        <w:t>750 mm.</w:t>
      </w:r>
    </w:p>
  </w:footnote>
  <w:footnote w:id="8">
    <w:p w:rsidR="009C68E0" w:rsidRPr="0045139D" w:rsidRDefault="00CB1105" w:rsidP="00CB1105">
      <w:pPr>
        <w:pStyle w:val="FootnoteText"/>
        <w:tabs>
          <w:tab w:val="clear" w:pos="1021"/>
          <w:tab w:val="right" w:pos="993"/>
        </w:tabs>
      </w:pPr>
      <w:r>
        <w:tab/>
      </w:r>
      <w:r w:rsidR="009C68E0" w:rsidRPr="0045139D">
        <w:rPr>
          <w:rStyle w:val="FootnoteReference"/>
        </w:rPr>
        <w:footnoteRef/>
      </w:r>
      <w:r>
        <w:tab/>
      </w:r>
      <w:r w:rsidR="009C68E0" w:rsidRPr="0045139D">
        <w:t>Pour les feux facultatifs destinés à être montés de sorte que leur plan H se trouve à une hauteur supérieur</w:t>
      </w:r>
      <w:r w:rsidR="009C68E0">
        <w:t>e</w:t>
      </w:r>
      <w:r w:rsidR="009C68E0" w:rsidRPr="0045139D">
        <w:t xml:space="preserve"> à 2 100 mm.</w:t>
      </w:r>
    </w:p>
  </w:footnote>
  <w:footnote w:id="9">
    <w:p w:rsidR="00CB1105" w:rsidRDefault="00CB1105">
      <w:pPr>
        <w:pStyle w:val="FootnoteText"/>
      </w:pPr>
      <w:r>
        <w:tab/>
      </w:r>
      <w:r>
        <w:rPr>
          <w:rStyle w:val="FootnoteReference"/>
        </w:rPr>
        <w:footnoteRef/>
      </w:r>
      <w:r>
        <w:tab/>
      </w:r>
      <w:r w:rsidRPr="0049583D">
        <w:t>Angles réduits utilisés uniquement en dessous du plan H pour les feu</w:t>
      </w:r>
      <w:r>
        <w:t>x montés de sorte que leur plan </w:t>
      </w:r>
      <w:r w:rsidRPr="0049583D">
        <w:t>H se trouve à une hauteur inférieure à 750</w:t>
      </w:r>
      <w:r>
        <w:t> </w:t>
      </w:r>
      <w:r w:rsidRPr="0049583D">
        <w:t>mm</w:t>
      </w:r>
      <w:r w:rsidRPr="0045139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8E0" w:rsidRPr="00E752D3" w:rsidRDefault="00C42C2D">
    <w:pPr>
      <w:pStyle w:val="Header"/>
    </w:pPr>
    <w:r>
      <w:fldChar w:fldCharType="begin"/>
    </w:r>
    <w:r>
      <w:instrText xml:space="preserve"> TITLE  \* MERGEFORMAT </w:instrText>
    </w:r>
    <w:r>
      <w:fldChar w:fldCharType="separate"/>
    </w:r>
    <w:r w:rsidR="00076AD5">
      <w:t>ECE/TRANS/WP.29/GRE/2018/19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8E0" w:rsidRPr="00E752D3" w:rsidRDefault="00C42C2D" w:rsidP="00E752D3">
    <w:pPr>
      <w:pStyle w:val="Header"/>
      <w:jc w:val="right"/>
    </w:pPr>
    <w:r>
      <w:fldChar w:fldCharType="begin"/>
    </w:r>
    <w:r>
      <w:instrText xml:space="preserve"> TITLE  \* MERGEFORMAT </w:instrText>
    </w:r>
    <w:r>
      <w:fldChar w:fldCharType="separate"/>
    </w:r>
    <w:r w:rsidR="00076AD5">
      <w:t>ECE/TRANS/WP.29/GRE/2018/19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86"/>
    <w:rsid w:val="00017F94"/>
    <w:rsid w:val="00023842"/>
    <w:rsid w:val="000334F9"/>
    <w:rsid w:val="00045FEB"/>
    <w:rsid w:val="00076AD5"/>
    <w:rsid w:val="000775DD"/>
    <w:rsid w:val="0007796D"/>
    <w:rsid w:val="00083821"/>
    <w:rsid w:val="000B7790"/>
    <w:rsid w:val="00111F2F"/>
    <w:rsid w:val="0014365E"/>
    <w:rsid w:val="00143C66"/>
    <w:rsid w:val="00157C82"/>
    <w:rsid w:val="00176178"/>
    <w:rsid w:val="001F525A"/>
    <w:rsid w:val="00223272"/>
    <w:rsid w:val="002260EE"/>
    <w:rsid w:val="0024779E"/>
    <w:rsid w:val="00257168"/>
    <w:rsid w:val="002744B8"/>
    <w:rsid w:val="00275BE1"/>
    <w:rsid w:val="002832AC"/>
    <w:rsid w:val="002D7C93"/>
    <w:rsid w:val="00305801"/>
    <w:rsid w:val="00326C09"/>
    <w:rsid w:val="003916DE"/>
    <w:rsid w:val="003B0399"/>
    <w:rsid w:val="00441C3B"/>
    <w:rsid w:val="00446FE5"/>
    <w:rsid w:val="00452396"/>
    <w:rsid w:val="004837D8"/>
    <w:rsid w:val="004E468C"/>
    <w:rsid w:val="005505B7"/>
    <w:rsid w:val="00573BE5"/>
    <w:rsid w:val="00586ED3"/>
    <w:rsid w:val="00596AA9"/>
    <w:rsid w:val="0071601D"/>
    <w:rsid w:val="007A62E6"/>
    <w:rsid w:val="007B6986"/>
    <w:rsid w:val="007C0E60"/>
    <w:rsid w:val="007F20FA"/>
    <w:rsid w:val="0080684C"/>
    <w:rsid w:val="00871C75"/>
    <w:rsid w:val="008776DC"/>
    <w:rsid w:val="009446C0"/>
    <w:rsid w:val="009705C8"/>
    <w:rsid w:val="00976DCA"/>
    <w:rsid w:val="009C1CF4"/>
    <w:rsid w:val="009C68E0"/>
    <w:rsid w:val="009F6B74"/>
    <w:rsid w:val="00A30353"/>
    <w:rsid w:val="00AC3823"/>
    <w:rsid w:val="00AE323C"/>
    <w:rsid w:val="00AF0CB5"/>
    <w:rsid w:val="00B00181"/>
    <w:rsid w:val="00B00B0D"/>
    <w:rsid w:val="00B765F7"/>
    <w:rsid w:val="00BA0CA9"/>
    <w:rsid w:val="00C02897"/>
    <w:rsid w:val="00C42C2D"/>
    <w:rsid w:val="00C97039"/>
    <w:rsid w:val="00CB1105"/>
    <w:rsid w:val="00D3439C"/>
    <w:rsid w:val="00DB1831"/>
    <w:rsid w:val="00DD3BFD"/>
    <w:rsid w:val="00DF6678"/>
    <w:rsid w:val="00E0299A"/>
    <w:rsid w:val="00E752D3"/>
    <w:rsid w:val="00E84C1E"/>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1C5CB6-ED3E-4275-B69C-446CDE15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rsid w:val="00E752D3"/>
    <w:pPr>
      <w:suppressAutoHyphens/>
      <w:spacing w:after="0" w:line="240" w:lineRule="atLeast"/>
    </w:pPr>
    <w:rPr>
      <w:rFonts w:ascii="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4733-0E66-4841-98DA-82103AB0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2400</Words>
  <Characters>13686</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ECE/TRANS/WP.29/GRE/2018/19</vt:lpstr>
      <vt:lpstr>ECE/TRANS/WP.29/GRE/2018/19</vt:lpstr>
    </vt:vector>
  </TitlesOfParts>
  <Company>DCM</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ECE/TRANS/WP.29/GRE/2018/19</dc:title>
  <dc:subject/>
  <dc:creator>Fabienne CRELIER</dc:creator>
  <cp:keywords/>
  <cp:lastModifiedBy>Benedicte Boudol</cp:lastModifiedBy>
  <cp:revision>2</cp:revision>
  <cp:lastPrinted>2018-02-23T13:33:00Z</cp:lastPrinted>
  <dcterms:created xsi:type="dcterms:W3CDTF">2018-02-26T09:09:00Z</dcterms:created>
  <dcterms:modified xsi:type="dcterms:W3CDTF">2018-02-26T09:09:00Z</dcterms:modified>
</cp:coreProperties>
</file>