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4B2E58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4B2E58" w:rsidRDefault="002D5AAC" w:rsidP="004B2E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B2E58" w:rsidRDefault="00DF71B9" w:rsidP="004B2E58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4B2E58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B2E58" w:rsidRDefault="004B2E58" w:rsidP="004B2E58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4B2E58">
              <w:rPr>
                <w:spacing w:val="0"/>
                <w:w w:val="100"/>
                <w:kern w:val="0"/>
                <w:sz w:val="40"/>
              </w:rPr>
              <w:t>ECE</w:t>
            </w:r>
            <w:r w:rsidRPr="004B2E58">
              <w:rPr>
                <w:spacing w:val="0"/>
                <w:w w:val="100"/>
                <w:kern w:val="0"/>
              </w:rPr>
              <w:t>/TRANS/WP.29/GRE/2018/16</w:t>
            </w:r>
          </w:p>
        </w:tc>
      </w:tr>
      <w:tr w:rsidR="002D5AAC" w:rsidRPr="004B2E58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B2E58" w:rsidRDefault="002E5067" w:rsidP="004B2E58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4B2E58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B2E58" w:rsidRDefault="008A37C8" w:rsidP="004B2E58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4B2E58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4B2E58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4B2E58" w:rsidRDefault="004B2E58" w:rsidP="004B2E58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4B2E58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4B2E58" w:rsidRPr="004B2E58" w:rsidRDefault="004B2E58" w:rsidP="004B2E58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B2E58">
              <w:rPr>
                <w:spacing w:val="0"/>
                <w:w w:val="100"/>
                <w:kern w:val="0"/>
                <w:lang w:val="en-US"/>
              </w:rPr>
              <w:t>6 February 2018</w:t>
            </w:r>
          </w:p>
          <w:p w:rsidR="004B2E58" w:rsidRPr="004B2E58" w:rsidRDefault="004B2E58" w:rsidP="004B2E58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B2E58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4B2E58" w:rsidRPr="004B2E58" w:rsidRDefault="004B2E58" w:rsidP="004B2E58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B2E58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8A37C8" w:rsidRPr="004B2E58" w:rsidRDefault="008A37C8" w:rsidP="004B2E58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4B2E58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4B2E58" w:rsidRPr="004B2E58" w:rsidRDefault="004B2E58" w:rsidP="004B2E58">
      <w:pPr>
        <w:suppressAutoHyphens/>
        <w:spacing w:before="120"/>
        <w:rPr>
          <w:spacing w:val="0"/>
          <w:w w:val="100"/>
          <w:kern w:val="0"/>
          <w:sz w:val="28"/>
          <w:szCs w:val="28"/>
        </w:rPr>
      </w:pPr>
      <w:r w:rsidRPr="004B2E58">
        <w:rPr>
          <w:spacing w:val="0"/>
          <w:w w:val="100"/>
          <w:kern w:val="0"/>
          <w:sz w:val="28"/>
          <w:szCs w:val="28"/>
        </w:rPr>
        <w:t>Комитет по внутреннему транспорту</w:t>
      </w:r>
    </w:p>
    <w:p w:rsidR="004B2E58" w:rsidRPr="004B2E58" w:rsidRDefault="004B2E58" w:rsidP="004B2E58">
      <w:pPr>
        <w:suppressAutoHyphens/>
        <w:spacing w:before="120"/>
        <w:rPr>
          <w:b/>
          <w:bCs/>
          <w:spacing w:val="0"/>
          <w:w w:val="100"/>
          <w:kern w:val="0"/>
          <w:sz w:val="24"/>
          <w:szCs w:val="24"/>
        </w:rPr>
      </w:pPr>
      <w:r w:rsidRPr="004B2E58">
        <w:rPr>
          <w:b/>
          <w:bCs/>
          <w:spacing w:val="0"/>
          <w:w w:val="100"/>
          <w:kern w:val="0"/>
          <w:sz w:val="24"/>
          <w:szCs w:val="24"/>
        </w:rPr>
        <w:t xml:space="preserve">Всемирный форум для согласования правил </w:t>
      </w:r>
      <w:r w:rsidRPr="004B2E58">
        <w:rPr>
          <w:b/>
          <w:bCs/>
          <w:spacing w:val="0"/>
          <w:w w:val="100"/>
          <w:kern w:val="0"/>
          <w:sz w:val="24"/>
          <w:szCs w:val="24"/>
        </w:rPr>
        <w:br/>
        <w:t>в области транспортных средств</w:t>
      </w:r>
    </w:p>
    <w:p w:rsidR="004B2E58" w:rsidRPr="004B2E58" w:rsidRDefault="004B2E58" w:rsidP="004B2E58">
      <w:pPr>
        <w:suppressAutoHyphens/>
        <w:spacing w:before="120" w:after="120"/>
        <w:rPr>
          <w:b/>
          <w:bCs/>
          <w:spacing w:val="0"/>
          <w:w w:val="100"/>
          <w:kern w:val="0"/>
        </w:rPr>
      </w:pPr>
      <w:r w:rsidRPr="004B2E58">
        <w:rPr>
          <w:b/>
          <w:bCs/>
          <w:spacing w:val="0"/>
          <w:w w:val="100"/>
          <w:kern w:val="0"/>
        </w:rPr>
        <w:t xml:space="preserve">Рабочая группа по вопросам освещения </w:t>
      </w:r>
      <w:r w:rsidRPr="004B2E58">
        <w:rPr>
          <w:b/>
          <w:bCs/>
          <w:spacing w:val="0"/>
          <w:w w:val="100"/>
          <w:kern w:val="0"/>
        </w:rPr>
        <w:br/>
        <w:t>и световой сигнализации</w:t>
      </w:r>
    </w:p>
    <w:p w:rsidR="004B2E58" w:rsidRPr="004B2E58" w:rsidRDefault="004B2E58" w:rsidP="004B2E58">
      <w:pPr>
        <w:suppressAutoHyphens/>
        <w:rPr>
          <w:b/>
          <w:bCs/>
          <w:spacing w:val="0"/>
          <w:w w:val="100"/>
          <w:kern w:val="0"/>
        </w:rPr>
      </w:pPr>
      <w:r w:rsidRPr="004B2E58">
        <w:rPr>
          <w:b/>
          <w:bCs/>
          <w:spacing w:val="0"/>
          <w:w w:val="100"/>
          <w:kern w:val="0"/>
        </w:rPr>
        <w:t>Семьдесят девятая сессия</w:t>
      </w:r>
    </w:p>
    <w:p w:rsidR="004B2E58" w:rsidRPr="004B2E58" w:rsidRDefault="004B2E58" w:rsidP="004B2E58">
      <w:pPr>
        <w:suppressAutoHyphens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>Женева, 24–27 апреля 2018 года</w:t>
      </w:r>
    </w:p>
    <w:p w:rsidR="004B2E58" w:rsidRPr="004B2E58" w:rsidRDefault="004B2E58" w:rsidP="004B2E58">
      <w:pPr>
        <w:suppressAutoHyphens/>
        <w:ind w:right="1134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>Пункт 4 предварительной повестки дня</w:t>
      </w:r>
    </w:p>
    <w:p w:rsidR="004B2E58" w:rsidRPr="004B2E58" w:rsidRDefault="004B2E58" w:rsidP="004B2E58">
      <w:pPr>
        <w:suppressAutoHyphens/>
        <w:spacing w:line="240" w:lineRule="auto"/>
        <w:rPr>
          <w:spacing w:val="0"/>
          <w:w w:val="100"/>
          <w:kern w:val="0"/>
        </w:rPr>
      </w:pPr>
      <w:r w:rsidRPr="004B2E58">
        <w:rPr>
          <w:b/>
          <w:bCs/>
          <w:spacing w:val="0"/>
          <w:w w:val="100"/>
          <w:kern w:val="0"/>
        </w:rPr>
        <w:t xml:space="preserve">Упрощение правил, касающихся освещения </w:t>
      </w:r>
      <w:r w:rsidRPr="004B2E58">
        <w:rPr>
          <w:b/>
          <w:bCs/>
          <w:spacing w:val="0"/>
          <w:w w:val="100"/>
          <w:kern w:val="0"/>
        </w:rPr>
        <w:br/>
        <w:t>и световой сигнализации</w:t>
      </w:r>
    </w:p>
    <w:p w:rsidR="004B2E58" w:rsidRPr="004B2E58" w:rsidRDefault="004B2E58" w:rsidP="004B2E58">
      <w:pPr>
        <w:pStyle w:val="HChGR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ab/>
      </w:r>
      <w:r w:rsidRPr="004B2E58">
        <w:rPr>
          <w:spacing w:val="0"/>
          <w:w w:val="100"/>
          <w:kern w:val="0"/>
        </w:rPr>
        <w:tab/>
        <w:t>Предложение по дополн</w:t>
      </w:r>
      <w:r>
        <w:rPr>
          <w:spacing w:val="0"/>
          <w:w w:val="100"/>
          <w:kern w:val="0"/>
        </w:rPr>
        <w:t xml:space="preserve">ению [10] к поправкам серии </w:t>
      </w:r>
      <w:r w:rsidR="003676D1" w:rsidRPr="003676D1">
        <w:rPr>
          <w:spacing w:val="0"/>
          <w:w w:val="100"/>
          <w:kern w:val="0"/>
        </w:rPr>
        <w:t>0</w:t>
      </w:r>
      <w:r>
        <w:rPr>
          <w:spacing w:val="0"/>
          <w:w w:val="100"/>
          <w:kern w:val="0"/>
        </w:rPr>
        <w:t>6 к </w:t>
      </w:r>
      <w:r w:rsidRPr="004B2E58">
        <w:rPr>
          <w:spacing w:val="0"/>
          <w:w w:val="100"/>
          <w:kern w:val="0"/>
        </w:rPr>
        <w:t>Правилам № 48</w:t>
      </w:r>
    </w:p>
    <w:p w:rsidR="004B2E58" w:rsidRPr="004B2E58" w:rsidRDefault="004B2E58" w:rsidP="004B2E58">
      <w:pPr>
        <w:pStyle w:val="H1GR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ab/>
      </w:r>
      <w:r w:rsidRPr="004B2E58">
        <w:rPr>
          <w:spacing w:val="0"/>
          <w:w w:val="100"/>
          <w:kern w:val="0"/>
        </w:rPr>
        <w:tab/>
        <w:t>Представлено Неофициальной группой по упрощению правил, касающихся освещения и световой сигнализации (НРГ по </w:t>
      </w:r>
      <w:proofErr w:type="gramStart"/>
      <w:r w:rsidRPr="004B2E58">
        <w:rPr>
          <w:spacing w:val="0"/>
          <w:w w:val="100"/>
          <w:kern w:val="0"/>
        </w:rPr>
        <w:t>УПО)</w:t>
      </w:r>
      <w:r w:rsidRPr="004B2E58">
        <w:rPr>
          <w:b w:val="0"/>
          <w:spacing w:val="0"/>
          <w:w w:val="100"/>
          <w:kern w:val="0"/>
          <w:sz w:val="20"/>
        </w:rPr>
        <w:footnoteReference w:customMarkFollows="1" w:id="1"/>
        <w:t>*</w:t>
      </w:r>
      <w:proofErr w:type="gramEnd"/>
      <w:r w:rsidRPr="004B2E58">
        <w:rPr>
          <w:spacing w:val="0"/>
          <w:w w:val="100"/>
          <w:kern w:val="0"/>
        </w:rPr>
        <w:t xml:space="preserve"> </w:t>
      </w:r>
    </w:p>
    <w:p w:rsidR="004B2E58" w:rsidRPr="004B2E58" w:rsidRDefault="004B2E58" w:rsidP="004B2E58">
      <w:pPr>
        <w:pStyle w:val="SingleTxtGR"/>
        <w:suppressAutoHyphens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ab/>
        <w:t>Воспроизведенный ниже текст был подготовлен НРГ по УПО в целях введения в Правила № 48 определения и общих требований к использованию «индекса изменений», предложенных в трех новых упрощенных правилах, касающихся устройств световой сигнализации (УСС), устройств освещения дороги (УОД) и светоотражающих устройств (СОУ). Изменения к существующему тексту Правил</w:t>
      </w:r>
      <w:r>
        <w:rPr>
          <w:spacing w:val="0"/>
          <w:w w:val="100"/>
          <w:kern w:val="0"/>
          <w:lang w:val="en-US"/>
        </w:rPr>
        <w:t> </w:t>
      </w:r>
      <w:r>
        <w:rPr>
          <w:spacing w:val="0"/>
          <w:w w:val="100"/>
          <w:kern w:val="0"/>
        </w:rPr>
        <w:t>№ </w:t>
      </w:r>
      <w:r w:rsidRPr="004B2E58">
        <w:rPr>
          <w:spacing w:val="0"/>
          <w:w w:val="100"/>
          <w:kern w:val="0"/>
        </w:rPr>
        <w:t>48 выделены жирным шрифтом в случае новых положений или зачеркиванием в случае исключенных элементов.</w:t>
      </w:r>
    </w:p>
    <w:p w:rsidR="004B2E58" w:rsidRPr="004B2E58" w:rsidRDefault="004B2E58" w:rsidP="004B2E58">
      <w:pPr>
        <w:suppressAutoHyphens/>
        <w:spacing w:line="240" w:lineRule="auto"/>
        <w:rPr>
          <w:rFonts w:eastAsia="Times New Roman" w:cs="Times New Roman"/>
          <w:spacing w:val="0"/>
          <w:w w:val="100"/>
          <w:kern w:val="0"/>
          <w:szCs w:val="20"/>
        </w:rPr>
      </w:pPr>
      <w:r w:rsidRPr="004B2E58">
        <w:rPr>
          <w:spacing w:val="0"/>
          <w:w w:val="100"/>
          <w:kern w:val="0"/>
        </w:rPr>
        <w:br w:type="page"/>
      </w:r>
    </w:p>
    <w:p w:rsidR="004B2E58" w:rsidRPr="004B2E58" w:rsidRDefault="004B2E58" w:rsidP="004B2E58">
      <w:pPr>
        <w:pStyle w:val="HChGR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lastRenderedPageBreak/>
        <w:tab/>
        <w:t>I.</w:t>
      </w:r>
      <w:r w:rsidRPr="004B2E58">
        <w:rPr>
          <w:spacing w:val="0"/>
          <w:w w:val="100"/>
          <w:kern w:val="0"/>
        </w:rPr>
        <w:tab/>
        <w:t>Предложение</w:t>
      </w:r>
    </w:p>
    <w:p w:rsidR="004B2E58" w:rsidRPr="004B2E58" w:rsidRDefault="004B2E58" w:rsidP="004B2E58">
      <w:pPr>
        <w:pStyle w:val="SingleTxtGR"/>
        <w:suppressAutoHyphens/>
        <w:rPr>
          <w:spacing w:val="0"/>
          <w:w w:val="100"/>
          <w:kern w:val="0"/>
        </w:rPr>
      </w:pPr>
      <w:r w:rsidRPr="004B2E58">
        <w:rPr>
          <w:i/>
          <w:iCs/>
          <w:spacing w:val="0"/>
          <w:w w:val="100"/>
          <w:kern w:val="0"/>
        </w:rPr>
        <w:t>Включить новый пункт 2.1.6</w:t>
      </w:r>
      <w:r w:rsidRPr="004B2E58">
        <w:rPr>
          <w:spacing w:val="0"/>
          <w:w w:val="100"/>
          <w:kern w:val="0"/>
        </w:rPr>
        <w:t xml:space="preserve"> следующего содержания:</w:t>
      </w:r>
    </w:p>
    <w:p w:rsidR="004B2E58" w:rsidRPr="004B2E58" w:rsidRDefault="004B2E58" w:rsidP="004B2E58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4B2E58">
        <w:rPr>
          <w:bCs/>
          <w:spacing w:val="0"/>
          <w:w w:val="100"/>
          <w:kern w:val="0"/>
        </w:rPr>
        <w:t>«</w:t>
      </w:r>
      <w:r w:rsidRPr="004B2E58">
        <w:rPr>
          <w:b/>
          <w:bCs/>
          <w:spacing w:val="0"/>
          <w:w w:val="100"/>
          <w:kern w:val="0"/>
        </w:rPr>
        <w:t>2.1.6</w:t>
      </w:r>
      <w:r w:rsidRPr="004B2E58">
        <w:rPr>
          <w:b/>
          <w:bCs/>
          <w:spacing w:val="0"/>
          <w:w w:val="100"/>
          <w:kern w:val="0"/>
        </w:rPr>
        <w:tab/>
        <w:t>"Индекс изменений" означает последовательный номер, начинающийся с 0, относящийся к каждому(й) огню (функции), охватываемому(й) Правилами ООН [УСС], [УОД] и [СОУ]. В нем указывается количество раз, когда на основании новых серий поправок к соответствующим Правилам [УСС], [УОД] и [СОУ]) вводились более жесткие требования к этому(й) огню (функции)</w:t>
      </w:r>
      <w:r w:rsidRPr="004B2E58">
        <w:rPr>
          <w:bCs/>
          <w:spacing w:val="0"/>
          <w:w w:val="100"/>
          <w:kern w:val="0"/>
        </w:rPr>
        <w:t>»</w:t>
      </w:r>
      <w:r w:rsidRPr="004B2E58">
        <w:rPr>
          <w:spacing w:val="0"/>
          <w:w w:val="100"/>
          <w:kern w:val="0"/>
        </w:rPr>
        <w:t>.</w:t>
      </w:r>
    </w:p>
    <w:p w:rsidR="004B2E58" w:rsidRPr="004B2E58" w:rsidRDefault="004B2E58" w:rsidP="004B2E58">
      <w:pPr>
        <w:pStyle w:val="SingleTxtGR"/>
        <w:suppressAutoHyphens/>
        <w:rPr>
          <w:spacing w:val="0"/>
          <w:w w:val="100"/>
          <w:kern w:val="0"/>
        </w:rPr>
      </w:pPr>
      <w:r w:rsidRPr="004B2E58">
        <w:rPr>
          <w:i/>
          <w:iCs/>
          <w:spacing w:val="0"/>
          <w:w w:val="100"/>
          <w:kern w:val="0"/>
        </w:rPr>
        <w:t>Включить новый пункт 5.32</w:t>
      </w:r>
      <w:r w:rsidRPr="004B2E58">
        <w:rPr>
          <w:spacing w:val="0"/>
          <w:w w:val="100"/>
          <w:kern w:val="0"/>
        </w:rPr>
        <w:t xml:space="preserve"> следующего содержания:</w:t>
      </w:r>
    </w:p>
    <w:p w:rsidR="004B2E58" w:rsidRPr="004B2E58" w:rsidRDefault="004B2E58" w:rsidP="004B2E58">
      <w:pPr>
        <w:pStyle w:val="SingleTxtGR"/>
        <w:tabs>
          <w:tab w:val="clear" w:pos="1701"/>
        </w:tabs>
        <w:suppressAutoHyphens/>
        <w:ind w:left="2268" w:hanging="1134"/>
        <w:rPr>
          <w:b/>
          <w:spacing w:val="0"/>
          <w:w w:val="100"/>
          <w:kern w:val="0"/>
        </w:rPr>
      </w:pPr>
      <w:r w:rsidRPr="004B2E58">
        <w:rPr>
          <w:bCs/>
          <w:spacing w:val="0"/>
          <w:w w:val="100"/>
          <w:kern w:val="0"/>
        </w:rPr>
        <w:t>«</w:t>
      </w:r>
      <w:r w:rsidRPr="004B2E58">
        <w:rPr>
          <w:b/>
          <w:bCs/>
          <w:spacing w:val="0"/>
          <w:w w:val="100"/>
          <w:kern w:val="0"/>
        </w:rPr>
        <w:t>5.32</w:t>
      </w:r>
      <w:r w:rsidRPr="004B2E58">
        <w:rPr>
          <w:b/>
          <w:bCs/>
          <w:spacing w:val="0"/>
          <w:w w:val="100"/>
          <w:kern w:val="0"/>
        </w:rPr>
        <w:tab/>
        <w:t>Тип устройства, официально утвержденный на основании любой предыдущей серии поправок к Правилам ООН [УСС, УОД и/или СОУ], считается эквивалентным типу, официально утвержденному на основании последней серии поправок к соответствующим Правилам ([УСС], [УОД] и [СОУ]), если индексы изменений (определен в пункте 2.1.6 Правил № 48) в отношении каждого отдельного огня (функции) не отличаются друг от друга. В этом случае нет необходимости обновлять документы для официального утверждения типа устройства и маркировку устройства</w:t>
      </w:r>
      <w:r w:rsidRPr="004B2E58">
        <w:rPr>
          <w:spacing w:val="0"/>
          <w:w w:val="100"/>
          <w:kern w:val="0"/>
        </w:rPr>
        <w:t xml:space="preserve">». </w:t>
      </w:r>
    </w:p>
    <w:p w:rsidR="004B2E58" w:rsidRPr="004B2E58" w:rsidRDefault="004B2E58" w:rsidP="004B2E58">
      <w:pPr>
        <w:pStyle w:val="HChGR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ab/>
        <w:t>II.</w:t>
      </w:r>
      <w:r w:rsidRPr="004B2E58">
        <w:rPr>
          <w:spacing w:val="0"/>
          <w:w w:val="100"/>
          <w:kern w:val="0"/>
        </w:rPr>
        <w:tab/>
        <w:t>Обоснование</w:t>
      </w:r>
    </w:p>
    <w:p w:rsidR="00E12C5F" w:rsidRPr="004B2E58" w:rsidRDefault="004B2E58" w:rsidP="004B2E58">
      <w:pPr>
        <w:pStyle w:val="SingleTxtGR"/>
        <w:suppressAutoHyphens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</w:rPr>
        <w:tab/>
        <w:t>С учетом новых упрощенных правил, касающихся УСС, УОД и СОУ, которые были подготовлены НРГ по УПО, необходимо расширить общие требования, дополнив их индексом изменений.</w:t>
      </w:r>
    </w:p>
    <w:p w:rsidR="004B2E58" w:rsidRPr="004B2E58" w:rsidRDefault="004B2E58" w:rsidP="004B2E58">
      <w:pPr>
        <w:pStyle w:val="SingleTxtGR"/>
        <w:suppressAutoHyphens/>
        <w:spacing w:before="240" w:after="0"/>
        <w:jc w:val="center"/>
        <w:rPr>
          <w:spacing w:val="0"/>
          <w:w w:val="100"/>
          <w:kern w:val="0"/>
          <w:u w:val="single"/>
        </w:rPr>
      </w:pPr>
      <w:r w:rsidRPr="004B2E58">
        <w:rPr>
          <w:spacing w:val="0"/>
          <w:w w:val="100"/>
          <w:kern w:val="0"/>
          <w:u w:val="single"/>
        </w:rPr>
        <w:tab/>
      </w:r>
      <w:r w:rsidRPr="004B2E58">
        <w:rPr>
          <w:spacing w:val="0"/>
          <w:w w:val="100"/>
          <w:kern w:val="0"/>
          <w:u w:val="single"/>
        </w:rPr>
        <w:tab/>
      </w:r>
      <w:r w:rsidRPr="004B2E58">
        <w:rPr>
          <w:spacing w:val="0"/>
          <w:w w:val="100"/>
          <w:kern w:val="0"/>
          <w:u w:val="single"/>
        </w:rPr>
        <w:tab/>
      </w:r>
    </w:p>
    <w:sectPr w:rsidR="004B2E58" w:rsidRPr="004B2E58" w:rsidSect="004B2E5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88" w:rsidRPr="00A312BC" w:rsidRDefault="00DA1888" w:rsidP="00A312BC"/>
  </w:endnote>
  <w:endnote w:type="continuationSeparator" w:id="0">
    <w:p w:rsidR="00DA1888" w:rsidRPr="00A312BC" w:rsidRDefault="00DA188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58" w:rsidRPr="004B2E58" w:rsidRDefault="004B2E58">
    <w:pPr>
      <w:pStyle w:val="Footer"/>
    </w:pPr>
    <w:r w:rsidRPr="004B2E58">
      <w:rPr>
        <w:b/>
        <w:sz w:val="18"/>
      </w:rPr>
      <w:fldChar w:fldCharType="begin"/>
    </w:r>
    <w:r w:rsidRPr="004B2E58">
      <w:rPr>
        <w:b/>
        <w:sz w:val="18"/>
      </w:rPr>
      <w:instrText xml:space="preserve"> PAGE  \* MERGEFORMAT </w:instrText>
    </w:r>
    <w:r w:rsidRPr="004B2E58">
      <w:rPr>
        <w:b/>
        <w:sz w:val="18"/>
      </w:rPr>
      <w:fldChar w:fldCharType="separate"/>
    </w:r>
    <w:r w:rsidR="00914665">
      <w:rPr>
        <w:b/>
        <w:noProof/>
        <w:sz w:val="18"/>
      </w:rPr>
      <w:t>2</w:t>
    </w:r>
    <w:r w:rsidRPr="004B2E58">
      <w:rPr>
        <w:b/>
        <w:sz w:val="18"/>
      </w:rPr>
      <w:fldChar w:fldCharType="end"/>
    </w:r>
    <w:r>
      <w:rPr>
        <w:b/>
        <w:sz w:val="18"/>
      </w:rPr>
      <w:tab/>
    </w:r>
    <w:r>
      <w:t>GE.18-01753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58" w:rsidRPr="004B2E58" w:rsidRDefault="004B2E58" w:rsidP="004B2E58">
    <w:pPr>
      <w:pStyle w:val="Footer"/>
      <w:tabs>
        <w:tab w:val="clear" w:pos="9639"/>
        <w:tab w:val="right" w:pos="9638"/>
      </w:tabs>
      <w:rPr>
        <w:b/>
        <w:sz w:val="18"/>
      </w:rPr>
    </w:pPr>
    <w:r>
      <w:t>GE.18-01753</w:t>
    </w:r>
    <w:r>
      <w:tab/>
    </w:r>
    <w:r w:rsidRPr="004B2E58">
      <w:rPr>
        <w:b/>
        <w:sz w:val="18"/>
      </w:rPr>
      <w:fldChar w:fldCharType="begin"/>
    </w:r>
    <w:r w:rsidRPr="004B2E58">
      <w:rPr>
        <w:b/>
        <w:sz w:val="18"/>
      </w:rPr>
      <w:instrText xml:space="preserve"> PAGE  \* MERGEFORMAT </w:instrText>
    </w:r>
    <w:r w:rsidRPr="004B2E5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4B2E5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4B2E58" w:rsidRDefault="004B2E58" w:rsidP="004B2E58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</w:t>
    </w:r>
    <w:proofErr w:type="gramStart"/>
    <w:r>
      <w:t>01753  (</w:t>
    </w:r>
    <w:proofErr w:type="gramEnd"/>
    <w:r>
      <w:t>R)</w:t>
    </w:r>
    <w:r>
      <w:rPr>
        <w:lang w:val="en-US"/>
      </w:rPr>
      <w:t xml:space="preserve">  090218  090218</w:t>
    </w:r>
    <w:r>
      <w:br/>
    </w:r>
    <w:r w:rsidRPr="004B2E58">
      <w:rPr>
        <w:rFonts w:ascii="C39T30Lfz" w:hAnsi="C39T30Lfz"/>
        <w:spacing w:val="0"/>
        <w:w w:val="100"/>
        <w:sz w:val="56"/>
      </w:rPr>
      <w:t></w:t>
    </w:r>
    <w:r w:rsidRPr="004B2E58">
      <w:rPr>
        <w:rFonts w:ascii="C39T30Lfz" w:hAnsi="C39T30Lfz"/>
        <w:spacing w:val="0"/>
        <w:w w:val="100"/>
        <w:sz w:val="56"/>
      </w:rPr>
      <w:t></w:t>
    </w:r>
    <w:r w:rsidRPr="004B2E58">
      <w:rPr>
        <w:rFonts w:ascii="C39T30Lfz" w:hAnsi="C39T30Lfz"/>
        <w:spacing w:val="0"/>
        <w:w w:val="100"/>
        <w:sz w:val="56"/>
      </w:rPr>
      <w:t></w:t>
    </w:r>
    <w:r w:rsidRPr="004B2E58">
      <w:rPr>
        <w:rFonts w:ascii="C39T30Lfz" w:hAnsi="C39T30Lfz"/>
        <w:spacing w:val="0"/>
        <w:w w:val="100"/>
        <w:sz w:val="56"/>
      </w:rPr>
      <w:t></w:t>
    </w:r>
    <w:r w:rsidRPr="004B2E58">
      <w:rPr>
        <w:rFonts w:ascii="C39T30Lfz" w:hAnsi="C39T30Lfz"/>
        <w:spacing w:val="0"/>
        <w:w w:val="100"/>
        <w:sz w:val="56"/>
      </w:rPr>
      <w:t></w:t>
    </w:r>
    <w:r w:rsidRPr="004B2E58">
      <w:rPr>
        <w:rFonts w:ascii="C39T30Lfz" w:hAnsi="C39T30Lfz"/>
        <w:spacing w:val="0"/>
        <w:w w:val="100"/>
        <w:sz w:val="56"/>
      </w:rPr>
      <w:t></w:t>
    </w:r>
    <w:r w:rsidRPr="004B2E58">
      <w:rPr>
        <w:rFonts w:ascii="C39T30Lfz" w:hAnsi="C39T30Lfz"/>
        <w:spacing w:val="0"/>
        <w:w w:val="100"/>
        <w:sz w:val="56"/>
      </w:rPr>
      <w:t></w:t>
    </w:r>
    <w:r w:rsidRPr="004B2E58">
      <w:rPr>
        <w:rFonts w:ascii="C39T30Lfz" w:hAnsi="C39T30Lfz"/>
        <w:spacing w:val="0"/>
        <w:w w:val="100"/>
        <w:sz w:val="56"/>
      </w:rPr>
      <w:t></w:t>
    </w:r>
    <w:r w:rsidRPr="004B2E58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16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16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88" w:rsidRPr="001075E9" w:rsidRDefault="00DA188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A1888" w:rsidRDefault="00DA188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B2E58" w:rsidRPr="004B2E58" w:rsidRDefault="004B2E58" w:rsidP="004B2E58">
      <w:pPr>
        <w:pStyle w:val="FootnoteText"/>
        <w:rPr>
          <w:spacing w:val="0"/>
          <w:w w:val="100"/>
          <w:kern w:val="0"/>
        </w:rPr>
      </w:pPr>
      <w:r w:rsidRPr="004B2E58">
        <w:rPr>
          <w:spacing w:val="0"/>
          <w:w w:val="100"/>
          <w:kern w:val="0"/>
          <w:lang w:val="ru-RU"/>
        </w:rPr>
        <w:tab/>
      </w:r>
      <w:r w:rsidRPr="004B2E58">
        <w:rPr>
          <w:spacing w:val="0"/>
          <w:w w:val="100"/>
          <w:kern w:val="0"/>
          <w:sz w:val="20"/>
          <w:lang w:val="ru-RU"/>
        </w:rPr>
        <w:t>*</w:t>
      </w:r>
      <w:r w:rsidRPr="004B2E58">
        <w:rPr>
          <w:spacing w:val="0"/>
          <w:w w:val="100"/>
          <w:kern w:val="0"/>
          <w:lang w:val="ru-RU"/>
        </w:rPr>
        <w:tab/>
        <w:t>В соответствии с программой работы Комитета по внутреннему транспорту на 2014–2018 годы (ECE/TRANS/240, пункт 105, и ECE/TRANS/2014/26, направление работы 02.4)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58" w:rsidRPr="004B2E58" w:rsidRDefault="00914665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8848D0">
      <w:t>ECE/TRANS/WP.29/GRE/2018/16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58" w:rsidRPr="004B2E58" w:rsidRDefault="00914665" w:rsidP="004B2E5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848D0">
      <w:t>ECE/TRANS/WP.29/GRE/2018/16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8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676D1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B2E58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345DB"/>
    <w:rsid w:val="00640F49"/>
    <w:rsid w:val="00671AEC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848D0"/>
    <w:rsid w:val="00894693"/>
    <w:rsid w:val="008A08D7"/>
    <w:rsid w:val="008A37C8"/>
    <w:rsid w:val="008B6909"/>
    <w:rsid w:val="008D53B6"/>
    <w:rsid w:val="008F7609"/>
    <w:rsid w:val="00906890"/>
    <w:rsid w:val="00911BE4"/>
    <w:rsid w:val="00914665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A188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9CCD46-470C-43FC-BE86-D24491E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4B2E5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ECE/TRANS/WP.29/GRE/2018/16</vt:lpstr>
      <vt:lpstr>ECE/TRANS/WP.29/GRE/2018/16</vt:lpstr>
      <vt:lpstr>A/</vt:lpstr>
    </vt:vector>
  </TitlesOfParts>
  <Company>DCM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ECE/TRANS/WP.29/GRE/2018/16</dc:title>
  <dc:subject/>
  <dc:creator>Marina KOROTKOVA</dc:creator>
  <cp:keywords/>
  <cp:lastModifiedBy>Benedicte Boudol</cp:lastModifiedBy>
  <cp:revision>2</cp:revision>
  <cp:lastPrinted>2018-02-09T15:07:00Z</cp:lastPrinted>
  <dcterms:created xsi:type="dcterms:W3CDTF">2018-02-14T07:50:00Z</dcterms:created>
  <dcterms:modified xsi:type="dcterms:W3CDTF">2018-02-14T07:50:00Z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