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371B3A">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371B3A" w:rsidP="00371B3A">
            <w:pPr>
              <w:jc w:val="right"/>
            </w:pPr>
            <w:r w:rsidRPr="00371B3A">
              <w:rPr>
                <w:sz w:val="40"/>
              </w:rPr>
              <w:t>ECE</w:t>
            </w:r>
            <w:r>
              <w:t>/TRANS/WP.29/GRE/2018/10</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371B3A" w:rsidP="00C97039">
            <w:pPr>
              <w:spacing w:before="240"/>
            </w:pPr>
            <w:r>
              <w:t>Distr. générale</w:t>
            </w:r>
          </w:p>
          <w:p w:rsidR="00371B3A" w:rsidRDefault="00371B3A" w:rsidP="00371B3A">
            <w:pPr>
              <w:spacing w:line="240" w:lineRule="exact"/>
            </w:pPr>
            <w:r>
              <w:t>5 février 2018</w:t>
            </w:r>
          </w:p>
          <w:p w:rsidR="00371B3A" w:rsidRDefault="00371B3A" w:rsidP="00371B3A">
            <w:pPr>
              <w:spacing w:line="240" w:lineRule="exact"/>
            </w:pPr>
            <w:r>
              <w:t>Français</w:t>
            </w:r>
          </w:p>
          <w:p w:rsidR="00371B3A" w:rsidRPr="00DB58B5" w:rsidRDefault="00371B3A" w:rsidP="00371B3A">
            <w:pPr>
              <w:spacing w:line="240" w:lineRule="exact"/>
            </w:pPr>
            <w:r>
              <w:t>Original</w:t>
            </w:r>
            <w:r w:rsidR="00E04FE8">
              <w:t> :</w:t>
            </w:r>
            <w:r>
              <w:t xml:space="preserve">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A2239C" w:rsidRPr="00376955" w:rsidRDefault="00A2239C" w:rsidP="00A2239C">
      <w:pPr>
        <w:spacing w:before="120"/>
        <w:rPr>
          <w:b/>
          <w:sz w:val="24"/>
          <w:szCs w:val="24"/>
          <w:lang w:val="fr-FR"/>
        </w:rPr>
      </w:pPr>
      <w:r w:rsidRPr="00376955">
        <w:rPr>
          <w:b/>
          <w:sz w:val="24"/>
          <w:szCs w:val="24"/>
          <w:lang w:val="fr-FR"/>
        </w:rPr>
        <w:t xml:space="preserve">Forum mondial de l’harmonisation </w:t>
      </w:r>
      <w:r w:rsidR="00376955" w:rsidRPr="00376955">
        <w:rPr>
          <w:b/>
          <w:sz w:val="24"/>
          <w:szCs w:val="24"/>
          <w:lang w:val="fr-FR"/>
        </w:rPr>
        <w:br/>
      </w:r>
      <w:r w:rsidRPr="00376955">
        <w:rPr>
          <w:b/>
          <w:sz w:val="24"/>
          <w:szCs w:val="24"/>
          <w:lang w:val="fr-FR"/>
        </w:rPr>
        <w:t>des Règlements concernant les véhicules</w:t>
      </w:r>
    </w:p>
    <w:p w:rsidR="00A2239C" w:rsidRPr="00D16989" w:rsidRDefault="00A2239C" w:rsidP="00A2239C">
      <w:pPr>
        <w:spacing w:before="120" w:after="120"/>
        <w:rPr>
          <w:b/>
          <w:szCs w:val="24"/>
          <w:lang w:val="fr-FR"/>
        </w:rPr>
      </w:pPr>
      <w:r w:rsidRPr="00D16989">
        <w:rPr>
          <w:b/>
          <w:szCs w:val="24"/>
          <w:lang w:val="fr-FR"/>
        </w:rPr>
        <w:t>Groupe de travail de l</w:t>
      </w:r>
      <w:r>
        <w:rPr>
          <w:b/>
          <w:szCs w:val="24"/>
          <w:lang w:val="fr-FR"/>
        </w:rPr>
        <w:t>’</w:t>
      </w:r>
      <w:r w:rsidRPr="00D16989">
        <w:rPr>
          <w:b/>
          <w:szCs w:val="24"/>
          <w:lang w:val="fr-FR"/>
        </w:rPr>
        <w:t xml:space="preserve">éclairage </w:t>
      </w:r>
      <w:r w:rsidR="00376955">
        <w:rPr>
          <w:b/>
          <w:szCs w:val="24"/>
          <w:lang w:val="fr-FR"/>
        </w:rPr>
        <w:br/>
      </w:r>
      <w:r w:rsidRPr="00D16989">
        <w:rPr>
          <w:b/>
          <w:szCs w:val="24"/>
          <w:lang w:val="fr-FR"/>
        </w:rPr>
        <w:t>et de la signalisation lumineuse</w:t>
      </w:r>
    </w:p>
    <w:p w:rsidR="00A2239C" w:rsidRPr="00D16989" w:rsidRDefault="00A2239C" w:rsidP="00A2239C">
      <w:pPr>
        <w:rPr>
          <w:b/>
          <w:lang w:val="fr-FR"/>
        </w:rPr>
      </w:pPr>
      <w:r w:rsidRPr="00D16989">
        <w:rPr>
          <w:b/>
          <w:lang w:val="fr-FR"/>
        </w:rPr>
        <w:t>Soixante-dix-neuvième session</w:t>
      </w:r>
    </w:p>
    <w:p w:rsidR="00A2239C" w:rsidRPr="00D16989" w:rsidRDefault="00A2239C" w:rsidP="00A2239C">
      <w:pPr>
        <w:rPr>
          <w:bCs/>
          <w:lang w:val="fr-FR"/>
        </w:rPr>
      </w:pPr>
      <w:r w:rsidRPr="00D16989">
        <w:rPr>
          <w:lang w:val="fr-FR"/>
        </w:rPr>
        <w:t>Genève</w:t>
      </w:r>
      <w:r w:rsidRPr="00D16989">
        <w:rPr>
          <w:bCs/>
          <w:lang w:val="fr-FR"/>
        </w:rPr>
        <w:t>, 24-27 avril 2018</w:t>
      </w:r>
    </w:p>
    <w:p w:rsidR="00A2239C" w:rsidRPr="00D16989" w:rsidRDefault="00A2239C" w:rsidP="00A2239C">
      <w:pPr>
        <w:ind w:right="1134"/>
        <w:rPr>
          <w:bCs/>
          <w:lang w:val="fr-FR"/>
        </w:rPr>
      </w:pPr>
      <w:r w:rsidRPr="00D16989">
        <w:rPr>
          <w:bCs/>
          <w:lang w:val="fr-FR"/>
        </w:rPr>
        <w:t>Point 4 de l</w:t>
      </w:r>
      <w:r>
        <w:rPr>
          <w:bCs/>
          <w:lang w:val="fr-FR"/>
        </w:rPr>
        <w:t>’</w:t>
      </w:r>
      <w:r w:rsidRPr="00D16989">
        <w:rPr>
          <w:bCs/>
          <w:lang w:val="fr-FR"/>
        </w:rPr>
        <w:t>ordre du jour provisoire</w:t>
      </w:r>
    </w:p>
    <w:p w:rsidR="00A2239C" w:rsidRPr="00D16989" w:rsidRDefault="00A2239C" w:rsidP="00A2239C">
      <w:pPr>
        <w:ind w:right="1134"/>
        <w:rPr>
          <w:b/>
          <w:bCs/>
          <w:lang w:val="fr-FR"/>
        </w:rPr>
      </w:pPr>
      <w:r w:rsidRPr="00D16989">
        <w:rPr>
          <w:b/>
          <w:lang w:val="fr-FR"/>
        </w:rPr>
        <w:t xml:space="preserve">Simplification des Règlements concernant </w:t>
      </w:r>
      <w:r w:rsidR="00376955">
        <w:rPr>
          <w:b/>
          <w:lang w:val="fr-FR"/>
        </w:rPr>
        <w:br/>
      </w:r>
      <w:r w:rsidRPr="00D16989">
        <w:rPr>
          <w:b/>
          <w:lang w:val="fr-FR"/>
        </w:rPr>
        <w:t>l</w:t>
      </w:r>
      <w:r>
        <w:rPr>
          <w:b/>
          <w:lang w:val="fr-FR"/>
        </w:rPr>
        <w:t>’</w:t>
      </w:r>
      <w:r w:rsidRPr="00D16989">
        <w:rPr>
          <w:b/>
          <w:lang w:val="fr-FR"/>
        </w:rPr>
        <w:t>éclairage et la signalisation lumineuse</w:t>
      </w:r>
    </w:p>
    <w:p w:rsidR="00A2239C" w:rsidRPr="00D16989" w:rsidRDefault="00A2239C" w:rsidP="00A2239C">
      <w:pPr>
        <w:pStyle w:val="HChG"/>
        <w:rPr>
          <w:lang w:val="fr-FR"/>
        </w:rPr>
      </w:pPr>
      <w:r w:rsidRPr="00D16989">
        <w:rPr>
          <w:lang w:val="fr-FR"/>
        </w:rPr>
        <w:tab/>
      </w:r>
      <w:r w:rsidRPr="00D16989">
        <w:rPr>
          <w:lang w:val="fr-FR"/>
        </w:rPr>
        <w:tab/>
        <w:t>Proposition de complément 7 à la série originale d</w:t>
      </w:r>
      <w:r>
        <w:rPr>
          <w:lang w:val="fr-FR"/>
        </w:rPr>
        <w:t>’</w:t>
      </w:r>
      <w:r w:rsidRPr="00D16989">
        <w:rPr>
          <w:lang w:val="fr-FR"/>
        </w:rPr>
        <w:t>amendements au Règlement n</w:t>
      </w:r>
      <w:r w:rsidR="00376955" w:rsidRPr="00376955">
        <w:rPr>
          <w:vertAlign w:val="superscript"/>
          <w:lang w:val="fr-FR"/>
        </w:rPr>
        <w:t>o</w:t>
      </w:r>
      <w:r w:rsidRPr="00D16989">
        <w:rPr>
          <w:lang w:val="fr-FR"/>
        </w:rPr>
        <w:t> 86</w:t>
      </w:r>
    </w:p>
    <w:p w:rsidR="00A2239C" w:rsidRPr="00D16989" w:rsidRDefault="00A2239C" w:rsidP="00A2239C">
      <w:pPr>
        <w:pStyle w:val="H1G"/>
        <w:ind w:firstLine="0"/>
        <w:rPr>
          <w:szCs w:val="24"/>
          <w:lang w:val="fr-FR"/>
        </w:rPr>
      </w:pPr>
      <w:r w:rsidRPr="00D16989">
        <w:rPr>
          <w:lang w:val="fr-FR"/>
        </w:rPr>
        <w:t>Communication du groupe de travail informel de la simplification des</w:t>
      </w:r>
      <w:r w:rsidR="00376955">
        <w:rPr>
          <w:lang w:val="fr-FR"/>
        </w:rPr>
        <w:t> </w:t>
      </w:r>
      <w:r w:rsidRPr="00D16989">
        <w:rPr>
          <w:lang w:val="fr-FR"/>
        </w:rPr>
        <w:t>Règlements relatifs à l</w:t>
      </w:r>
      <w:r>
        <w:rPr>
          <w:lang w:val="fr-FR"/>
        </w:rPr>
        <w:t>’</w:t>
      </w:r>
      <w:r w:rsidRPr="00D16989">
        <w:rPr>
          <w:lang w:val="fr-FR"/>
        </w:rPr>
        <w:t>éclairage et à la signalisation lumineuse</w:t>
      </w:r>
      <w:r w:rsidRPr="00376955">
        <w:rPr>
          <w:b w:val="0"/>
          <w:sz w:val="20"/>
          <w:lang w:val="fr-FR"/>
        </w:rPr>
        <w:footnoteReference w:customMarkFollows="1" w:id="2"/>
        <w:t>*</w:t>
      </w:r>
    </w:p>
    <w:p w:rsidR="00A2239C" w:rsidRPr="00376955" w:rsidRDefault="00A2239C" w:rsidP="00A2239C">
      <w:pPr>
        <w:pStyle w:val="SingleTxtG"/>
        <w:ind w:firstLine="567"/>
        <w:rPr>
          <w:lang w:val="fr-FR"/>
        </w:rPr>
      </w:pPr>
      <w:r w:rsidRPr="00376955">
        <w:rPr>
          <w:lang w:val="fr-FR"/>
        </w:rPr>
        <w:t>Le texte ci-après, établi par le groupe de travail informel de la simplification des Règlements relatifs à l’éclairage et à la signalisation lumineuse, vise à ajouter dans la série originale d’amendements au Règlement n</w:t>
      </w:r>
      <w:r w:rsidR="00376955" w:rsidRPr="00376955">
        <w:rPr>
          <w:vertAlign w:val="superscript"/>
          <w:lang w:val="fr-FR"/>
        </w:rPr>
        <w:t>o</w:t>
      </w:r>
      <w:r w:rsidRPr="00376955">
        <w:rPr>
          <w:lang w:val="fr-FR"/>
        </w:rPr>
        <w:t> 86 des références aux trois nouveaux Règlements simplifiés portant respectivement sur les dispositifs de signalisation lumineuse (DSL), les dispositifs d’éclairage de la route (DER) et les dispositifs rétroréfléchissants (DRR). Les modifications qu’il est proposé d’apporter au texte actuel du Règlement n</w:t>
      </w:r>
      <w:r w:rsidR="00376955" w:rsidRPr="00376955">
        <w:rPr>
          <w:vertAlign w:val="superscript"/>
          <w:lang w:val="fr-FR"/>
        </w:rPr>
        <w:t>o</w:t>
      </w:r>
      <w:r w:rsidRPr="00376955">
        <w:rPr>
          <w:lang w:val="fr-FR"/>
        </w:rPr>
        <w:t xml:space="preserve"> 86 figurent en caractères gras pour les ajouts et biffés pour les suppressions. </w:t>
      </w:r>
      <w:r w:rsidRPr="00376955">
        <w:t>Les parties qui figurent entre crochets signifient que le texte concerné doit être examiné et faire l’objet d’une décision.</w:t>
      </w:r>
    </w:p>
    <w:p w:rsidR="00A2239C" w:rsidRPr="00D16989" w:rsidRDefault="00A2239C" w:rsidP="00A2239C">
      <w:pPr>
        <w:pStyle w:val="HChG"/>
        <w:jc w:val="both"/>
        <w:rPr>
          <w:lang w:val="fr-FR"/>
        </w:rPr>
      </w:pPr>
      <w:r w:rsidRPr="00D16989">
        <w:rPr>
          <w:b w:val="0"/>
          <w:lang w:val="fr-FR"/>
        </w:rPr>
        <w:br w:type="page"/>
      </w:r>
      <w:r w:rsidRPr="00D16989">
        <w:rPr>
          <w:lang w:val="fr-FR"/>
        </w:rPr>
        <w:lastRenderedPageBreak/>
        <w:tab/>
        <w:t>I.</w:t>
      </w:r>
      <w:r w:rsidRPr="00D16989">
        <w:rPr>
          <w:b w:val="0"/>
          <w:lang w:val="fr-FR"/>
        </w:rPr>
        <w:tab/>
      </w:r>
      <w:r w:rsidRPr="00D16989">
        <w:rPr>
          <w:lang w:val="fr-FR"/>
        </w:rPr>
        <w:t>Proposition</w:t>
      </w:r>
    </w:p>
    <w:p w:rsidR="00A2239C" w:rsidRPr="00D16989" w:rsidRDefault="00A2239C" w:rsidP="00E04FE8">
      <w:pPr>
        <w:pStyle w:val="SingleTxtG"/>
        <w:keepNext/>
        <w:rPr>
          <w:lang w:val="fr-FR"/>
        </w:rPr>
      </w:pPr>
      <w:r w:rsidRPr="00D16989">
        <w:rPr>
          <w:i/>
          <w:lang w:val="fr-FR"/>
        </w:rPr>
        <w:t>Paragraphe 2.20.1</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2.20.1</w:t>
      </w:r>
      <w:r w:rsidRPr="00D16989">
        <w:rPr>
          <w:lang w:val="fr-FR"/>
        </w:rPr>
        <w:tab/>
      </w:r>
      <w:r w:rsidR="00E04FE8">
        <w:rPr>
          <w:lang w:val="fr-FR"/>
        </w:rPr>
        <w:t>“</w:t>
      </w:r>
      <w:r w:rsidRPr="00D16989">
        <w:rPr>
          <w:i/>
          <w:lang w:val="fr-FR"/>
        </w:rPr>
        <w:t>Plaque de signalisation arrière pour véhicules lents</w:t>
      </w:r>
      <w:r w:rsidR="00E04FE8">
        <w:rPr>
          <w:lang w:val="fr-FR"/>
        </w:rPr>
        <w:t>”</w:t>
      </w:r>
      <w:r w:rsidRPr="00D16989">
        <w:rPr>
          <w:lang w:val="fr-FR"/>
        </w:rPr>
        <w:t>, une plaque triangulaire aux sommets tronqués ayant un dessin caractéristique et recouverte de matériaux ou dispositifs rétroréfléchissants et fluorescents (classe 1), ou de matériaux ou dispositifs rétroréfléchissants seulement (classe 2) (voir, par exemple, le Règlement n</w:t>
      </w:r>
      <w:r w:rsidRPr="00D16989">
        <w:rPr>
          <w:vertAlign w:val="superscript"/>
          <w:lang w:val="fr-FR"/>
        </w:rPr>
        <w:t>o</w:t>
      </w:r>
      <w:r w:rsidRPr="00D16989">
        <w:rPr>
          <w:lang w:val="fr-FR"/>
        </w:rPr>
        <w:t xml:space="preserve"> 69 </w:t>
      </w:r>
      <w:r w:rsidRPr="00F67666">
        <w:rPr>
          <w:b/>
          <w:lang w:val="fr-FR"/>
        </w:rPr>
        <w:t>ou [DRR]</w:t>
      </w:r>
      <w:r w:rsidRPr="00D16989">
        <w:rPr>
          <w:lang w:val="fr-FR"/>
        </w:rPr>
        <w:t>)</w:t>
      </w:r>
      <w:r w:rsidR="00E04FE8">
        <w:rPr>
          <w:lang w:val="fr-FR"/>
        </w:rPr>
        <w:t> ;</w:t>
      </w:r>
      <w:r w:rsidRPr="00D16989">
        <w:rPr>
          <w:lang w:val="fr-FR"/>
        </w:rPr>
        <w:t> ».</w:t>
      </w:r>
    </w:p>
    <w:p w:rsidR="00A2239C" w:rsidRPr="00D16989" w:rsidRDefault="00A2239C" w:rsidP="00E04FE8">
      <w:pPr>
        <w:pStyle w:val="SingleTxtG"/>
        <w:keepNext/>
        <w:rPr>
          <w:lang w:val="fr-FR"/>
        </w:rPr>
      </w:pPr>
      <w:r w:rsidRPr="00D16989">
        <w:rPr>
          <w:i/>
          <w:lang w:val="fr-FR"/>
        </w:rPr>
        <w:t>Paragraphe 6.1</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6.1</w:t>
      </w:r>
      <w:r w:rsidRPr="00D16989">
        <w:rPr>
          <w:lang w:val="fr-FR"/>
        </w:rPr>
        <w:tab/>
        <w:t>Feux de route (Règlements n</w:t>
      </w:r>
      <w:r w:rsidRPr="00D16989">
        <w:rPr>
          <w:vertAlign w:val="superscript"/>
          <w:lang w:val="fr-FR"/>
        </w:rPr>
        <w:t>os</w:t>
      </w:r>
      <w:r w:rsidRPr="00D16989">
        <w:rPr>
          <w:lang w:val="fr-FR"/>
        </w:rPr>
        <w:t xml:space="preserve"> 98, 112 et 113 </w:t>
      </w:r>
      <w:r w:rsidRPr="00F67666">
        <w:rPr>
          <w:b/>
          <w:lang w:val="fr-FR"/>
        </w:rPr>
        <w:t>ou [DER]</w:t>
      </w:r>
      <w:r w:rsidRPr="00D16989">
        <w:rPr>
          <w:lang w:val="fr-FR"/>
        </w:rPr>
        <w:t>) ».</w:t>
      </w:r>
    </w:p>
    <w:p w:rsidR="00A2239C" w:rsidRPr="00D16989" w:rsidRDefault="00A2239C" w:rsidP="00E04FE8">
      <w:pPr>
        <w:pStyle w:val="SingleTxtG"/>
        <w:keepNext/>
        <w:rPr>
          <w:lang w:val="fr-FR"/>
        </w:rPr>
      </w:pPr>
      <w:r w:rsidRPr="00D16989">
        <w:rPr>
          <w:i/>
          <w:lang w:val="fr-FR"/>
        </w:rPr>
        <w:t>Paragraphe 6.2</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6.2</w:t>
      </w:r>
      <w:r w:rsidRPr="00D16989">
        <w:rPr>
          <w:lang w:val="fr-FR"/>
        </w:rPr>
        <w:tab/>
        <w:t>Feux de croisement (Règlements n</w:t>
      </w:r>
      <w:r w:rsidRPr="00D16989">
        <w:rPr>
          <w:vertAlign w:val="superscript"/>
          <w:lang w:val="fr-FR"/>
        </w:rPr>
        <w:t>os</w:t>
      </w:r>
      <w:r w:rsidRPr="00D16989">
        <w:rPr>
          <w:lang w:val="fr-FR"/>
        </w:rPr>
        <w:t xml:space="preserve"> 98, 112 et 113 </w:t>
      </w:r>
      <w:r w:rsidRPr="00F67666">
        <w:rPr>
          <w:b/>
          <w:lang w:val="fr-FR"/>
        </w:rPr>
        <w:t>ou [DER]</w:t>
      </w:r>
      <w:r w:rsidRPr="00D16989">
        <w:rPr>
          <w:lang w:val="fr-FR"/>
        </w:rPr>
        <w:t>) ».</w:t>
      </w:r>
    </w:p>
    <w:p w:rsidR="00A2239C" w:rsidRPr="00D16989" w:rsidRDefault="00A2239C" w:rsidP="00E04FE8">
      <w:pPr>
        <w:pStyle w:val="SingleTxtG"/>
        <w:keepNext/>
        <w:rPr>
          <w:lang w:val="fr-FR"/>
        </w:rPr>
      </w:pPr>
      <w:r w:rsidRPr="00D16989">
        <w:rPr>
          <w:i/>
          <w:lang w:val="fr-FR"/>
        </w:rPr>
        <w:t>Paragraphe 6.3</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xml:space="preserve">« 6.3 </w:t>
      </w:r>
      <w:r w:rsidRPr="00D16989">
        <w:rPr>
          <w:lang w:val="fr-FR"/>
        </w:rPr>
        <w:tab/>
        <w:t>Feux de brouillard avant (Règlement n</w:t>
      </w:r>
      <w:r w:rsidRPr="00D16989">
        <w:rPr>
          <w:vertAlign w:val="superscript"/>
          <w:lang w:val="fr-FR"/>
        </w:rPr>
        <w:t>o</w:t>
      </w:r>
      <w:r w:rsidRPr="00D16989">
        <w:rPr>
          <w:lang w:val="fr-FR"/>
        </w:rPr>
        <w:t xml:space="preserve"> 19 </w:t>
      </w:r>
      <w:r w:rsidRPr="00F67666">
        <w:rPr>
          <w:b/>
          <w:lang w:val="fr-FR"/>
        </w:rPr>
        <w:t>ou [DER]</w:t>
      </w:r>
      <w:r w:rsidRPr="00D16989">
        <w:rPr>
          <w:lang w:val="fr-FR"/>
        </w:rPr>
        <w:t>) »</w:t>
      </w:r>
      <w:r>
        <w:rPr>
          <w:lang w:val="fr-FR"/>
        </w:rPr>
        <w:t>.</w:t>
      </w:r>
    </w:p>
    <w:p w:rsidR="00A2239C" w:rsidRPr="00D16989" w:rsidRDefault="00A2239C" w:rsidP="00E04FE8">
      <w:pPr>
        <w:pStyle w:val="SingleTxtG"/>
        <w:keepNext/>
        <w:rPr>
          <w:lang w:val="fr-FR"/>
        </w:rPr>
      </w:pPr>
      <w:r w:rsidRPr="00D16989">
        <w:rPr>
          <w:i/>
          <w:lang w:val="fr-FR"/>
        </w:rPr>
        <w:t>Paragraphe 6.4</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6.4</w:t>
      </w:r>
      <w:r w:rsidRPr="00D16989">
        <w:rPr>
          <w:lang w:val="fr-FR"/>
        </w:rPr>
        <w:tab/>
        <w:t>Feu(x) de marche arrière (Règlement n</w:t>
      </w:r>
      <w:r w:rsidRPr="00D16989">
        <w:rPr>
          <w:vertAlign w:val="superscript"/>
          <w:lang w:val="fr-FR"/>
        </w:rPr>
        <w:t>o</w:t>
      </w:r>
      <w:r w:rsidRPr="00D16989">
        <w:rPr>
          <w:lang w:val="fr-FR"/>
        </w:rPr>
        <w:t xml:space="preserve"> 23 </w:t>
      </w:r>
      <w:r w:rsidRPr="00F67666">
        <w:rPr>
          <w:b/>
          <w:lang w:val="fr-FR"/>
        </w:rPr>
        <w:t>ou [DSL]</w:t>
      </w:r>
      <w:r w:rsidRPr="00D16989">
        <w:rPr>
          <w:lang w:val="fr-FR"/>
        </w:rPr>
        <w:t>) »</w:t>
      </w:r>
      <w:r>
        <w:rPr>
          <w:lang w:val="fr-FR"/>
        </w:rPr>
        <w:t>.</w:t>
      </w:r>
    </w:p>
    <w:p w:rsidR="00A2239C" w:rsidRPr="00D16989" w:rsidRDefault="00A2239C" w:rsidP="00E04FE8">
      <w:pPr>
        <w:pStyle w:val="SingleTxtG"/>
        <w:keepNext/>
        <w:rPr>
          <w:lang w:val="fr-FR"/>
        </w:rPr>
      </w:pPr>
      <w:r w:rsidRPr="00D16989">
        <w:rPr>
          <w:i/>
          <w:lang w:val="fr-FR"/>
        </w:rPr>
        <w:t>Paragraphe 6.5</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6.5</w:t>
      </w:r>
      <w:r w:rsidRPr="00D16989">
        <w:rPr>
          <w:lang w:val="fr-FR"/>
        </w:rPr>
        <w:tab/>
        <w:t>Feux indicateurs de direction (Règlement n</w:t>
      </w:r>
      <w:r w:rsidRPr="00D16989">
        <w:rPr>
          <w:vertAlign w:val="superscript"/>
          <w:lang w:val="fr-FR"/>
        </w:rPr>
        <w:t>o</w:t>
      </w:r>
      <w:r w:rsidRPr="00D16989">
        <w:rPr>
          <w:lang w:val="fr-FR"/>
        </w:rPr>
        <w:t xml:space="preserve"> 6 </w:t>
      </w:r>
      <w:r w:rsidRPr="00F67666">
        <w:rPr>
          <w:b/>
          <w:lang w:val="fr-FR"/>
        </w:rPr>
        <w:t>ou [DSL</w:t>
      </w:r>
      <w:r>
        <w:rPr>
          <w:b/>
          <w:lang w:val="fr-FR"/>
        </w:rPr>
        <w:t>]</w:t>
      </w:r>
      <w:r w:rsidRPr="00D16989">
        <w:rPr>
          <w:lang w:val="fr-FR"/>
        </w:rPr>
        <w:t>) »</w:t>
      </w:r>
      <w:r>
        <w:rPr>
          <w:lang w:val="fr-FR"/>
        </w:rPr>
        <w:t>.</w:t>
      </w:r>
    </w:p>
    <w:p w:rsidR="00A2239C" w:rsidRPr="00D16989" w:rsidRDefault="00A2239C" w:rsidP="00E04FE8">
      <w:pPr>
        <w:pStyle w:val="SingleTxtG"/>
        <w:keepNext/>
        <w:rPr>
          <w:lang w:val="fr-FR"/>
        </w:rPr>
      </w:pPr>
      <w:r w:rsidRPr="00A2239C">
        <w:rPr>
          <w:i/>
          <w:lang w:val="fr-FR"/>
        </w:rPr>
        <w:t>Paragraphes 6.7 et 6.7.1</w:t>
      </w:r>
      <w:r w:rsidRPr="00D16989">
        <w:rPr>
          <w:lang w:val="fr-FR"/>
        </w:rPr>
        <w:t>, 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6.7</w:t>
      </w:r>
      <w:r w:rsidRPr="00D16989">
        <w:rPr>
          <w:lang w:val="fr-FR"/>
        </w:rPr>
        <w:tab/>
        <w:t>Feux-stop (Règlement n</w:t>
      </w:r>
      <w:r w:rsidRPr="00D16989">
        <w:rPr>
          <w:vertAlign w:val="superscript"/>
          <w:lang w:val="fr-FR"/>
        </w:rPr>
        <w:t>o</w:t>
      </w:r>
      <w:r w:rsidRPr="00D16989">
        <w:rPr>
          <w:lang w:val="fr-FR"/>
        </w:rPr>
        <w:t xml:space="preserve"> 7 </w:t>
      </w:r>
      <w:r w:rsidRPr="00F67666">
        <w:rPr>
          <w:b/>
          <w:lang w:val="fr-FR"/>
        </w:rPr>
        <w:t>ou [DSL]</w:t>
      </w:r>
      <w:r w:rsidRPr="00D16989">
        <w:rPr>
          <w:lang w:val="fr-FR"/>
        </w:rPr>
        <w:t>)</w:t>
      </w:r>
    </w:p>
    <w:p w:rsidR="00A2239C" w:rsidRPr="00D16989" w:rsidRDefault="00A2239C" w:rsidP="00404A7B">
      <w:pPr>
        <w:pStyle w:val="SingleTxtG"/>
        <w:ind w:left="2268" w:hanging="1134"/>
        <w:rPr>
          <w:lang w:val="fr-FR" w:eastAsia="fi-FI"/>
        </w:rPr>
      </w:pPr>
      <w:r w:rsidRPr="00D16989">
        <w:rPr>
          <w:lang w:val="fr-FR" w:eastAsia="fi-FI"/>
        </w:rPr>
        <w:t>6.7.1</w:t>
      </w:r>
      <w:r w:rsidRPr="00D16989">
        <w:rPr>
          <w:lang w:val="fr-FR" w:eastAsia="fi-FI"/>
        </w:rPr>
        <w:tab/>
        <w:t>Présence</w:t>
      </w:r>
      <w:r w:rsidR="00E04FE8">
        <w:rPr>
          <w:lang w:val="fr-FR" w:eastAsia="fi-FI"/>
        </w:rPr>
        <w:t> :</w:t>
      </w:r>
      <w:r w:rsidRPr="00D16989">
        <w:rPr>
          <w:lang w:val="fr-FR" w:eastAsia="fi-FI"/>
        </w:rPr>
        <w:t xml:space="preserve"> </w:t>
      </w:r>
      <w:r w:rsidRPr="00D16989">
        <w:rPr>
          <w:lang w:val="fr-FR"/>
        </w:rPr>
        <w:t>Dispositifs des catégories S1 ou S2 tels qu</w:t>
      </w:r>
      <w:r>
        <w:rPr>
          <w:lang w:val="fr-FR"/>
        </w:rPr>
        <w:t>’</w:t>
      </w:r>
      <w:r w:rsidRPr="00D16989">
        <w:rPr>
          <w:lang w:val="fr-FR"/>
        </w:rPr>
        <w:t>ils sont décrits dans le Règlement n</w:t>
      </w:r>
      <w:r w:rsidRPr="00D16989">
        <w:rPr>
          <w:vertAlign w:val="superscript"/>
          <w:lang w:val="fr-FR"/>
        </w:rPr>
        <w:t>o</w:t>
      </w:r>
      <w:r w:rsidRPr="00D16989">
        <w:rPr>
          <w:lang w:val="fr-FR"/>
        </w:rPr>
        <w:t xml:space="preserve"> 7 </w:t>
      </w:r>
      <w:r w:rsidRPr="00F67666">
        <w:rPr>
          <w:b/>
          <w:lang w:val="fr-FR"/>
        </w:rPr>
        <w:t>ou [DSL]</w:t>
      </w:r>
      <w:r w:rsidR="00E04FE8">
        <w:rPr>
          <w:lang w:val="fr-FR"/>
        </w:rPr>
        <w:t> :</w:t>
      </w:r>
      <w:r w:rsidRPr="00D16989">
        <w:rPr>
          <w:lang w:val="fr-FR"/>
        </w:rPr>
        <w:t xml:space="preserve"> obligatoires sur tous les véhicules.</w:t>
      </w:r>
    </w:p>
    <w:p w:rsidR="00A2239C" w:rsidRPr="00D16989" w:rsidRDefault="00A2239C" w:rsidP="00404A7B">
      <w:pPr>
        <w:pStyle w:val="SingleTxtG"/>
        <w:ind w:left="2268"/>
        <w:rPr>
          <w:lang w:val="fr-FR" w:eastAsia="fi-FI"/>
        </w:rPr>
      </w:pPr>
      <w:r w:rsidRPr="00D16989">
        <w:rPr>
          <w:lang w:val="fr-FR"/>
        </w:rPr>
        <w:t>Dispositifs des catégories S3 ou S4 tels qu</w:t>
      </w:r>
      <w:r>
        <w:rPr>
          <w:lang w:val="fr-FR"/>
        </w:rPr>
        <w:t>’</w:t>
      </w:r>
      <w:r w:rsidRPr="00D16989">
        <w:rPr>
          <w:lang w:val="fr-FR"/>
        </w:rPr>
        <w:t>ils sont décrits dans le Règlement n</w:t>
      </w:r>
      <w:r w:rsidRPr="00D16989">
        <w:rPr>
          <w:vertAlign w:val="superscript"/>
          <w:lang w:val="fr-FR"/>
        </w:rPr>
        <w:t>o</w:t>
      </w:r>
      <w:r w:rsidRPr="00D16989">
        <w:rPr>
          <w:lang w:val="fr-FR"/>
        </w:rPr>
        <w:t xml:space="preserve"> 7 </w:t>
      </w:r>
      <w:r w:rsidRPr="00F67666">
        <w:rPr>
          <w:b/>
          <w:lang w:val="fr-FR"/>
        </w:rPr>
        <w:t>ou [DSL]</w:t>
      </w:r>
      <w:r w:rsidR="00E04FE8">
        <w:rPr>
          <w:lang w:val="fr-FR"/>
        </w:rPr>
        <w:t> :</w:t>
      </w:r>
      <w:r w:rsidRPr="00D16989">
        <w:rPr>
          <w:lang w:val="fr-FR"/>
        </w:rPr>
        <w:t xml:space="preserve"> facultatifs sur tous les véhicules. »</w:t>
      </w:r>
      <w:r>
        <w:rPr>
          <w:lang w:val="fr-FR" w:eastAsia="fi-FI"/>
        </w:rPr>
        <w:t>.</w:t>
      </w:r>
    </w:p>
    <w:p w:rsidR="00A2239C" w:rsidRPr="00D16989" w:rsidRDefault="00A2239C" w:rsidP="00404A7B">
      <w:pPr>
        <w:pStyle w:val="SingleTxtG"/>
        <w:keepNext/>
        <w:rPr>
          <w:lang w:val="fr-FR"/>
        </w:rPr>
      </w:pPr>
      <w:r w:rsidRPr="00D16989">
        <w:rPr>
          <w:i/>
          <w:lang w:val="fr-FR"/>
        </w:rPr>
        <w:t>Paragraphe 6.8</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6.8</w:t>
      </w:r>
      <w:r w:rsidRPr="00D16989">
        <w:rPr>
          <w:lang w:val="fr-FR"/>
        </w:rPr>
        <w:tab/>
        <w:t>Feux de position avant (Règlement n</w:t>
      </w:r>
      <w:r w:rsidRPr="00D16989">
        <w:rPr>
          <w:vertAlign w:val="superscript"/>
          <w:lang w:val="fr-FR"/>
        </w:rPr>
        <w:t>o</w:t>
      </w:r>
      <w:r w:rsidRPr="00D16989">
        <w:rPr>
          <w:lang w:val="fr-FR"/>
        </w:rPr>
        <w:t xml:space="preserve"> 7 </w:t>
      </w:r>
      <w:r w:rsidRPr="00F67666">
        <w:rPr>
          <w:b/>
          <w:lang w:val="fr-FR"/>
        </w:rPr>
        <w:t>ou [DSL]</w:t>
      </w:r>
      <w:r w:rsidRPr="00D16989">
        <w:rPr>
          <w:lang w:val="fr-FR"/>
        </w:rPr>
        <w:t>) »</w:t>
      </w:r>
      <w:r>
        <w:rPr>
          <w:lang w:val="fr-FR"/>
        </w:rPr>
        <w:t>.</w:t>
      </w:r>
    </w:p>
    <w:p w:rsidR="00A2239C" w:rsidRPr="00D16989" w:rsidRDefault="00A2239C" w:rsidP="00404A7B">
      <w:pPr>
        <w:pStyle w:val="SingleTxtG"/>
        <w:keepNext/>
        <w:rPr>
          <w:lang w:val="fr-FR"/>
        </w:rPr>
      </w:pPr>
      <w:r w:rsidRPr="00D16989">
        <w:rPr>
          <w:i/>
          <w:lang w:val="fr-FR"/>
        </w:rPr>
        <w:t>Paragraphe 6.9</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6.9</w:t>
      </w:r>
      <w:r w:rsidRPr="00D16989">
        <w:rPr>
          <w:lang w:val="fr-FR"/>
        </w:rPr>
        <w:tab/>
        <w:t>Feux de position arrière (Règlement n</w:t>
      </w:r>
      <w:r w:rsidRPr="00D16989">
        <w:rPr>
          <w:vertAlign w:val="superscript"/>
          <w:lang w:val="fr-FR"/>
        </w:rPr>
        <w:t>o</w:t>
      </w:r>
      <w:r w:rsidRPr="00D16989">
        <w:rPr>
          <w:lang w:val="fr-FR"/>
        </w:rPr>
        <w:t> 7</w:t>
      </w:r>
      <w:r w:rsidRPr="00D16989">
        <w:rPr>
          <w:lang w:val="fr-FR" w:eastAsia="fi-FI"/>
        </w:rPr>
        <w:t xml:space="preserve"> </w:t>
      </w:r>
      <w:r w:rsidRPr="00F67666">
        <w:rPr>
          <w:b/>
          <w:lang w:val="fr-FR"/>
        </w:rPr>
        <w:t>ou [DSL]</w:t>
      </w:r>
      <w:r w:rsidRPr="00D16989">
        <w:rPr>
          <w:lang w:val="fr-FR"/>
        </w:rPr>
        <w:t>) »</w:t>
      </w:r>
      <w:r>
        <w:rPr>
          <w:lang w:val="fr-FR"/>
        </w:rPr>
        <w:t>.</w:t>
      </w:r>
    </w:p>
    <w:p w:rsidR="00A2239C" w:rsidRPr="00D16989" w:rsidRDefault="00A2239C" w:rsidP="00404A7B">
      <w:pPr>
        <w:pStyle w:val="SingleTxtG"/>
        <w:keepNext/>
        <w:rPr>
          <w:lang w:val="fr-FR"/>
        </w:rPr>
      </w:pPr>
      <w:r w:rsidRPr="00D16989">
        <w:rPr>
          <w:i/>
          <w:lang w:val="fr-FR"/>
        </w:rPr>
        <w:t>Paragraphe 6.10</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6.10</w:t>
      </w:r>
      <w:r w:rsidRPr="00D16989">
        <w:rPr>
          <w:lang w:val="fr-FR"/>
        </w:rPr>
        <w:tab/>
      </w:r>
      <w:r w:rsidRPr="00D16989">
        <w:rPr>
          <w:spacing w:val="-2"/>
          <w:lang w:val="fr-FR"/>
        </w:rPr>
        <w:t>Feu(x) de brouillard arrière</w:t>
      </w:r>
      <w:r w:rsidR="00404A7B">
        <w:rPr>
          <w:spacing w:val="-2"/>
          <w:lang w:val="fr-FR"/>
        </w:rPr>
        <w:t xml:space="preserve"> </w:t>
      </w:r>
      <w:r w:rsidRPr="00D16989">
        <w:rPr>
          <w:lang w:val="fr-FR"/>
        </w:rPr>
        <w:t>(Règlement n</w:t>
      </w:r>
      <w:r w:rsidRPr="00D16989">
        <w:rPr>
          <w:vertAlign w:val="superscript"/>
          <w:lang w:val="fr-FR"/>
        </w:rPr>
        <w:t>o</w:t>
      </w:r>
      <w:r w:rsidRPr="00D16989">
        <w:rPr>
          <w:lang w:val="fr-FR"/>
        </w:rPr>
        <w:t> 38</w:t>
      </w:r>
      <w:r w:rsidRPr="00D16989">
        <w:rPr>
          <w:lang w:val="fr-FR" w:eastAsia="fi-FI"/>
        </w:rPr>
        <w:t xml:space="preserve"> </w:t>
      </w:r>
      <w:r w:rsidRPr="00F67666">
        <w:rPr>
          <w:b/>
          <w:lang w:val="fr-FR"/>
        </w:rPr>
        <w:t>ou [DSL]</w:t>
      </w:r>
      <w:r w:rsidRPr="00D16989">
        <w:rPr>
          <w:lang w:val="fr-FR"/>
        </w:rPr>
        <w:t>) »</w:t>
      </w:r>
      <w:r>
        <w:rPr>
          <w:lang w:val="fr-FR"/>
        </w:rPr>
        <w:t>.</w:t>
      </w:r>
    </w:p>
    <w:p w:rsidR="00A2239C" w:rsidRPr="00D16989" w:rsidRDefault="00A2239C" w:rsidP="00404A7B">
      <w:pPr>
        <w:pStyle w:val="SingleTxtG"/>
        <w:keepNext/>
        <w:rPr>
          <w:lang w:val="fr-FR"/>
        </w:rPr>
      </w:pPr>
      <w:r w:rsidRPr="00D16989">
        <w:rPr>
          <w:i/>
          <w:lang w:val="fr-FR"/>
        </w:rPr>
        <w:t>Paragraphe 6.11</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6.11</w:t>
      </w:r>
      <w:r w:rsidRPr="00D16989">
        <w:rPr>
          <w:lang w:val="fr-FR"/>
        </w:rPr>
        <w:tab/>
        <w:t>Feux de stationnement (Règlement n</w:t>
      </w:r>
      <w:r w:rsidRPr="00D16989">
        <w:rPr>
          <w:vertAlign w:val="superscript"/>
          <w:lang w:val="fr-FR"/>
        </w:rPr>
        <w:t>o</w:t>
      </w:r>
      <w:r w:rsidRPr="00D16989">
        <w:rPr>
          <w:lang w:val="fr-FR"/>
        </w:rPr>
        <w:t xml:space="preserve"> 77 ou 7 </w:t>
      </w:r>
      <w:r w:rsidRPr="00F67666">
        <w:rPr>
          <w:b/>
          <w:lang w:val="fr-FR"/>
        </w:rPr>
        <w:t>ou [DSL]</w:t>
      </w:r>
      <w:r w:rsidRPr="00D16989">
        <w:rPr>
          <w:lang w:val="fr-FR"/>
        </w:rPr>
        <w:t>) »</w:t>
      </w:r>
      <w:r>
        <w:rPr>
          <w:lang w:val="fr-FR"/>
        </w:rPr>
        <w:t>.</w:t>
      </w:r>
    </w:p>
    <w:p w:rsidR="00A2239C" w:rsidRPr="00D16989" w:rsidRDefault="00A2239C" w:rsidP="00404A7B">
      <w:pPr>
        <w:pStyle w:val="SingleTxtG"/>
        <w:keepNext/>
        <w:rPr>
          <w:lang w:val="fr-FR"/>
        </w:rPr>
      </w:pPr>
      <w:r w:rsidRPr="00D16989">
        <w:rPr>
          <w:i/>
          <w:lang w:val="fr-FR"/>
        </w:rPr>
        <w:t>Paragraphe 6.12</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6.12</w:t>
      </w:r>
      <w:r w:rsidRPr="00D16989">
        <w:rPr>
          <w:lang w:val="fr-FR"/>
        </w:rPr>
        <w:tab/>
        <w:t>Feux de gabarit (Règlement n</w:t>
      </w:r>
      <w:r w:rsidRPr="00D16989">
        <w:rPr>
          <w:vertAlign w:val="superscript"/>
          <w:lang w:val="fr-FR"/>
        </w:rPr>
        <w:t>o</w:t>
      </w:r>
      <w:r w:rsidRPr="00D16989">
        <w:rPr>
          <w:lang w:val="fr-FR"/>
        </w:rPr>
        <w:t xml:space="preserve"> 7 </w:t>
      </w:r>
      <w:r w:rsidRPr="00F67666">
        <w:rPr>
          <w:b/>
          <w:lang w:val="fr-FR"/>
        </w:rPr>
        <w:t>ou [DSL]</w:t>
      </w:r>
      <w:r w:rsidRPr="00D16989">
        <w:rPr>
          <w:lang w:val="fr-FR"/>
        </w:rPr>
        <w:t>) »</w:t>
      </w:r>
      <w:r>
        <w:rPr>
          <w:lang w:val="fr-FR"/>
        </w:rPr>
        <w:t>.</w:t>
      </w:r>
    </w:p>
    <w:p w:rsidR="00A2239C" w:rsidRPr="00D16989" w:rsidRDefault="00A2239C" w:rsidP="00322A77">
      <w:pPr>
        <w:pStyle w:val="SingleTxtG"/>
        <w:keepNext/>
        <w:rPr>
          <w:lang w:val="fr-FR"/>
        </w:rPr>
      </w:pPr>
      <w:r w:rsidRPr="00D16989">
        <w:rPr>
          <w:i/>
          <w:lang w:val="fr-FR"/>
        </w:rPr>
        <w:t>Paragraphe 6.14</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6.14</w:t>
      </w:r>
      <w:r w:rsidRPr="00D16989">
        <w:rPr>
          <w:lang w:val="fr-FR"/>
        </w:rPr>
        <w:tab/>
        <w:t>Catadioptres arrière non triangulaires (Règlement n</w:t>
      </w:r>
      <w:r w:rsidRPr="00D16989">
        <w:rPr>
          <w:vertAlign w:val="superscript"/>
          <w:lang w:val="fr-FR"/>
        </w:rPr>
        <w:t>o</w:t>
      </w:r>
      <w:r w:rsidRPr="00D16989">
        <w:rPr>
          <w:lang w:val="fr-FR"/>
        </w:rPr>
        <w:t xml:space="preserve"> 3 </w:t>
      </w:r>
      <w:r w:rsidRPr="00F67666">
        <w:rPr>
          <w:b/>
          <w:lang w:val="fr-FR"/>
        </w:rPr>
        <w:t>ou [DRR]</w:t>
      </w:r>
      <w:r w:rsidRPr="00D16989">
        <w:rPr>
          <w:lang w:val="fr-FR"/>
        </w:rPr>
        <w:t>) »</w:t>
      </w:r>
      <w:r>
        <w:rPr>
          <w:lang w:val="fr-FR"/>
        </w:rPr>
        <w:t>.</w:t>
      </w:r>
    </w:p>
    <w:p w:rsidR="00A2239C" w:rsidRPr="00D16989" w:rsidRDefault="00A2239C" w:rsidP="00322A77">
      <w:pPr>
        <w:pStyle w:val="SingleTxtG"/>
        <w:keepNext/>
        <w:rPr>
          <w:lang w:val="fr-FR"/>
        </w:rPr>
      </w:pPr>
      <w:r w:rsidRPr="00D16989">
        <w:rPr>
          <w:i/>
          <w:lang w:val="fr-FR"/>
        </w:rPr>
        <w:t>Paragraphe 6.14.2</w:t>
      </w:r>
      <w:r w:rsidRPr="00A2239C">
        <w:rPr>
          <w:lang w:val="fr-FR"/>
        </w:rPr>
        <w:t>,</w:t>
      </w:r>
      <w:r w:rsidRPr="00D16989">
        <w:rPr>
          <w:i/>
          <w:lang w:val="fr-FR"/>
        </w:rPr>
        <w:t xml:space="preserve"> </w:t>
      </w:r>
      <w:r w:rsidRPr="00BF21D4">
        <w:rPr>
          <w:lang w:val="fr-FR"/>
        </w:rPr>
        <w:t>modifier comme suit</w:t>
      </w:r>
      <w:r w:rsidR="00E04FE8">
        <w:rPr>
          <w:i/>
          <w:lang w:val="fr-FR"/>
        </w:rPr>
        <w:t> :</w:t>
      </w:r>
    </w:p>
    <w:p w:rsidR="00A2239C" w:rsidRPr="00D16989" w:rsidRDefault="00A2239C" w:rsidP="00A2239C">
      <w:pPr>
        <w:pStyle w:val="SingleTxtG"/>
        <w:ind w:left="2268" w:hanging="1134"/>
        <w:rPr>
          <w:lang w:val="fr-FR" w:eastAsia="fi-FI"/>
        </w:rPr>
      </w:pPr>
      <w:r w:rsidRPr="00D16989">
        <w:rPr>
          <w:lang w:val="fr-FR"/>
        </w:rPr>
        <w:t>« 6.14.2</w:t>
      </w:r>
      <w:r w:rsidRPr="00D16989">
        <w:rPr>
          <w:lang w:val="fr-FR"/>
        </w:rPr>
        <w:tab/>
        <w:t>Nombre</w:t>
      </w:r>
      <w:r w:rsidR="00E04FE8">
        <w:rPr>
          <w:lang w:val="fr-FR"/>
        </w:rPr>
        <w:t> :</w:t>
      </w:r>
      <w:r w:rsidRPr="00D16989">
        <w:rPr>
          <w:lang w:val="fr-FR"/>
        </w:rPr>
        <w:t xml:space="preserve"> </w:t>
      </w:r>
      <w:r w:rsidR="00322A77">
        <w:rPr>
          <w:lang w:val="fr-FR"/>
        </w:rPr>
        <w:t>Deux ou quatre (voir par. </w:t>
      </w:r>
      <w:r w:rsidRPr="00D16989">
        <w:rPr>
          <w:lang w:val="fr-FR"/>
        </w:rPr>
        <w:t>6.14.5.1).</w:t>
      </w:r>
      <w:r>
        <w:rPr>
          <w:lang w:val="fr-FR"/>
        </w:rPr>
        <w:t> </w:t>
      </w:r>
      <w:r w:rsidRPr="00D16989">
        <w:rPr>
          <w:lang w:val="fr-FR" w:eastAsia="fi-FI"/>
        </w:rPr>
        <w:t>».</w:t>
      </w:r>
    </w:p>
    <w:p w:rsidR="00A2239C" w:rsidRPr="00D16989" w:rsidRDefault="00A2239C" w:rsidP="00322A77">
      <w:pPr>
        <w:pStyle w:val="SingleTxtG"/>
        <w:keepNext/>
        <w:rPr>
          <w:lang w:val="fr-FR"/>
        </w:rPr>
      </w:pPr>
      <w:r w:rsidRPr="00D16989">
        <w:rPr>
          <w:i/>
          <w:lang w:val="fr-FR"/>
        </w:rPr>
        <w:t>Paragraphe 6.15</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6.15</w:t>
      </w:r>
      <w:r w:rsidRPr="00D16989">
        <w:rPr>
          <w:lang w:val="fr-FR"/>
        </w:rPr>
        <w:tab/>
        <w:t>Catadioptres latéraux non triangulaires (Règlement n</w:t>
      </w:r>
      <w:r w:rsidRPr="00D16989">
        <w:rPr>
          <w:vertAlign w:val="superscript"/>
          <w:lang w:val="fr-FR"/>
        </w:rPr>
        <w:t>o</w:t>
      </w:r>
      <w:r w:rsidRPr="00D16989">
        <w:rPr>
          <w:lang w:val="fr-FR"/>
        </w:rPr>
        <w:t xml:space="preserve"> 3 </w:t>
      </w:r>
      <w:r w:rsidRPr="00F67666">
        <w:rPr>
          <w:b/>
          <w:lang w:val="fr-FR"/>
        </w:rPr>
        <w:t>ou [DRR]</w:t>
      </w:r>
      <w:r w:rsidRPr="00D16989">
        <w:rPr>
          <w:lang w:val="fr-FR"/>
        </w:rPr>
        <w:t>) »</w:t>
      </w:r>
      <w:r>
        <w:rPr>
          <w:lang w:val="fr-FR"/>
        </w:rPr>
        <w:t>.</w:t>
      </w:r>
    </w:p>
    <w:p w:rsidR="00A2239C" w:rsidRPr="00D16989" w:rsidRDefault="00A2239C" w:rsidP="00322A77">
      <w:pPr>
        <w:pStyle w:val="SingleTxtG"/>
        <w:keepNext/>
        <w:rPr>
          <w:lang w:val="fr-FR"/>
        </w:rPr>
      </w:pPr>
      <w:r w:rsidRPr="00D16989">
        <w:rPr>
          <w:i/>
          <w:lang w:val="fr-FR"/>
        </w:rPr>
        <w:lastRenderedPageBreak/>
        <w:t>Paragraphe 6.15.2</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322A77">
      <w:pPr>
        <w:pStyle w:val="SingleTxtG"/>
        <w:keepNext/>
        <w:tabs>
          <w:tab w:val="left" w:pos="3686"/>
        </w:tabs>
        <w:ind w:left="2268" w:hanging="1134"/>
        <w:rPr>
          <w:lang w:val="fr-FR" w:eastAsia="fi-FI"/>
        </w:rPr>
      </w:pPr>
      <w:r w:rsidRPr="00D16989">
        <w:rPr>
          <w:lang w:val="fr-FR"/>
        </w:rPr>
        <w:t>« 6.15.2</w:t>
      </w:r>
      <w:r w:rsidRPr="00D16989">
        <w:rPr>
          <w:lang w:val="fr-FR"/>
        </w:rPr>
        <w:tab/>
      </w:r>
      <w:r w:rsidRPr="00D16989">
        <w:rPr>
          <w:lang w:val="fr-FR" w:eastAsia="fi-FI"/>
        </w:rPr>
        <w:t>Nombre</w:t>
      </w:r>
      <w:r w:rsidR="00E04FE8">
        <w:rPr>
          <w:lang w:val="fr-FR" w:eastAsia="fi-FI"/>
        </w:rPr>
        <w:t> :</w:t>
      </w:r>
      <w:r w:rsidRPr="00D16989">
        <w:rPr>
          <w:lang w:val="fr-FR" w:eastAsia="fi-FI"/>
        </w:rPr>
        <w:t xml:space="preserve"> </w:t>
      </w:r>
    </w:p>
    <w:p w:rsidR="00A2239C" w:rsidRPr="00D16989" w:rsidRDefault="00A2239C" w:rsidP="00A2239C">
      <w:pPr>
        <w:pStyle w:val="SingleTxtG"/>
        <w:ind w:left="2268"/>
        <w:rPr>
          <w:lang w:val="fr-FR" w:eastAsia="fi-FI"/>
        </w:rPr>
      </w:pPr>
      <w:r w:rsidRPr="00D16989">
        <w:rPr>
          <w:lang w:val="fr-FR"/>
        </w:rPr>
        <w:t>Tel que les prescriptions relatives au positionnement en longueur soient respectées. Les caractéristiques de ces dispositifs doivent être conformes aux prescriptions concernant les catadioptres de la classe IA ou IB, énoncées dans le Règlement n</w:t>
      </w:r>
      <w:r w:rsidRPr="00D16989">
        <w:rPr>
          <w:vertAlign w:val="superscript"/>
          <w:lang w:val="fr-FR"/>
        </w:rPr>
        <w:t>o</w:t>
      </w:r>
      <w:r w:rsidRPr="00D16989">
        <w:rPr>
          <w:lang w:val="fr-FR"/>
        </w:rPr>
        <w:t xml:space="preserve"> 3 </w:t>
      </w:r>
      <w:r w:rsidRPr="00F67666">
        <w:rPr>
          <w:b/>
          <w:lang w:val="fr-FR"/>
        </w:rPr>
        <w:t>ou [DRR]</w:t>
      </w:r>
      <w:r w:rsidRPr="00D16989">
        <w:rPr>
          <w:lang w:val="fr-FR"/>
        </w:rPr>
        <w:t>.</w:t>
      </w:r>
    </w:p>
    <w:p w:rsidR="00A2239C" w:rsidRPr="00D16989" w:rsidRDefault="00A2239C" w:rsidP="00A2239C">
      <w:pPr>
        <w:pStyle w:val="SingleTxtG"/>
        <w:ind w:left="2268"/>
        <w:rPr>
          <w:lang w:val="fr-FR"/>
        </w:rPr>
      </w:pPr>
      <w:r w:rsidRPr="00D16989">
        <w:rPr>
          <w:lang w:val="fr-FR"/>
        </w:rPr>
        <w:t>Les dispositifs et matériaux ré</w:t>
      </w:r>
      <w:r w:rsidR="00322A77">
        <w:rPr>
          <w:lang w:val="fr-FR"/>
        </w:rPr>
        <w:t xml:space="preserve">fléchissants supplémentaires (y </w:t>
      </w:r>
      <w:r w:rsidRPr="00D16989">
        <w:rPr>
          <w:lang w:val="fr-FR"/>
        </w:rPr>
        <w:t xml:space="preserve">compris deux catadioptres ne répondant pas </w:t>
      </w:r>
      <w:r w:rsidR="00322A77">
        <w:rPr>
          <w:lang w:val="fr-FR"/>
        </w:rPr>
        <w:t>aux prescriptions du paragraphe 6.15.4 ci</w:t>
      </w:r>
      <w:r w:rsidR="00322A77">
        <w:rPr>
          <w:lang w:val="fr-FR"/>
        </w:rPr>
        <w:noBreakHyphen/>
      </w:r>
      <w:r w:rsidRPr="00D16989">
        <w:rPr>
          <w:lang w:val="fr-FR"/>
        </w:rPr>
        <w:t>dessous) sont autorisés à condition qu</w:t>
      </w:r>
      <w:r>
        <w:rPr>
          <w:lang w:val="fr-FR"/>
        </w:rPr>
        <w:t>’</w:t>
      </w:r>
      <w:r w:rsidRPr="00D16989">
        <w:rPr>
          <w:lang w:val="fr-FR"/>
        </w:rPr>
        <w:t>ils ne nuisent pas à l</w:t>
      </w:r>
      <w:r>
        <w:rPr>
          <w:lang w:val="fr-FR"/>
        </w:rPr>
        <w:t>’</w:t>
      </w:r>
      <w:r w:rsidRPr="00D16989">
        <w:rPr>
          <w:lang w:val="fr-FR"/>
        </w:rPr>
        <w:t>efficacité des dispositifs d</w:t>
      </w:r>
      <w:r>
        <w:rPr>
          <w:lang w:val="fr-FR"/>
        </w:rPr>
        <w:t>’</w:t>
      </w:r>
      <w:r w:rsidRPr="00D16989">
        <w:rPr>
          <w:lang w:val="fr-FR"/>
        </w:rPr>
        <w:t>éclairage et de signalisation lumineuse obligatoires</w:t>
      </w:r>
      <w:r w:rsidRPr="00D16989">
        <w:rPr>
          <w:lang w:val="fr-FR" w:eastAsia="fi-FI"/>
        </w:rPr>
        <w:t>. »</w:t>
      </w:r>
      <w:r>
        <w:rPr>
          <w:lang w:val="fr-FR" w:eastAsia="fi-FI"/>
        </w:rPr>
        <w:t>.</w:t>
      </w:r>
    </w:p>
    <w:p w:rsidR="00A2239C" w:rsidRPr="00D16989" w:rsidRDefault="00A2239C" w:rsidP="00322A77">
      <w:pPr>
        <w:pStyle w:val="SingleTxtG"/>
        <w:keepNext/>
        <w:rPr>
          <w:lang w:val="fr-FR"/>
        </w:rPr>
      </w:pPr>
      <w:r w:rsidRPr="00D16989">
        <w:rPr>
          <w:i/>
          <w:lang w:val="fr-FR"/>
        </w:rPr>
        <w:t>Paragraphe 6.16</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6.16</w:t>
      </w:r>
      <w:r w:rsidRPr="00D16989">
        <w:rPr>
          <w:lang w:val="fr-FR"/>
        </w:rPr>
        <w:tab/>
        <w:t>Dispositif d</w:t>
      </w:r>
      <w:r>
        <w:rPr>
          <w:lang w:val="fr-FR"/>
        </w:rPr>
        <w:t>’</w:t>
      </w:r>
      <w:r w:rsidRPr="00D16989">
        <w:rPr>
          <w:lang w:val="fr-FR"/>
        </w:rPr>
        <w:t>éclairage de la plaque d</w:t>
      </w:r>
      <w:r>
        <w:rPr>
          <w:lang w:val="fr-FR"/>
        </w:rPr>
        <w:t>’</w:t>
      </w:r>
      <w:r w:rsidRPr="00D16989">
        <w:rPr>
          <w:lang w:val="fr-FR"/>
        </w:rPr>
        <w:t>immatriculation arrière (Règlement n</w:t>
      </w:r>
      <w:r w:rsidRPr="00D16989">
        <w:rPr>
          <w:vertAlign w:val="superscript"/>
          <w:lang w:val="fr-FR"/>
        </w:rPr>
        <w:t>o</w:t>
      </w:r>
      <w:r w:rsidRPr="00D16989">
        <w:rPr>
          <w:lang w:val="fr-FR"/>
        </w:rPr>
        <w:t> 4</w:t>
      </w:r>
      <w:r w:rsidRPr="00D16989">
        <w:rPr>
          <w:lang w:val="fr-FR" w:eastAsia="fi-FI"/>
        </w:rPr>
        <w:t xml:space="preserve"> </w:t>
      </w:r>
      <w:r w:rsidRPr="00F67666">
        <w:rPr>
          <w:b/>
          <w:lang w:val="fr-FR"/>
        </w:rPr>
        <w:t>ou [DSL]</w:t>
      </w:r>
      <w:r w:rsidRPr="00D16989">
        <w:rPr>
          <w:lang w:val="fr-FR"/>
        </w:rPr>
        <w:t>) »</w:t>
      </w:r>
      <w:r>
        <w:rPr>
          <w:lang w:val="fr-FR"/>
        </w:rPr>
        <w:t>.</w:t>
      </w:r>
    </w:p>
    <w:p w:rsidR="00A2239C" w:rsidRPr="00D16989" w:rsidRDefault="00A2239C" w:rsidP="00322A77">
      <w:pPr>
        <w:pStyle w:val="SingleTxtG"/>
        <w:keepNext/>
        <w:rPr>
          <w:lang w:val="fr-FR"/>
        </w:rPr>
      </w:pPr>
      <w:r w:rsidRPr="00D16989">
        <w:rPr>
          <w:i/>
          <w:lang w:val="fr-FR"/>
        </w:rPr>
        <w:t>Paragraphe 6.17</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6.17</w:t>
      </w:r>
      <w:r w:rsidRPr="00D16989">
        <w:rPr>
          <w:lang w:val="fr-FR"/>
        </w:rPr>
        <w:tab/>
        <w:t>Catadioptres avant non triangulaires (Règlement n</w:t>
      </w:r>
      <w:r w:rsidRPr="00D16989">
        <w:rPr>
          <w:vertAlign w:val="superscript"/>
          <w:lang w:val="fr-FR"/>
        </w:rPr>
        <w:t>o</w:t>
      </w:r>
      <w:r w:rsidRPr="00D16989">
        <w:rPr>
          <w:lang w:val="fr-FR"/>
        </w:rPr>
        <w:t xml:space="preserve"> 3 </w:t>
      </w:r>
      <w:r w:rsidRPr="00F67666">
        <w:rPr>
          <w:b/>
          <w:lang w:val="fr-FR"/>
        </w:rPr>
        <w:t>ou [DRR]</w:t>
      </w:r>
      <w:r w:rsidRPr="00D16989">
        <w:rPr>
          <w:lang w:val="fr-FR"/>
        </w:rPr>
        <w:t>) »</w:t>
      </w:r>
      <w:r>
        <w:rPr>
          <w:lang w:val="fr-FR"/>
        </w:rPr>
        <w:t>.</w:t>
      </w:r>
    </w:p>
    <w:p w:rsidR="00A2239C" w:rsidRPr="00D16989" w:rsidRDefault="00A2239C" w:rsidP="00322A77">
      <w:pPr>
        <w:pStyle w:val="SingleTxtG"/>
        <w:keepNext/>
        <w:rPr>
          <w:lang w:val="fr-FR"/>
        </w:rPr>
      </w:pPr>
      <w:r w:rsidRPr="00D16989">
        <w:rPr>
          <w:i/>
          <w:lang w:val="fr-FR"/>
        </w:rPr>
        <w:t>Paragraphe 6.18</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6.18</w:t>
      </w:r>
      <w:r w:rsidRPr="00D16989">
        <w:rPr>
          <w:lang w:val="fr-FR"/>
        </w:rPr>
        <w:tab/>
        <w:t>Feux de position latéraux (Règlement n</w:t>
      </w:r>
      <w:r w:rsidRPr="00D16989">
        <w:rPr>
          <w:vertAlign w:val="superscript"/>
          <w:lang w:val="fr-FR"/>
        </w:rPr>
        <w:t>o</w:t>
      </w:r>
      <w:r w:rsidRPr="00D16989">
        <w:rPr>
          <w:lang w:val="fr-FR"/>
        </w:rPr>
        <w:t xml:space="preserve"> 91 </w:t>
      </w:r>
      <w:r w:rsidRPr="00F67666">
        <w:rPr>
          <w:b/>
          <w:lang w:val="fr-FR"/>
        </w:rPr>
        <w:t>ou [DSL]</w:t>
      </w:r>
      <w:r w:rsidRPr="00D16989">
        <w:rPr>
          <w:lang w:val="fr-FR"/>
        </w:rPr>
        <w:t>) »</w:t>
      </w:r>
      <w:r>
        <w:rPr>
          <w:lang w:val="fr-FR"/>
        </w:rPr>
        <w:t>.</w:t>
      </w:r>
    </w:p>
    <w:p w:rsidR="00A2239C" w:rsidRPr="00D16989" w:rsidRDefault="00A2239C" w:rsidP="00322A77">
      <w:pPr>
        <w:pStyle w:val="SingleTxtG"/>
        <w:keepNext/>
        <w:rPr>
          <w:lang w:val="fr-FR"/>
        </w:rPr>
      </w:pPr>
      <w:r w:rsidRPr="00D16989">
        <w:rPr>
          <w:i/>
          <w:lang w:val="fr-FR"/>
        </w:rPr>
        <w:t>Paragraphe 6.19</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6.19</w:t>
      </w:r>
      <w:r w:rsidRPr="00D16989">
        <w:rPr>
          <w:lang w:val="fr-FR"/>
        </w:rPr>
        <w:tab/>
        <w:t>Feux de circulation diurne (Règlement n</w:t>
      </w:r>
      <w:r w:rsidRPr="00D16989">
        <w:rPr>
          <w:vertAlign w:val="superscript"/>
          <w:lang w:val="fr-FR"/>
        </w:rPr>
        <w:t>o</w:t>
      </w:r>
      <w:r w:rsidRPr="00D16989">
        <w:rPr>
          <w:lang w:val="fr-FR"/>
        </w:rPr>
        <w:t xml:space="preserve"> 87 </w:t>
      </w:r>
      <w:r w:rsidRPr="00F67666">
        <w:rPr>
          <w:b/>
          <w:lang w:val="fr-FR"/>
        </w:rPr>
        <w:t>ou [DSL]</w:t>
      </w:r>
      <w:r w:rsidRPr="00D16989">
        <w:rPr>
          <w:lang w:val="fr-FR"/>
        </w:rPr>
        <w:t>) »</w:t>
      </w:r>
      <w:r>
        <w:rPr>
          <w:lang w:val="fr-FR"/>
        </w:rPr>
        <w:t>.</w:t>
      </w:r>
    </w:p>
    <w:p w:rsidR="00A2239C" w:rsidRPr="00D16989" w:rsidRDefault="00A2239C" w:rsidP="00115564">
      <w:pPr>
        <w:pStyle w:val="SingleTxtG"/>
        <w:keepNext/>
        <w:rPr>
          <w:lang w:val="fr-FR"/>
        </w:rPr>
      </w:pPr>
      <w:r w:rsidRPr="00D16989">
        <w:rPr>
          <w:i/>
          <w:lang w:val="fr-FR"/>
        </w:rPr>
        <w:t>Paragraphe 6.20</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6.20</w:t>
      </w:r>
      <w:r w:rsidRPr="00D16989">
        <w:rPr>
          <w:lang w:val="fr-FR"/>
        </w:rPr>
        <w:tab/>
        <w:t>Feux d</w:t>
      </w:r>
      <w:r>
        <w:rPr>
          <w:lang w:val="fr-FR"/>
        </w:rPr>
        <w:t>’</w:t>
      </w:r>
      <w:r w:rsidRPr="00D16989">
        <w:rPr>
          <w:lang w:val="fr-FR"/>
        </w:rPr>
        <w:t>angle (Règlement n</w:t>
      </w:r>
      <w:r w:rsidRPr="00D16989">
        <w:rPr>
          <w:vertAlign w:val="superscript"/>
          <w:lang w:val="fr-FR"/>
        </w:rPr>
        <w:t>o</w:t>
      </w:r>
      <w:r w:rsidRPr="00D16989">
        <w:rPr>
          <w:lang w:val="fr-FR"/>
        </w:rPr>
        <w:t xml:space="preserve"> 119 </w:t>
      </w:r>
      <w:r w:rsidRPr="00F67666">
        <w:rPr>
          <w:b/>
          <w:lang w:val="fr-FR"/>
        </w:rPr>
        <w:t>ou [DER]</w:t>
      </w:r>
      <w:r w:rsidRPr="00D16989">
        <w:rPr>
          <w:lang w:val="fr-FR"/>
        </w:rPr>
        <w:t>)</w:t>
      </w:r>
      <w:r>
        <w:rPr>
          <w:lang w:val="fr-FR"/>
        </w:rPr>
        <w:t> ».</w:t>
      </w:r>
    </w:p>
    <w:p w:rsidR="00A2239C" w:rsidRPr="00D16989" w:rsidRDefault="00A2239C" w:rsidP="00115564">
      <w:pPr>
        <w:pStyle w:val="SingleTxtG"/>
        <w:keepNext/>
        <w:rPr>
          <w:lang w:val="fr-FR"/>
        </w:rPr>
      </w:pPr>
      <w:r w:rsidRPr="00D16989">
        <w:rPr>
          <w:i/>
          <w:lang w:val="fr-FR"/>
        </w:rPr>
        <w:t>Paragraphe 6.21</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6.21</w:t>
      </w:r>
      <w:r w:rsidRPr="00D16989">
        <w:rPr>
          <w:lang w:val="fr-FR"/>
        </w:rPr>
        <w:tab/>
        <w:t>Marquages à grande visibilité (Règlement n</w:t>
      </w:r>
      <w:r w:rsidRPr="00D16989">
        <w:rPr>
          <w:vertAlign w:val="superscript"/>
          <w:lang w:val="fr-FR"/>
        </w:rPr>
        <w:t>o</w:t>
      </w:r>
      <w:r w:rsidRPr="00D16989">
        <w:rPr>
          <w:lang w:val="fr-FR"/>
        </w:rPr>
        <w:t xml:space="preserve"> 104 </w:t>
      </w:r>
      <w:r w:rsidRPr="00F67666">
        <w:rPr>
          <w:b/>
          <w:lang w:val="fr-FR"/>
        </w:rPr>
        <w:t>ou [DRR]</w:t>
      </w:r>
      <w:r w:rsidRPr="00D16989">
        <w:rPr>
          <w:lang w:val="fr-FR"/>
        </w:rPr>
        <w:t>) ».</w:t>
      </w:r>
    </w:p>
    <w:p w:rsidR="00A2239C" w:rsidRPr="00D16989" w:rsidRDefault="00A2239C" w:rsidP="00115564">
      <w:pPr>
        <w:pStyle w:val="SingleTxtG"/>
        <w:keepNext/>
        <w:rPr>
          <w:lang w:val="fr-FR"/>
        </w:rPr>
      </w:pPr>
      <w:r w:rsidRPr="00D16989">
        <w:rPr>
          <w:i/>
          <w:lang w:val="fr-FR"/>
        </w:rPr>
        <w:t>Paragraphe 6.22</w:t>
      </w:r>
      <w:r w:rsidRPr="00A2239C">
        <w:rPr>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6.22</w:t>
      </w:r>
      <w:r w:rsidRPr="00D16989">
        <w:rPr>
          <w:lang w:val="fr-FR"/>
        </w:rPr>
        <w:tab/>
        <w:t>Plaques de signalisation arrière pour véhicules lents (Règlement n</w:t>
      </w:r>
      <w:r w:rsidRPr="00D16989">
        <w:rPr>
          <w:vertAlign w:val="superscript"/>
          <w:lang w:val="fr-FR"/>
        </w:rPr>
        <w:t>o</w:t>
      </w:r>
      <w:r w:rsidRPr="00D16989">
        <w:rPr>
          <w:lang w:val="fr-FR"/>
        </w:rPr>
        <w:t> 69</w:t>
      </w:r>
      <w:r w:rsidRPr="00D16989">
        <w:rPr>
          <w:lang w:val="fr-FR" w:eastAsia="fi-FI"/>
        </w:rPr>
        <w:t xml:space="preserve"> </w:t>
      </w:r>
      <w:r w:rsidRPr="00F67666">
        <w:rPr>
          <w:b/>
          <w:lang w:val="fr-FR"/>
        </w:rPr>
        <w:t>ou [DRR]</w:t>
      </w:r>
      <w:r w:rsidRPr="00D16989">
        <w:rPr>
          <w:lang w:val="fr-FR"/>
        </w:rPr>
        <w:t>)</w:t>
      </w:r>
    </w:p>
    <w:p w:rsidR="00A2239C" w:rsidRPr="00D16989" w:rsidRDefault="00A2239C" w:rsidP="0058202E">
      <w:pPr>
        <w:tabs>
          <w:tab w:val="left" w:pos="2268"/>
        </w:tabs>
        <w:suppressAutoHyphens w:val="0"/>
        <w:spacing w:after="120"/>
        <w:ind w:left="4536" w:right="1134" w:hanging="3402"/>
        <w:jc w:val="both"/>
        <w:rPr>
          <w:lang w:val="fr-FR" w:eastAsia="fi-FI"/>
        </w:rPr>
      </w:pPr>
      <w:r w:rsidRPr="00D16989">
        <w:rPr>
          <w:lang w:val="fr-FR" w:eastAsia="fi-FI"/>
        </w:rPr>
        <w:t>6.22.1</w:t>
      </w:r>
      <w:r w:rsidRPr="00D16989">
        <w:rPr>
          <w:lang w:val="fr-FR" w:eastAsia="fi-FI"/>
        </w:rPr>
        <w:tab/>
        <w:t>Présence</w:t>
      </w:r>
      <w:r w:rsidR="00E04FE8">
        <w:rPr>
          <w:lang w:val="fr-FR" w:eastAsia="fi-FI"/>
        </w:rPr>
        <w:t> :</w:t>
      </w:r>
      <w:r w:rsidRPr="00D16989">
        <w:rPr>
          <w:lang w:val="fr-FR" w:eastAsia="fi-FI"/>
        </w:rPr>
        <w:t xml:space="preserve"> </w:t>
      </w:r>
      <w:r w:rsidRPr="00D16989">
        <w:rPr>
          <w:lang w:val="fr-FR" w:eastAsia="fi-FI"/>
        </w:rPr>
        <w:tab/>
      </w:r>
      <w:r w:rsidRPr="00D16989">
        <w:rPr>
          <w:lang w:val="fr-FR"/>
        </w:rPr>
        <w:t>Facultative sur les véhicules dont la vitesse est limitée par construction à 40 km/h. Interdite sur tous les autres véhicules.</w:t>
      </w:r>
    </w:p>
    <w:p w:rsidR="00A2239C" w:rsidRPr="00D16989" w:rsidRDefault="00A2239C" w:rsidP="0058202E">
      <w:pPr>
        <w:tabs>
          <w:tab w:val="left" w:pos="2268"/>
        </w:tabs>
        <w:suppressAutoHyphens w:val="0"/>
        <w:spacing w:after="120"/>
        <w:ind w:left="4536" w:right="1134" w:hanging="3402"/>
        <w:jc w:val="both"/>
        <w:rPr>
          <w:lang w:val="fr-FR" w:eastAsia="fi-FI"/>
        </w:rPr>
      </w:pPr>
      <w:r w:rsidRPr="00D16989">
        <w:rPr>
          <w:lang w:val="fr-FR" w:eastAsia="fi-FI"/>
        </w:rPr>
        <w:t>6.22.2</w:t>
      </w:r>
      <w:r w:rsidRPr="00D16989">
        <w:rPr>
          <w:lang w:val="fr-FR" w:eastAsia="fi-FI"/>
        </w:rPr>
        <w:tab/>
        <w:t>Nombre</w:t>
      </w:r>
      <w:r w:rsidR="00E04FE8">
        <w:rPr>
          <w:lang w:val="fr-FR" w:eastAsia="fi-FI"/>
        </w:rPr>
        <w:t> :</w:t>
      </w:r>
      <w:r w:rsidRPr="00D16989">
        <w:rPr>
          <w:lang w:val="fr-FR" w:eastAsia="fi-FI"/>
        </w:rPr>
        <w:t xml:space="preserve"> </w:t>
      </w:r>
      <w:r w:rsidRPr="00D16989">
        <w:rPr>
          <w:lang w:val="fr-FR" w:eastAsia="fi-FI"/>
        </w:rPr>
        <w:tab/>
      </w:r>
      <w:r w:rsidRPr="00D16989">
        <w:rPr>
          <w:lang w:val="fr-FR"/>
        </w:rPr>
        <w:t>Conformément à l</w:t>
      </w:r>
      <w:r>
        <w:rPr>
          <w:lang w:val="fr-FR"/>
        </w:rPr>
        <w:t>’</w:t>
      </w:r>
      <w:r w:rsidRPr="00D16989">
        <w:rPr>
          <w:lang w:val="fr-FR"/>
        </w:rPr>
        <w:t>annexe 15 du Règlement n</w:t>
      </w:r>
      <w:r w:rsidRPr="00D16989">
        <w:rPr>
          <w:vertAlign w:val="superscript"/>
          <w:lang w:val="fr-FR"/>
        </w:rPr>
        <w:t>o</w:t>
      </w:r>
      <w:r w:rsidRPr="00D16989">
        <w:rPr>
          <w:lang w:val="fr-FR"/>
        </w:rPr>
        <w:t> 69</w:t>
      </w:r>
      <w:r w:rsidRPr="00D16989">
        <w:rPr>
          <w:lang w:val="fr-FR" w:eastAsia="fi-FI"/>
        </w:rPr>
        <w:t xml:space="preserve"> </w:t>
      </w:r>
      <w:r w:rsidRPr="00F67666">
        <w:rPr>
          <w:b/>
          <w:lang w:val="fr-FR" w:eastAsia="fi-FI"/>
        </w:rPr>
        <w:t>ou à l</w:t>
      </w:r>
      <w:r>
        <w:rPr>
          <w:b/>
          <w:lang w:val="fr-FR" w:eastAsia="fi-FI"/>
        </w:rPr>
        <w:t>’</w:t>
      </w:r>
      <w:r w:rsidRPr="00F67666">
        <w:rPr>
          <w:b/>
          <w:lang w:val="fr-FR" w:eastAsia="fi-FI"/>
        </w:rPr>
        <w:t>annexe 24, partie B du Règlement [DRR]</w:t>
      </w:r>
      <w:r>
        <w:rPr>
          <w:lang w:val="fr-FR" w:eastAsia="fi-FI"/>
        </w:rPr>
        <w:t>.</w:t>
      </w:r>
    </w:p>
    <w:p w:rsidR="00A2239C" w:rsidRPr="00D16989" w:rsidRDefault="00A2239C" w:rsidP="0058202E">
      <w:pPr>
        <w:tabs>
          <w:tab w:val="left" w:pos="2268"/>
        </w:tabs>
        <w:suppressAutoHyphens w:val="0"/>
        <w:spacing w:after="120"/>
        <w:ind w:left="4536" w:right="1134" w:hanging="3402"/>
        <w:jc w:val="both"/>
        <w:rPr>
          <w:lang w:val="fr-FR" w:eastAsia="fi-FI"/>
        </w:rPr>
      </w:pPr>
      <w:r w:rsidRPr="00D16989">
        <w:rPr>
          <w:lang w:val="fr-FR" w:eastAsia="fi-FI"/>
        </w:rPr>
        <w:t>6.22.3</w:t>
      </w:r>
      <w:r w:rsidRPr="00D16989">
        <w:rPr>
          <w:lang w:val="fr-FR" w:eastAsia="fi-FI"/>
        </w:rPr>
        <w:tab/>
      </w:r>
      <w:r w:rsidRPr="00D16989">
        <w:rPr>
          <w:lang w:val="fr-FR"/>
        </w:rPr>
        <w:t>Schéma d</w:t>
      </w:r>
      <w:r>
        <w:rPr>
          <w:lang w:val="fr-FR"/>
        </w:rPr>
        <w:t>’</w:t>
      </w:r>
      <w:r w:rsidRPr="00D16989">
        <w:rPr>
          <w:lang w:val="fr-FR"/>
        </w:rPr>
        <w:t>installation</w:t>
      </w:r>
      <w:r w:rsidR="00E04FE8">
        <w:rPr>
          <w:lang w:val="fr-FR" w:eastAsia="fi-FI"/>
        </w:rPr>
        <w:t> :</w:t>
      </w:r>
      <w:r w:rsidRPr="00D16989">
        <w:rPr>
          <w:lang w:val="fr-FR" w:eastAsia="fi-FI"/>
        </w:rPr>
        <w:tab/>
      </w:r>
      <w:r w:rsidRPr="00D16989">
        <w:rPr>
          <w:lang w:val="fr-FR"/>
        </w:rPr>
        <w:t>Conformément à l</w:t>
      </w:r>
      <w:r>
        <w:rPr>
          <w:lang w:val="fr-FR"/>
        </w:rPr>
        <w:t>’</w:t>
      </w:r>
      <w:r w:rsidRPr="00D16989">
        <w:rPr>
          <w:lang w:val="fr-FR"/>
        </w:rPr>
        <w:t>annexe 15 du Règlement n</w:t>
      </w:r>
      <w:r w:rsidRPr="00D16989">
        <w:rPr>
          <w:vertAlign w:val="superscript"/>
          <w:lang w:val="fr-FR"/>
        </w:rPr>
        <w:t>o</w:t>
      </w:r>
      <w:r w:rsidRPr="00D16989">
        <w:rPr>
          <w:lang w:val="fr-FR"/>
        </w:rPr>
        <w:t xml:space="preserve"> 69 </w:t>
      </w:r>
      <w:r w:rsidRPr="00F67666">
        <w:rPr>
          <w:b/>
          <w:lang w:val="fr-FR" w:eastAsia="fi-FI"/>
        </w:rPr>
        <w:t>ou à l</w:t>
      </w:r>
      <w:r>
        <w:rPr>
          <w:b/>
          <w:lang w:val="fr-FR" w:eastAsia="fi-FI"/>
        </w:rPr>
        <w:t>’</w:t>
      </w:r>
      <w:r w:rsidRPr="00F67666">
        <w:rPr>
          <w:b/>
          <w:lang w:val="fr-FR" w:eastAsia="fi-FI"/>
        </w:rPr>
        <w:t>annexe 24, partie B du Règlement [DRR]</w:t>
      </w:r>
      <w:r>
        <w:rPr>
          <w:lang w:val="fr-FR" w:eastAsia="fi-FI"/>
        </w:rPr>
        <w:t>.</w:t>
      </w:r>
    </w:p>
    <w:p w:rsidR="00A2239C" w:rsidRPr="00D16989" w:rsidRDefault="00A2239C" w:rsidP="0058202E">
      <w:pPr>
        <w:keepNext/>
        <w:tabs>
          <w:tab w:val="left" w:pos="2268"/>
        </w:tabs>
        <w:suppressAutoHyphens w:val="0"/>
        <w:spacing w:after="120"/>
        <w:ind w:left="3969" w:right="1134" w:hanging="2835"/>
        <w:jc w:val="both"/>
        <w:rPr>
          <w:lang w:val="fr-FR" w:eastAsia="fi-FI"/>
        </w:rPr>
      </w:pPr>
      <w:r w:rsidRPr="00D16989">
        <w:rPr>
          <w:lang w:val="fr-FR" w:eastAsia="fi-FI"/>
        </w:rPr>
        <w:t>6.22.4</w:t>
      </w:r>
      <w:r w:rsidRPr="00D16989">
        <w:rPr>
          <w:lang w:val="fr-FR" w:eastAsia="fi-FI"/>
        </w:rPr>
        <w:tab/>
      </w:r>
      <w:r w:rsidRPr="00D16989">
        <w:rPr>
          <w:lang w:val="fr-FR"/>
        </w:rPr>
        <w:t>Emplacement</w:t>
      </w:r>
    </w:p>
    <w:p w:rsidR="00A2239C" w:rsidRPr="00D16989" w:rsidRDefault="00A2239C" w:rsidP="0058202E">
      <w:pPr>
        <w:tabs>
          <w:tab w:val="left" w:pos="2268"/>
        </w:tabs>
        <w:suppressAutoHyphens w:val="0"/>
        <w:spacing w:after="120"/>
        <w:ind w:left="4536" w:right="1134" w:hanging="2268"/>
        <w:jc w:val="both"/>
        <w:rPr>
          <w:lang w:val="fr-FR" w:eastAsia="fi-FI"/>
        </w:rPr>
      </w:pPr>
      <w:r w:rsidRPr="00D16989">
        <w:rPr>
          <w:lang w:val="fr-FR"/>
        </w:rPr>
        <w:t>En largeur</w:t>
      </w:r>
      <w:r w:rsidR="00E04FE8">
        <w:rPr>
          <w:lang w:val="fr-FR"/>
        </w:rPr>
        <w:t> :</w:t>
      </w:r>
      <w:r w:rsidRPr="00D16989">
        <w:rPr>
          <w:lang w:val="fr-FR"/>
        </w:rPr>
        <w:tab/>
        <w:t>Conformément à l</w:t>
      </w:r>
      <w:r>
        <w:rPr>
          <w:lang w:val="fr-FR"/>
        </w:rPr>
        <w:t>’</w:t>
      </w:r>
      <w:r w:rsidRPr="00D16989">
        <w:rPr>
          <w:lang w:val="fr-FR"/>
        </w:rPr>
        <w:t>annexe 15 du Règlement n</w:t>
      </w:r>
      <w:r w:rsidRPr="00D16989">
        <w:rPr>
          <w:vertAlign w:val="superscript"/>
          <w:lang w:val="fr-FR"/>
        </w:rPr>
        <w:t>o</w:t>
      </w:r>
      <w:r w:rsidRPr="00D16989">
        <w:rPr>
          <w:lang w:val="fr-FR"/>
        </w:rPr>
        <w:t> 69</w:t>
      </w:r>
      <w:r w:rsidRPr="00D16989">
        <w:rPr>
          <w:lang w:val="fr-FR" w:eastAsia="fi-FI"/>
        </w:rPr>
        <w:t xml:space="preserve"> </w:t>
      </w:r>
      <w:r w:rsidRPr="00F67666">
        <w:rPr>
          <w:b/>
          <w:lang w:val="fr-FR" w:eastAsia="fi-FI"/>
        </w:rPr>
        <w:t>ou à l</w:t>
      </w:r>
      <w:r>
        <w:rPr>
          <w:b/>
          <w:lang w:val="fr-FR" w:eastAsia="fi-FI"/>
        </w:rPr>
        <w:t>’</w:t>
      </w:r>
      <w:r w:rsidRPr="00F67666">
        <w:rPr>
          <w:b/>
          <w:lang w:val="fr-FR" w:eastAsia="fi-FI"/>
        </w:rPr>
        <w:t>annexe 24, partie B du Règlement [DRR]</w:t>
      </w:r>
      <w:r>
        <w:rPr>
          <w:lang w:val="fr-FR" w:eastAsia="fi-FI"/>
        </w:rPr>
        <w:t>.</w:t>
      </w:r>
    </w:p>
    <w:p w:rsidR="00A2239C" w:rsidRPr="00D16989" w:rsidRDefault="00A2239C" w:rsidP="0058202E">
      <w:pPr>
        <w:tabs>
          <w:tab w:val="left" w:pos="2268"/>
        </w:tabs>
        <w:suppressAutoHyphens w:val="0"/>
        <w:spacing w:after="120"/>
        <w:ind w:left="4536" w:right="1134" w:hanging="2268"/>
        <w:jc w:val="both"/>
        <w:rPr>
          <w:lang w:val="fr-FR" w:eastAsia="fi-FI"/>
        </w:rPr>
      </w:pPr>
      <w:r w:rsidRPr="00D16989">
        <w:rPr>
          <w:lang w:val="fr-FR"/>
        </w:rPr>
        <w:t>En hauteur</w:t>
      </w:r>
      <w:r w:rsidR="00E04FE8">
        <w:rPr>
          <w:lang w:val="fr-FR"/>
        </w:rPr>
        <w:t> :</w:t>
      </w:r>
      <w:r w:rsidR="00115564">
        <w:rPr>
          <w:lang w:val="fr-FR"/>
        </w:rPr>
        <w:tab/>
      </w:r>
      <w:r w:rsidRPr="00D16989">
        <w:rPr>
          <w:lang w:val="fr-FR"/>
        </w:rPr>
        <w:t>Aucune prescription particulière</w:t>
      </w:r>
      <w:r w:rsidRPr="00D16989">
        <w:rPr>
          <w:lang w:val="fr-FR" w:eastAsia="fi-FI"/>
        </w:rPr>
        <w:t>.</w:t>
      </w:r>
    </w:p>
    <w:p w:rsidR="00A2239C" w:rsidRPr="00D16989" w:rsidRDefault="00A2239C" w:rsidP="0058202E">
      <w:pPr>
        <w:tabs>
          <w:tab w:val="left" w:pos="2268"/>
        </w:tabs>
        <w:suppressAutoHyphens w:val="0"/>
        <w:spacing w:after="120"/>
        <w:ind w:left="4536" w:right="1134" w:hanging="2268"/>
        <w:jc w:val="both"/>
        <w:rPr>
          <w:lang w:val="fr-FR" w:eastAsia="fi-FI"/>
        </w:rPr>
      </w:pPr>
      <w:r w:rsidRPr="00D16989">
        <w:rPr>
          <w:lang w:val="fr-FR"/>
        </w:rPr>
        <w:t>En longueur</w:t>
      </w:r>
      <w:r w:rsidR="00E04FE8">
        <w:rPr>
          <w:lang w:val="fr-FR"/>
        </w:rPr>
        <w:t> :</w:t>
      </w:r>
      <w:r w:rsidRPr="00D16989">
        <w:rPr>
          <w:lang w:val="fr-FR"/>
        </w:rPr>
        <w:tab/>
        <w:t>Conformément à l</w:t>
      </w:r>
      <w:r>
        <w:rPr>
          <w:lang w:val="fr-FR"/>
        </w:rPr>
        <w:t>’</w:t>
      </w:r>
      <w:r w:rsidRPr="00D16989">
        <w:rPr>
          <w:lang w:val="fr-FR"/>
        </w:rPr>
        <w:t>annexe 15 du Règlement n</w:t>
      </w:r>
      <w:r w:rsidRPr="00D16989">
        <w:rPr>
          <w:vertAlign w:val="superscript"/>
          <w:lang w:val="fr-FR"/>
        </w:rPr>
        <w:t>o</w:t>
      </w:r>
      <w:r w:rsidRPr="00D16989">
        <w:rPr>
          <w:lang w:val="fr-FR"/>
        </w:rPr>
        <w:t xml:space="preserve"> 69 </w:t>
      </w:r>
      <w:r w:rsidRPr="00F67666">
        <w:rPr>
          <w:b/>
          <w:lang w:val="fr-FR" w:eastAsia="fi-FI"/>
        </w:rPr>
        <w:t>ou à l</w:t>
      </w:r>
      <w:r>
        <w:rPr>
          <w:b/>
          <w:lang w:val="fr-FR" w:eastAsia="fi-FI"/>
        </w:rPr>
        <w:t>’</w:t>
      </w:r>
      <w:r w:rsidRPr="00F67666">
        <w:rPr>
          <w:b/>
          <w:lang w:val="fr-FR" w:eastAsia="fi-FI"/>
        </w:rPr>
        <w:t>annexe 24, partie B du Règlement [DRR]</w:t>
      </w:r>
      <w:r>
        <w:rPr>
          <w:lang w:val="fr-FR" w:eastAsia="fi-FI"/>
        </w:rPr>
        <w:t>.</w:t>
      </w:r>
    </w:p>
    <w:p w:rsidR="00A2239C" w:rsidRPr="00D16989" w:rsidRDefault="00A2239C" w:rsidP="0058202E">
      <w:pPr>
        <w:tabs>
          <w:tab w:val="left" w:pos="2268"/>
        </w:tabs>
        <w:suppressAutoHyphens w:val="0"/>
        <w:spacing w:after="120"/>
        <w:ind w:left="4536" w:right="1134" w:hanging="3402"/>
        <w:jc w:val="both"/>
        <w:rPr>
          <w:lang w:val="fr-FR" w:eastAsia="fi-FI"/>
        </w:rPr>
      </w:pPr>
      <w:r w:rsidRPr="00D16989">
        <w:rPr>
          <w:lang w:val="fr-FR" w:eastAsia="fi-FI"/>
        </w:rPr>
        <w:t>6.22.5</w:t>
      </w:r>
      <w:r w:rsidRPr="00D16989">
        <w:rPr>
          <w:lang w:val="fr-FR" w:eastAsia="fi-FI"/>
        </w:rPr>
        <w:tab/>
      </w:r>
      <w:r w:rsidRPr="00D16989">
        <w:rPr>
          <w:lang w:val="fr-FR"/>
        </w:rPr>
        <w:t>Visibilité géométrique</w:t>
      </w:r>
      <w:r w:rsidR="00E04FE8">
        <w:rPr>
          <w:lang w:val="fr-FR"/>
        </w:rPr>
        <w:t> :</w:t>
      </w:r>
      <w:r w:rsidR="0058202E">
        <w:rPr>
          <w:lang w:val="fr-FR"/>
        </w:rPr>
        <w:tab/>
      </w:r>
      <w:r w:rsidRPr="00D16989">
        <w:rPr>
          <w:lang w:val="fr-FR"/>
        </w:rPr>
        <w:t>Conformément à l</w:t>
      </w:r>
      <w:r>
        <w:rPr>
          <w:lang w:val="fr-FR"/>
        </w:rPr>
        <w:t>’</w:t>
      </w:r>
      <w:r w:rsidRPr="00D16989">
        <w:rPr>
          <w:lang w:val="fr-FR"/>
        </w:rPr>
        <w:t>annexe 15 du Règlement n</w:t>
      </w:r>
      <w:r w:rsidRPr="00D16989">
        <w:rPr>
          <w:vertAlign w:val="superscript"/>
          <w:lang w:val="fr-FR"/>
        </w:rPr>
        <w:t>o</w:t>
      </w:r>
      <w:r w:rsidRPr="00D16989">
        <w:rPr>
          <w:lang w:val="fr-FR"/>
        </w:rPr>
        <w:t xml:space="preserve"> 69 </w:t>
      </w:r>
      <w:r w:rsidRPr="00F67666">
        <w:rPr>
          <w:b/>
          <w:lang w:val="fr-FR" w:eastAsia="fi-FI"/>
        </w:rPr>
        <w:t>ou à l</w:t>
      </w:r>
      <w:r>
        <w:rPr>
          <w:b/>
          <w:lang w:val="fr-FR" w:eastAsia="fi-FI"/>
        </w:rPr>
        <w:t>’</w:t>
      </w:r>
      <w:r w:rsidRPr="00F67666">
        <w:rPr>
          <w:b/>
          <w:lang w:val="fr-FR" w:eastAsia="fi-FI"/>
        </w:rPr>
        <w:t>annexe 24, partie B du Règlement [DRR]</w:t>
      </w:r>
      <w:r>
        <w:rPr>
          <w:lang w:val="fr-FR" w:eastAsia="fi-FI"/>
        </w:rPr>
        <w:t>.</w:t>
      </w:r>
    </w:p>
    <w:p w:rsidR="00A2239C" w:rsidRPr="00D16989" w:rsidRDefault="00A2239C" w:rsidP="0058202E">
      <w:pPr>
        <w:tabs>
          <w:tab w:val="left" w:pos="2268"/>
        </w:tabs>
        <w:suppressAutoHyphens w:val="0"/>
        <w:spacing w:after="120"/>
        <w:ind w:left="4536" w:right="1134" w:hanging="3402"/>
        <w:jc w:val="both"/>
        <w:rPr>
          <w:lang w:val="fr-FR"/>
        </w:rPr>
      </w:pPr>
      <w:r w:rsidRPr="00D16989">
        <w:rPr>
          <w:lang w:val="fr-FR" w:eastAsia="fi-FI"/>
        </w:rPr>
        <w:lastRenderedPageBreak/>
        <w:t>6.22.6</w:t>
      </w:r>
      <w:r w:rsidR="0058202E">
        <w:rPr>
          <w:lang w:val="fr-FR" w:eastAsia="fi-FI"/>
        </w:rPr>
        <w:tab/>
      </w:r>
      <w:r w:rsidRPr="00D16989">
        <w:rPr>
          <w:lang w:val="fr-FR" w:eastAsia="fi-FI"/>
        </w:rPr>
        <w:t>Orientation</w:t>
      </w:r>
      <w:r w:rsidR="00E04FE8">
        <w:rPr>
          <w:lang w:val="fr-FR" w:eastAsia="fi-FI"/>
        </w:rPr>
        <w:t> :</w:t>
      </w:r>
      <w:r w:rsidRPr="00D16989">
        <w:rPr>
          <w:lang w:val="fr-FR" w:eastAsia="fi-FI"/>
        </w:rPr>
        <w:t xml:space="preserve"> </w:t>
      </w:r>
      <w:r w:rsidRPr="00D16989">
        <w:rPr>
          <w:lang w:val="fr-FR" w:eastAsia="fi-FI"/>
        </w:rPr>
        <w:tab/>
      </w:r>
      <w:r w:rsidRPr="00D16989">
        <w:rPr>
          <w:lang w:val="fr-FR"/>
        </w:rPr>
        <w:t>Conformément à l</w:t>
      </w:r>
      <w:r>
        <w:rPr>
          <w:lang w:val="fr-FR"/>
        </w:rPr>
        <w:t>’</w:t>
      </w:r>
      <w:r w:rsidRPr="00D16989">
        <w:rPr>
          <w:lang w:val="fr-FR"/>
        </w:rPr>
        <w:t>annexe 15 du Règlement n</w:t>
      </w:r>
      <w:r w:rsidRPr="00D16989">
        <w:rPr>
          <w:vertAlign w:val="superscript"/>
          <w:lang w:val="fr-FR"/>
        </w:rPr>
        <w:t>o</w:t>
      </w:r>
      <w:r w:rsidRPr="00D16989">
        <w:rPr>
          <w:lang w:val="fr-FR"/>
        </w:rPr>
        <w:t xml:space="preserve"> 69 </w:t>
      </w:r>
      <w:r w:rsidRPr="00F67666">
        <w:rPr>
          <w:b/>
          <w:lang w:val="fr-FR" w:eastAsia="fi-FI"/>
        </w:rPr>
        <w:t>ou à l</w:t>
      </w:r>
      <w:r>
        <w:rPr>
          <w:b/>
          <w:lang w:val="fr-FR" w:eastAsia="fi-FI"/>
        </w:rPr>
        <w:t>’</w:t>
      </w:r>
      <w:r w:rsidRPr="00F67666">
        <w:rPr>
          <w:b/>
          <w:lang w:val="fr-FR" w:eastAsia="fi-FI"/>
        </w:rPr>
        <w:t>annexe 24, partie B du Règlement [DRR]</w:t>
      </w:r>
      <w:r>
        <w:rPr>
          <w:lang w:val="fr-FR" w:eastAsia="fi-FI"/>
        </w:rPr>
        <w:t>. ».</w:t>
      </w:r>
    </w:p>
    <w:p w:rsidR="00A2239C" w:rsidRPr="00D16989" w:rsidRDefault="00A2239C" w:rsidP="00A2239C">
      <w:pPr>
        <w:pStyle w:val="SingleTxtG"/>
        <w:keepNext/>
        <w:rPr>
          <w:lang w:val="fr-FR"/>
        </w:rPr>
      </w:pPr>
      <w:r w:rsidRPr="00D16989">
        <w:rPr>
          <w:i/>
          <w:lang w:val="fr-FR"/>
        </w:rPr>
        <w:t>Paragraphe 6.24</w:t>
      </w:r>
      <w:r w:rsidRPr="00A2239C">
        <w:rPr>
          <w:lang w:val="fr-FR"/>
        </w:rPr>
        <w:t>,</w:t>
      </w:r>
      <w:r w:rsidRPr="00D16989">
        <w:rPr>
          <w:i/>
          <w:lang w:val="fr-FR"/>
        </w:rPr>
        <w:t xml:space="preserve"> </w:t>
      </w:r>
      <w:r w:rsidRPr="00D16989">
        <w:rPr>
          <w:lang w:val="fr-FR"/>
        </w:rPr>
        <w:t>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xml:space="preserve">« 6.24 </w:t>
      </w:r>
      <w:r w:rsidRPr="00D16989">
        <w:rPr>
          <w:lang w:val="fr-FR"/>
        </w:rPr>
        <w:tab/>
        <w:t>Feux de manœuvre (Règlement n</w:t>
      </w:r>
      <w:r w:rsidRPr="00D16989">
        <w:rPr>
          <w:vertAlign w:val="superscript"/>
          <w:lang w:val="fr-FR"/>
        </w:rPr>
        <w:t>o</w:t>
      </w:r>
      <w:r w:rsidRPr="00D16989">
        <w:rPr>
          <w:lang w:val="fr-FR"/>
        </w:rPr>
        <w:t xml:space="preserve"> 23 </w:t>
      </w:r>
      <w:r w:rsidRPr="00F67666">
        <w:rPr>
          <w:b/>
          <w:lang w:val="fr-FR"/>
        </w:rPr>
        <w:t>ou [DSL]</w:t>
      </w:r>
      <w:r>
        <w:rPr>
          <w:lang w:val="fr-FR"/>
        </w:rPr>
        <w:t>) ».</w:t>
      </w:r>
    </w:p>
    <w:p w:rsidR="00A2239C" w:rsidRPr="00D16989" w:rsidRDefault="00A2239C" w:rsidP="00A2239C">
      <w:pPr>
        <w:pStyle w:val="SingleTxtG"/>
        <w:keepNext/>
        <w:rPr>
          <w:lang w:val="fr-FR"/>
        </w:rPr>
      </w:pPr>
      <w:r w:rsidRPr="00A2239C">
        <w:rPr>
          <w:i/>
          <w:lang w:val="fr-FR"/>
        </w:rPr>
        <w:t>Paragraphe 6.24.9.2</w:t>
      </w:r>
      <w:r w:rsidRPr="00D16989">
        <w:rPr>
          <w:lang w:val="fr-FR"/>
        </w:rPr>
        <w:t>, modifier comme suit</w:t>
      </w:r>
      <w:r w:rsidR="00E04FE8">
        <w:rPr>
          <w:lang w:val="fr-FR"/>
        </w:rPr>
        <w:t> :</w:t>
      </w:r>
    </w:p>
    <w:p w:rsidR="00A2239C" w:rsidRPr="00D16989" w:rsidRDefault="00A2239C" w:rsidP="00A2239C">
      <w:pPr>
        <w:pStyle w:val="SingleTxtG"/>
        <w:ind w:left="2268" w:hanging="1134"/>
        <w:rPr>
          <w:lang w:val="fr-FR"/>
        </w:rPr>
      </w:pPr>
      <w:r w:rsidRPr="00D16989">
        <w:rPr>
          <w:lang w:val="fr-FR"/>
        </w:rPr>
        <w:t xml:space="preserve">« 6.24.9.2 </w:t>
      </w:r>
      <w:r w:rsidRPr="00D16989">
        <w:rPr>
          <w:lang w:val="fr-FR"/>
        </w:rPr>
        <w:tab/>
      </w:r>
      <w:r w:rsidRPr="00D16989">
        <w:rPr>
          <w:lang w:val="fr-FR"/>
        </w:rPr>
        <w:tab/>
        <w:t>Le respect des prescriptions du paragraphe</w:t>
      </w:r>
      <w:r w:rsidR="0058202E">
        <w:rPr>
          <w:lang w:val="fr-FR"/>
        </w:rPr>
        <w:t xml:space="preserve"> </w:t>
      </w:r>
      <w:r w:rsidRPr="00D16989">
        <w:rPr>
          <w:lang w:val="fr-FR"/>
        </w:rPr>
        <w:t>6.24.9.1</w:t>
      </w:r>
      <w:r w:rsidR="00ED3810">
        <w:rPr>
          <w:lang w:val="fr-FR"/>
        </w:rPr>
        <w:t xml:space="preserve"> </w:t>
      </w:r>
      <w:r>
        <w:rPr>
          <w:lang w:val="fr-FR"/>
        </w:rPr>
        <w:t xml:space="preserve">doit </w:t>
      </w:r>
      <w:r w:rsidRPr="00D16989">
        <w:rPr>
          <w:lang w:val="fr-FR"/>
        </w:rPr>
        <w:t>être vérifié sur schéma ou par simulation ou jugé réalisé si les conditions d</w:t>
      </w:r>
      <w:r>
        <w:rPr>
          <w:lang w:val="fr-FR"/>
        </w:rPr>
        <w:t>’</w:t>
      </w:r>
      <w:r w:rsidRPr="00D16989">
        <w:rPr>
          <w:lang w:val="fr-FR"/>
        </w:rPr>
        <w:t>installation satisfont aux prescriptions du paragraphe 6.2</w:t>
      </w:r>
      <w:r w:rsidRPr="00F67666">
        <w:rPr>
          <w:b/>
          <w:lang w:val="fr-FR"/>
        </w:rPr>
        <w:t>.2</w:t>
      </w:r>
      <w:r w:rsidRPr="00F67666">
        <w:rPr>
          <w:b/>
          <w:strike/>
          <w:lang w:val="fr-FR"/>
        </w:rPr>
        <w:t>3</w:t>
      </w:r>
      <w:r w:rsidRPr="00D16989">
        <w:rPr>
          <w:lang w:val="fr-FR"/>
        </w:rPr>
        <w:t xml:space="preserve"> du Règlement n</w:t>
      </w:r>
      <w:r w:rsidRPr="00D16989">
        <w:rPr>
          <w:vertAlign w:val="superscript"/>
          <w:lang w:val="fr-FR"/>
        </w:rPr>
        <w:t>o</w:t>
      </w:r>
      <w:r w:rsidRPr="00D16989">
        <w:rPr>
          <w:lang w:val="fr-FR"/>
        </w:rPr>
        <w:t xml:space="preserve"> 23 </w:t>
      </w:r>
      <w:r w:rsidRPr="00F67666">
        <w:rPr>
          <w:b/>
          <w:lang w:val="fr-FR"/>
        </w:rPr>
        <w:t>ou du pa</w:t>
      </w:r>
      <w:r>
        <w:rPr>
          <w:b/>
          <w:lang w:val="fr-FR"/>
        </w:rPr>
        <w:t>ragraphe 5.10.2 du Règlement [</w:t>
      </w:r>
      <w:r w:rsidRPr="00F67666">
        <w:rPr>
          <w:b/>
          <w:lang w:val="fr-FR"/>
        </w:rPr>
        <w:t>D</w:t>
      </w:r>
      <w:r>
        <w:rPr>
          <w:b/>
          <w:lang w:val="fr-FR"/>
        </w:rPr>
        <w:t>SL</w:t>
      </w:r>
      <w:r w:rsidRPr="00F67666">
        <w:rPr>
          <w:b/>
          <w:lang w:val="fr-FR"/>
        </w:rPr>
        <w:t>]</w:t>
      </w:r>
      <w:r w:rsidRPr="00D16989">
        <w:rPr>
          <w:lang w:val="fr-FR"/>
        </w:rPr>
        <w:t>, comme indiqué dans le document d</w:t>
      </w:r>
      <w:r>
        <w:rPr>
          <w:lang w:val="fr-FR"/>
        </w:rPr>
        <w:t>’</w:t>
      </w:r>
      <w:r w:rsidRPr="00D16989">
        <w:rPr>
          <w:lang w:val="fr-FR"/>
        </w:rPr>
        <w:t>homologation de l</w:t>
      </w:r>
      <w:r>
        <w:rPr>
          <w:lang w:val="fr-FR"/>
        </w:rPr>
        <w:t>’</w:t>
      </w:r>
      <w:r w:rsidRPr="00D16989">
        <w:rPr>
          <w:lang w:val="fr-FR"/>
        </w:rPr>
        <w:t>annexe 1, au paragraphe 9. »</w:t>
      </w:r>
      <w:r>
        <w:rPr>
          <w:lang w:val="fr-FR"/>
        </w:rPr>
        <w:t>.</w:t>
      </w:r>
    </w:p>
    <w:p w:rsidR="00A2239C" w:rsidRPr="00D16989" w:rsidRDefault="00A2239C" w:rsidP="00A2239C">
      <w:pPr>
        <w:pStyle w:val="SingleTxtG"/>
        <w:keepNext/>
        <w:rPr>
          <w:lang w:val="fr-FR"/>
        </w:rPr>
      </w:pPr>
      <w:r w:rsidRPr="00A2239C">
        <w:rPr>
          <w:i/>
          <w:lang w:val="fr-FR"/>
        </w:rPr>
        <w:t>Annexe 6, paragraphe 2</w:t>
      </w:r>
      <w:r w:rsidRPr="00D16989">
        <w:rPr>
          <w:lang w:val="fr-FR"/>
        </w:rPr>
        <w:t>, modifier comme suit</w:t>
      </w:r>
      <w:r w:rsidR="00E04FE8">
        <w:rPr>
          <w:lang w:val="fr-FR"/>
        </w:rPr>
        <w:t> :</w:t>
      </w:r>
    </w:p>
    <w:p w:rsidR="00A2239C" w:rsidRPr="00D16989" w:rsidRDefault="00A2239C" w:rsidP="00ED3810">
      <w:pPr>
        <w:pStyle w:val="SingleTxtG"/>
        <w:keepNext/>
        <w:ind w:left="2268" w:hanging="1134"/>
        <w:rPr>
          <w:lang w:val="fr-FR"/>
        </w:rPr>
      </w:pPr>
      <w:r w:rsidRPr="00D16989">
        <w:rPr>
          <w:lang w:val="fr-FR"/>
        </w:rPr>
        <w:t>« </w:t>
      </w:r>
      <w:r w:rsidR="00ED3810">
        <w:rPr>
          <w:lang w:val="fr-FR"/>
        </w:rPr>
        <w:t>2.</w:t>
      </w:r>
      <w:r w:rsidRPr="00D16989">
        <w:rPr>
          <w:lang w:val="fr-FR"/>
        </w:rPr>
        <w:tab/>
        <w:t>Couleurs et prescriptions photométriques minimales</w:t>
      </w:r>
    </w:p>
    <w:p w:rsidR="00A2239C" w:rsidRPr="00D16989" w:rsidRDefault="00A2239C" w:rsidP="00ED3810">
      <w:pPr>
        <w:pStyle w:val="SingleTxtG"/>
        <w:ind w:left="2268"/>
        <w:rPr>
          <w:lang w:val="fr-FR"/>
        </w:rPr>
      </w:pPr>
      <w:r w:rsidRPr="00D16989">
        <w:rPr>
          <w:lang w:val="fr-FR"/>
        </w:rPr>
        <w:t xml:space="preserve">Chaque bandeau doit être conforme aux prescriptions du Règlement </w:t>
      </w:r>
      <w:r w:rsidRPr="00D16989">
        <w:rPr>
          <w:rFonts w:eastAsia="MS Mincho"/>
          <w:lang w:val="fr-FR"/>
        </w:rPr>
        <w:t>n</w:t>
      </w:r>
      <w:r w:rsidRPr="00D16989">
        <w:rPr>
          <w:rFonts w:eastAsia="MS Mincho"/>
          <w:vertAlign w:val="superscript"/>
          <w:lang w:val="fr-FR"/>
        </w:rPr>
        <w:t>o</w:t>
      </w:r>
      <w:r w:rsidRPr="00D16989">
        <w:rPr>
          <w:lang w:val="fr-FR"/>
        </w:rPr>
        <w:t xml:space="preserve"> 70, pour la classe 5, ou du Règlement </w:t>
      </w:r>
      <w:r w:rsidRPr="00D16989">
        <w:rPr>
          <w:rFonts w:eastAsia="MS Mincho"/>
          <w:lang w:val="fr-FR"/>
        </w:rPr>
        <w:t>n</w:t>
      </w:r>
      <w:r w:rsidRPr="00D16989">
        <w:rPr>
          <w:rFonts w:eastAsia="MS Mincho"/>
          <w:vertAlign w:val="superscript"/>
          <w:lang w:val="fr-FR"/>
        </w:rPr>
        <w:t>o</w:t>
      </w:r>
      <w:r w:rsidRPr="00D16989">
        <w:rPr>
          <w:lang w:val="fr-FR"/>
        </w:rPr>
        <w:t> 104, pour la classe F</w:t>
      </w:r>
      <w:r w:rsidRPr="00D16989">
        <w:rPr>
          <w:b/>
          <w:lang w:val="fr-FR" w:eastAsia="fi-FI"/>
        </w:rPr>
        <w:t xml:space="preserve"> </w:t>
      </w:r>
      <w:r w:rsidRPr="00F67666">
        <w:rPr>
          <w:b/>
          <w:lang w:val="fr-FR" w:eastAsia="fi-FI"/>
        </w:rPr>
        <w:t>ou du Règlement [DRR], pour l</w:t>
      </w:r>
      <w:r>
        <w:rPr>
          <w:b/>
          <w:lang w:val="fr-FR" w:eastAsia="fi-FI"/>
        </w:rPr>
        <w:t>a</w:t>
      </w:r>
      <w:r w:rsidRPr="00F67666">
        <w:rPr>
          <w:b/>
          <w:lang w:val="fr-FR" w:eastAsia="fi-FI"/>
        </w:rPr>
        <w:t xml:space="preserve"> classe 5 ou la classe F</w:t>
      </w:r>
      <w:r>
        <w:rPr>
          <w:lang w:val="fr-FR" w:eastAsia="fi-FI"/>
        </w:rPr>
        <w:t>. ».</w:t>
      </w:r>
    </w:p>
    <w:p w:rsidR="00A2239C" w:rsidRPr="00D16989" w:rsidRDefault="00A2239C" w:rsidP="00A2239C">
      <w:pPr>
        <w:pStyle w:val="HChG"/>
        <w:rPr>
          <w:lang w:val="fr-FR"/>
        </w:rPr>
      </w:pPr>
      <w:r w:rsidRPr="00D16989">
        <w:rPr>
          <w:lang w:val="fr-FR"/>
        </w:rPr>
        <w:tab/>
        <w:t>II.</w:t>
      </w:r>
      <w:r w:rsidRPr="00D16989">
        <w:rPr>
          <w:lang w:val="fr-FR"/>
        </w:rPr>
        <w:tab/>
        <w:t>Justification</w:t>
      </w:r>
    </w:p>
    <w:p w:rsidR="00A2239C" w:rsidRDefault="00A2239C" w:rsidP="00A2239C">
      <w:pPr>
        <w:pStyle w:val="SingleTxtG"/>
        <w:rPr>
          <w:lang w:val="fr-FR"/>
        </w:rPr>
      </w:pPr>
      <w:r w:rsidRPr="00D16989">
        <w:rPr>
          <w:lang w:val="fr-FR"/>
        </w:rPr>
        <w:t>1.</w:t>
      </w:r>
      <w:r w:rsidRPr="00D16989">
        <w:rPr>
          <w:lang w:val="fr-FR"/>
        </w:rPr>
        <w:tab/>
      </w:r>
      <w:r>
        <w:rPr>
          <w:lang w:val="fr-FR"/>
        </w:rPr>
        <w:t>Avec le complément 6 à la série originale d’amendements, des références</w:t>
      </w:r>
      <w:r w:rsidRPr="002B5FC8">
        <w:rPr>
          <w:lang w:val="fr-FR"/>
        </w:rPr>
        <w:t xml:space="preserve"> </w:t>
      </w:r>
      <w:r>
        <w:rPr>
          <w:lang w:val="fr-FR"/>
        </w:rPr>
        <w:t xml:space="preserve">aux Règlements portants sur des dispositifs sont ajoutées </w:t>
      </w:r>
      <w:r w:rsidR="00ED3810">
        <w:rPr>
          <w:lang w:val="fr-FR"/>
        </w:rPr>
        <w:t>dans le Règlement n</w:t>
      </w:r>
      <w:r w:rsidR="00ED3810" w:rsidRPr="00ED3810">
        <w:rPr>
          <w:vertAlign w:val="superscript"/>
          <w:lang w:val="fr-FR"/>
        </w:rPr>
        <w:t>o</w:t>
      </w:r>
      <w:r w:rsidR="00ED3810">
        <w:rPr>
          <w:lang w:val="fr-FR"/>
        </w:rPr>
        <w:t> 86, par soucis de </w:t>
      </w:r>
      <w:r>
        <w:rPr>
          <w:lang w:val="fr-FR"/>
        </w:rPr>
        <w:t>précision.</w:t>
      </w:r>
    </w:p>
    <w:p w:rsidR="00A2239C" w:rsidRDefault="00A2239C" w:rsidP="00A2239C">
      <w:pPr>
        <w:pStyle w:val="SingleTxtG"/>
        <w:rPr>
          <w:lang w:val="fr-FR"/>
        </w:rPr>
      </w:pPr>
      <w:r w:rsidRPr="00D16989">
        <w:rPr>
          <w:lang w:val="fr-FR"/>
        </w:rPr>
        <w:t>2.</w:t>
      </w:r>
      <w:r w:rsidRPr="00D16989">
        <w:rPr>
          <w:lang w:val="fr-FR"/>
        </w:rPr>
        <w:tab/>
      </w:r>
      <w:r>
        <w:t>Les nouveaux Règlements simplifiés portant sur les</w:t>
      </w:r>
      <w:r w:rsidR="00ED3810">
        <w:t xml:space="preserve"> </w:t>
      </w:r>
      <w:r>
        <w:t>dispositifs de signalisation lumineuse (DSL),</w:t>
      </w:r>
      <w:r w:rsidR="00ED3810">
        <w:t xml:space="preserve"> </w:t>
      </w:r>
      <w:r>
        <w:t>d’éclairage de la route (DER) et</w:t>
      </w:r>
      <w:r w:rsidR="00ED3810">
        <w:t xml:space="preserve"> </w:t>
      </w:r>
      <w:r>
        <w:t>rétroréfléchissants (DRR) élaborés</w:t>
      </w:r>
      <w:r w:rsidR="00ED3810">
        <w:t xml:space="preserve"> </w:t>
      </w:r>
      <w:r>
        <w:t>par le groupe de travail informel chargé de la simplification des Règlements relatifs à l’éclairage et à la signalisation lumineuse rendent nécessaire l’introduction de nouvelles références dans le Règlement n</w:t>
      </w:r>
      <w:r w:rsidR="00ED3810" w:rsidRPr="00ED3810">
        <w:rPr>
          <w:vertAlign w:val="superscript"/>
        </w:rPr>
        <w:t>o</w:t>
      </w:r>
      <w:r>
        <w:t> 86. La présente proposition d’amendement</w:t>
      </w:r>
      <w:r>
        <w:rPr>
          <w:lang w:val="fr-FR"/>
        </w:rPr>
        <w:t xml:space="preserve"> vise à intégrer ces références complémentaires à la série originale d’amendements.</w:t>
      </w:r>
    </w:p>
    <w:p w:rsidR="00F9573C" w:rsidRPr="00A2239C" w:rsidRDefault="00A2239C" w:rsidP="00A2239C">
      <w:pPr>
        <w:pStyle w:val="SingleTxtG"/>
        <w:spacing w:before="240" w:after="0"/>
        <w:jc w:val="center"/>
        <w:rPr>
          <w:u w:val="single"/>
        </w:rPr>
      </w:pPr>
      <w:r>
        <w:rPr>
          <w:u w:val="single"/>
        </w:rPr>
        <w:tab/>
      </w:r>
      <w:r>
        <w:rPr>
          <w:u w:val="single"/>
        </w:rPr>
        <w:tab/>
      </w:r>
      <w:r>
        <w:rPr>
          <w:u w:val="single"/>
        </w:rPr>
        <w:tab/>
      </w:r>
    </w:p>
    <w:sectPr w:rsidR="00F9573C" w:rsidRPr="00A2239C" w:rsidSect="00371B3A">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170" w:rsidRDefault="00300170" w:rsidP="00F95C08">
      <w:pPr>
        <w:spacing w:line="240" w:lineRule="auto"/>
      </w:pPr>
    </w:p>
  </w:endnote>
  <w:endnote w:type="continuationSeparator" w:id="0">
    <w:p w:rsidR="00300170" w:rsidRPr="00AC3823" w:rsidRDefault="00300170" w:rsidP="00AC3823">
      <w:pPr>
        <w:pStyle w:val="Footer"/>
      </w:pPr>
    </w:p>
  </w:endnote>
  <w:endnote w:type="continuationNotice" w:id="1">
    <w:p w:rsidR="00300170" w:rsidRDefault="003001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3A" w:rsidRPr="00371B3A" w:rsidRDefault="00371B3A" w:rsidP="00371B3A">
    <w:pPr>
      <w:pStyle w:val="Footer"/>
      <w:tabs>
        <w:tab w:val="right" w:pos="9638"/>
      </w:tabs>
    </w:pPr>
    <w:r w:rsidRPr="00371B3A">
      <w:rPr>
        <w:b/>
        <w:sz w:val="18"/>
      </w:rPr>
      <w:fldChar w:fldCharType="begin"/>
    </w:r>
    <w:r w:rsidRPr="00371B3A">
      <w:rPr>
        <w:b/>
        <w:sz w:val="18"/>
      </w:rPr>
      <w:instrText xml:space="preserve"> PAGE  \* MERGEFORMAT </w:instrText>
    </w:r>
    <w:r w:rsidRPr="00371B3A">
      <w:rPr>
        <w:b/>
        <w:sz w:val="18"/>
      </w:rPr>
      <w:fldChar w:fldCharType="separate"/>
    </w:r>
    <w:r w:rsidR="00C76C82">
      <w:rPr>
        <w:b/>
        <w:noProof/>
        <w:sz w:val="18"/>
      </w:rPr>
      <w:t>2</w:t>
    </w:r>
    <w:r w:rsidRPr="00371B3A">
      <w:rPr>
        <w:b/>
        <w:sz w:val="18"/>
      </w:rPr>
      <w:fldChar w:fldCharType="end"/>
    </w:r>
    <w:r>
      <w:rPr>
        <w:b/>
        <w:sz w:val="18"/>
      </w:rPr>
      <w:tab/>
    </w:r>
    <w:r>
      <w:t>GE.18-01660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3A" w:rsidRPr="00371B3A" w:rsidRDefault="00371B3A" w:rsidP="00371B3A">
    <w:pPr>
      <w:pStyle w:val="Footer"/>
      <w:tabs>
        <w:tab w:val="right" w:pos="9638"/>
      </w:tabs>
      <w:rPr>
        <w:b/>
        <w:sz w:val="18"/>
      </w:rPr>
    </w:pPr>
    <w:r>
      <w:t>GE.18-01660</w:t>
    </w:r>
    <w:r>
      <w:tab/>
    </w:r>
    <w:r w:rsidRPr="00371B3A">
      <w:rPr>
        <w:b/>
        <w:sz w:val="18"/>
      </w:rPr>
      <w:fldChar w:fldCharType="begin"/>
    </w:r>
    <w:r w:rsidRPr="00371B3A">
      <w:rPr>
        <w:b/>
        <w:sz w:val="18"/>
      </w:rPr>
      <w:instrText xml:space="preserve"> PAGE  \* MERGEFORMAT </w:instrText>
    </w:r>
    <w:r w:rsidRPr="00371B3A">
      <w:rPr>
        <w:b/>
        <w:sz w:val="18"/>
      </w:rPr>
      <w:fldChar w:fldCharType="separate"/>
    </w:r>
    <w:r w:rsidR="00C76C82">
      <w:rPr>
        <w:b/>
        <w:noProof/>
        <w:sz w:val="18"/>
      </w:rPr>
      <w:t>3</w:t>
    </w:r>
    <w:r w:rsidRPr="00371B3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371B3A" w:rsidRDefault="00371B3A" w:rsidP="00371B3A">
    <w:pPr>
      <w:pStyle w:val="Footer"/>
      <w:spacing w:before="120"/>
      <w:rPr>
        <w:sz w:val="20"/>
      </w:rPr>
    </w:pPr>
    <w:r>
      <w:rPr>
        <w:sz w:val="20"/>
      </w:rPr>
      <w:t>GE.</w:t>
    </w:r>
    <w:r w:rsidR="007F20FA">
      <w:rPr>
        <w:noProof/>
        <w:lang w:eastAsia="fr-CH"/>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18-01660  (F)</w:t>
    </w:r>
    <w:r w:rsidR="001A2FE3">
      <w:rPr>
        <w:sz w:val="20"/>
      </w:rPr>
      <w:t xml:space="preserve">    260218    270218</w:t>
    </w:r>
    <w:r>
      <w:rPr>
        <w:sz w:val="20"/>
      </w:rPr>
      <w:br/>
    </w:r>
    <w:r w:rsidRPr="00371B3A">
      <w:rPr>
        <w:rFonts w:ascii="C39T30Lfz" w:hAnsi="C39T30Lfz"/>
        <w:sz w:val="56"/>
      </w:rPr>
      <w:t></w:t>
    </w:r>
    <w:r w:rsidRPr="00371B3A">
      <w:rPr>
        <w:rFonts w:ascii="C39T30Lfz" w:hAnsi="C39T30Lfz"/>
        <w:sz w:val="56"/>
      </w:rPr>
      <w:t></w:t>
    </w:r>
    <w:r w:rsidRPr="00371B3A">
      <w:rPr>
        <w:rFonts w:ascii="C39T30Lfz" w:hAnsi="C39T30Lfz"/>
        <w:sz w:val="56"/>
      </w:rPr>
      <w:t></w:t>
    </w:r>
    <w:r w:rsidRPr="00371B3A">
      <w:rPr>
        <w:rFonts w:ascii="C39T30Lfz" w:hAnsi="C39T30Lfz"/>
        <w:sz w:val="56"/>
      </w:rPr>
      <w:t></w:t>
    </w:r>
    <w:r w:rsidRPr="00371B3A">
      <w:rPr>
        <w:rFonts w:ascii="C39T30Lfz" w:hAnsi="C39T30Lfz"/>
        <w:sz w:val="56"/>
      </w:rPr>
      <w:t></w:t>
    </w:r>
    <w:r w:rsidRPr="00371B3A">
      <w:rPr>
        <w:rFonts w:ascii="C39T30Lfz" w:hAnsi="C39T30Lfz"/>
        <w:sz w:val="56"/>
      </w:rPr>
      <w:t></w:t>
    </w:r>
    <w:r w:rsidRPr="00371B3A">
      <w:rPr>
        <w:rFonts w:ascii="C39T30Lfz" w:hAnsi="C39T30Lfz"/>
        <w:sz w:val="56"/>
      </w:rPr>
      <w:t></w:t>
    </w:r>
    <w:r w:rsidRPr="00371B3A">
      <w:rPr>
        <w:rFonts w:ascii="C39T30Lfz" w:hAnsi="C39T30Lfz"/>
        <w:sz w:val="56"/>
      </w:rPr>
      <w:t></w:t>
    </w:r>
    <w:r w:rsidRPr="00371B3A">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E/2018/10&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10&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170" w:rsidRPr="00AC3823" w:rsidRDefault="00300170" w:rsidP="00AC3823">
      <w:pPr>
        <w:pStyle w:val="Footer"/>
        <w:tabs>
          <w:tab w:val="right" w:pos="2155"/>
        </w:tabs>
        <w:spacing w:after="80" w:line="240" w:lineRule="atLeast"/>
        <w:ind w:left="680"/>
        <w:rPr>
          <w:u w:val="single"/>
        </w:rPr>
      </w:pPr>
      <w:r>
        <w:rPr>
          <w:u w:val="single"/>
        </w:rPr>
        <w:tab/>
      </w:r>
    </w:p>
  </w:footnote>
  <w:footnote w:type="continuationSeparator" w:id="0">
    <w:p w:rsidR="00300170" w:rsidRPr="00AC3823" w:rsidRDefault="00300170" w:rsidP="00AC3823">
      <w:pPr>
        <w:pStyle w:val="Footer"/>
        <w:tabs>
          <w:tab w:val="right" w:pos="2155"/>
        </w:tabs>
        <w:spacing w:after="80" w:line="240" w:lineRule="atLeast"/>
        <w:ind w:left="680"/>
        <w:rPr>
          <w:u w:val="single"/>
        </w:rPr>
      </w:pPr>
      <w:r>
        <w:rPr>
          <w:u w:val="single"/>
        </w:rPr>
        <w:tab/>
      </w:r>
    </w:p>
  </w:footnote>
  <w:footnote w:type="continuationNotice" w:id="1">
    <w:p w:rsidR="00300170" w:rsidRPr="00AC3823" w:rsidRDefault="00300170">
      <w:pPr>
        <w:spacing w:line="240" w:lineRule="auto"/>
        <w:rPr>
          <w:sz w:val="2"/>
          <w:szCs w:val="2"/>
        </w:rPr>
      </w:pPr>
    </w:p>
  </w:footnote>
  <w:footnote w:id="2">
    <w:p w:rsidR="00A2239C" w:rsidRPr="006B4971" w:rsidRDefault="00A2239C" w:rsidP="00A2239C">
      <w:pPr>
        <w:pStyle w:val="FootnoteText"/>
      </w:pPr>
      <w:r w:rsidRPr="00A90EA8">
        <w:tab/>
      </w:r>
      <w:r w:rsidRPr="006B4971">
        <w:rPr>
          <w:sz w:val="20"/>
        </w:rPr>
        <w:t>*</w:t>
      </w:r>
      <w:r w:rsidRPr="006B4971">
        <w:rPr>
          <w:sz w:val="20"/>
        </w:rPr>
        <w:tab/>
      </w:r>
      <w:r w:rsidRPr="00376955">
        <w:rPr>
          <w:spacing w:val="-1"/>
        </w:rPr>
        <w:t>Conformément au programme de travail du Comité des transports intérieurs pour la période 2014-2018 (ECE/TRANS/240</w:t>
      </w:r>
      <w:r w:rsidR="00376955" w:rsidRPr="00376955">
        <w:rPr>
          <w:spacing w:val="-1"/>
        </w:rPr>
        <w:t>, par. </w:t>
      </w:r>
      <w:r w:rsidRPr="00376955">
        <w:rPr>
          <w:spacing w:val="-1"/>
        </w:rPr>
        <w:t>105, et ECE/TRANS/2014/26, activité 02.4), le Forum mondial a pour mission d’élaborer, d’harmoniser et de mettre à jour les Règlements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3A" w:rsidRPr="00371B3A" w:rsidRDefault="00C76C82">
    <w:pPr>
      <w:pStyle w:val="Header"/>
    </w:pPr>
    <w:r>
      <w:fldChar w:fldCharType="begin"/>
    </w:r>
    <w:r>
      <w:instrText xml:space="preserve"> TITLE  \* MERGEFORMAT </w:instrText>
    </w:r>
    <w:r>
      <w:fldChar w:fldCharType="separate"/>
    </w:r>
    <w:r w:rsidR="001A2FE3">
      <w:t>ECE/TRANS/WP.29/GRE/2018/10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3A" w:rsidRPr="00371B3A" w:rsidRDefault="00C76C82" w:rsidP="00371B3A">
    <w:pPr>
      <w:pStyle w:val="Header"/>
      <w:jc w:val="right"/>
    </w:pPr>
    <w:r>
      <w:fldChar w:fldCharType="begin"/>
    </w:r>
    <w:r>
      <w:instrText xml:space="preserve"> TITLE  \* MERGEFORMAT </w:instrText>
    </w:r>
    <w:r>
      <w:fldChar w:fldCharType="separate"/>
    </w:r>
    <w:r w:rsidR="001A2FE3">
      <w:t>ECE/TRANS/WP.29/GRE/2018/10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70"/>
    <w:rsid w:val="00017F94"/>
    <w:rsid w:val="00023842"/>
    <w:rsid w:val="000334F9"/>
    <w:rsid w:val="00045FEB"/>
    <w:rsid w:val="0007796D"/>
    <w:rsid w:val="000B7790"/>
    <w:rsid w:val="00111F2F"/>
    <w:rsid w:val="00115564"/>
    <w:rsid w:val="0014365E"/>
    <w:rsid w:val="00143C66"/>
    <w:rsid w:val="00176178"/>
    <w:rsid w:val="001A2FE3"/>
    <w:rsid w:val="001F525A"/>
    <w:rsid w:val="00223272"/>
    <w:rsid w:val="0024779E"/>
    <w:rsid w:val="00257168"/>
    <w:rsid w:val="002744B8"/>
    <w:rsid w:val="002832AC"/>
    <w:rsid w:val="002D7C93"/>
    <w:rsid w:val="00300170"/>
    <w:rsid w:val="00305801"/>
    <w:rsid w:val="00322A77"/>
    <w:rsid w:val="00371B3A"/>
    <w:rsid w:val="00376955"/>
    <w:rsid w:val="003916DE"/>
    <w:rsid w:val="00404A7B"/>
    <w:rsid w:val="00441C3B"/>
    <w:rsid w:val="00446FE5"/>
    <w:rsid w:val="00452396"/>
    <w:rsid w:val="004837D8"/>
    <w:rsid w:val="004E468C"/>
    <w:rsid w:val="005505B7"/>
    <w:rsid w:val="00573BE5"/>
    <w:rsid w:val="0058202E"/>
    <w:rsid w:val="00586ED3"/>
    <w:rsid w:val="00596AA9"/>
    <w:rsid w:val="0071601D"/>
    <w:rsid w:val="007A62E6"/>
    <w:rsid w:val="007F20FA"/>
    <w:rsid w:val="0080684C"/>
    <w:rsid w:val="00871C75"/>
    <w:rsid w:val="008776DC"/>
    <w:rsid w:val="009446C0"/>
    <w:rsid w:val="009705C8"/>
    <w:rsid w:val="009C1CF4"/>
    <w:rsid w:val="009F65BA"/>
    <w:rsid w:val="009F6B74"/>
    <w:rsid w:val="00A2239C"/>
    <w:rsid w:val="00A30353"/>
    <w:rsid w:val="00AC3823"/>
    <w:rsid w:val="00AE323C"/>
    <w:rsid w:val="00AF0CB5"/>
    <w:rsid w:val="00B00181"/>
    <w:rsid w:val="00B00B0D"/>
    <w:rsid w:val="00B765F7"/>
    <w:rsid w:val="00BA0CA9"/>
    <w:rsid w:val="00C02897"/>
    <w:rsid w:val="00C76C82"/>
    <w:rsid w:val="00C97039"/>
    <w:rsid w:val="00D3439C"/>
    <w:rsid w:val="00DB1831"/>
    <w:rsid w:val="00DD3BFD"/>
    <w:rsid w:val="00DF6678"/>
    <w:rsid w:val="00E0299A"/>
    <w:rsid w:val="00E04FE8"/>
    <w:rsid w:val="00E85C74"/>
    <w:rsid w:val="00EA6547"/>
    <w:rsid w:val="00ED3810"/>
    <w:rsid w:val="00EE53BA"/>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BB0E26-C50B-4AFB-AA8A-3DDE6DB5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A2239C"/>
    <w:rPr>
      <w:rFonts w:ascii="Times New Roman" w:eastAsiaTheme="minorHAnsi" w:hAnsi="Times New Roman" w:cs="Times New Roman"/>
      <w:sz w:val="20"/>
      <w:szCs w:val="20"/>
      <w:lang w:eastAsia="en-US"/>
    </w:rPr>
  </w:style>
  <w:style w:type="character" w:customStyle="1" w:styleId="HChGChar">
    <w:name w:val="_ H _Ch_G Char"/>
    <w:link w:val="HChG"/>
    <w:rsid w:val="00A2239C"/>
    <w:rPr>
      <w:rFonts w:ascii="Times New Roman" w:eastAsiaTheme="minorHAnsi" w:hAnsi="Times New Roman" w:cs="Times New Roman"/>
      <w:b/>
      <w:sz w:val="28"/>
      <w:szCs w:val="20"/>
      <w:lang w:eastAsia="en-US"/>
    </w:rPr>
  </w:style>
  <w:style w:type="character" w:customStyle="1" w:styleId="H1GChar">
    <w:name w:val="_ H_1_G Char"/>
    <w:link w:val="H1G"/>
    <w:rsid w:val="00A2239C"/>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6281</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ECE/TRANS/WP.29/GRE/2018/10</vt:lpstr>
      <vt:lpstr>ECE/TRANS/WP.29/GRE/2018/10</vt:lpstr>
    </vt:vector>
  </TitlesOfParts>
  <Company>DCM</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ECE/TRANS/WP.29/GRE/2018/10</dc:title>
  <dc:subject/>
  <dc:creator>Nicolas MORIN</dc:creator>
  <cp:keywords/>
  <cp:lastModifiedBy>Benedicte Boudol</cp:lastModifiedBy>
  <cp:revision>2</cp:revision>
  <cp:lastPrinted>2018-02-27T07:38:00Z</cp:lastPrinted>
  <dcterms:created xsi:type="dcterms:W3CDTF">2018-02-27T10:55:00Z</dcterms:created>
  <dcterms:modified xsi:type="dcterms:W3CDTF">2018-02-27T10:55:00Z</dcterms:modified>
</cp:coreProperties>
</file>