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RPr="003D76AE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Pr="003D76AE" w:rsidRDefault="002D5AAC" w:rsidP="003D76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pacing w:val="0"/>
                <w:w w:val="100"/>
                <w:kern w:val="0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3D76AE" w:rsidRDefault="00DF71B9" w:rsidP="003D76AE">
            <w:pPr>
              <w:suppressAutoHyphens/>
              <w:spacing w:after="80" w:line="300" w:lineRule="exact"/>
              <w:rPr>
                <w:spacing w:val="0"/>
                <w:w w:val="100"/>
                <w:kern w:val="0"/>
                <w:sz w:val="28"/>
              </w:rPr>
            </w:pPr>
            <w:r w:rsidRPr="003D76AE">
              <w:rPr>
                <w:spacing w:val="0"/>
                <w:w w:val="100"/>
                <w:kern w:val="0"/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3D76AE" w:rsidRDefault="00C0513B" w:rsidP="003D76AE">
            <w:pPr>
              <w:suppressAutoHyphens/>
              <w:jc w:val="right"/>
              <w:rPr>
                <w:spacing w:val="0"/>
                <w:w w:val="100"/>
                <w:kern w:val="0"/>
              </w:rPr>
            </w:pPr>
            <w:r w:rsidRPr="003D76AE">
              <w:rPr>
                <w:spacing w:val="0"/>
                <w:w w:val="100"/>
                <w:kern w:val="0"/>
                <w:sz w:val="40"/>
              </w:rPr>
              <w:t>ECE</w:t>
            </w:r>
            <w:r w:rsidRPr="003D76AE">
              <w:rPr>
                <w:spacing w:val="0"/>
                <w:w w:val="100"/>
                <w:kern w:val="0"/>
              </w:rPr>
              <w:t>/TRANS/WP.29/GRE/2018/9</w:t>
            </w:r>
          </w:p>
        </w:tc>
      </w:tr>
      <w:tr w:rsidR="002D5AAC" w:rsidRPr="0051056A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3D76AE" w:rsidRDefault="002E5067" w:rsidP="003D76AE">
            <w:pPr>
              <w:suppressAutoHyphens/>
              <w:spacing w:before="120"/>
              <w:jc w:val="center"/>
              <w:rPr>
                <w:spacing w:val="0"/>
                <w:w w:val="100"/>
                <w:kern w:val="0"/>
              </w:rPr>
            </w:pPr>
            <w:r w:rsidRPr="003D76AE">
              <w:rPr>
                <w:noProof/>
                <w:spacing w:val="0"/>
                <w:w w:val="100"/>
                <w:kern w:val="0"/>
                <w:lang w:eastAsia="ru-RU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3D76AE" w:rsidRDefault="008A37C8" w:rsidP="003D76AE">
            <w:pPr>
              <w:suppressAutoHyphens/>
              <w:spacing w:before="120" w:line="460" w:lineRule="exact"/>
              <w:rPr>
                <w:b/>
                <w:spacing w:val="0"/>
                <w:w w:val="100"/>
                <w:kern w:val="0"/>
                <w:sz w:val="34"/>
                <w:szCs w:val="34"/>
              </w:rPr>
            </w:pPr>
            <w:r w:rsidRPr="003D76AE">
              <w:rPr>
                <w:rFonts w:eastAsia="Times New Roman" w:cs="Times New Roman"/>
                <w:b/>
                <w:spacing w:val="0"/>
                <w:w w:val="100"/>
                <w:kern w:val="0"/>
                <w:sz w:val="40"/>
                <w:szCs w:val="40"/>
              </w:rPr>
              <w:t xml:space="preserve">Экономический </w:t>
            </w:r>
            <w:r w:rsidRPr="003D76AE">
              <w:rPr>
                <w:rFonts w:eastAsia="Times New Roman" w:cs="Times New Roman"/>
                <w:b/>
                <w:spacing w:val="0"/>
                <w:w w:val="100"/>
                <w:kern w:val="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3D76AE" w:rsidRDefault="00C0513B" w:rsidP="003D76AE">
            <w:pPr>
              <w:suppressAutoHyphens/>
              <w:spacing w:before="240"/>
              <w:rPr>
                <w:spacing w:val="0"/>
                <w:w w:val="100"/>
                <w:kern w:val="0"/>
                <w:lang w:val="en-US"/>
              </w:rPr>
            </w:pPr>
            <w:r w:rsidRPr="003D76AE">
              <w:rPr>
                <w:spacing w:val="0"/>
                <w:w w:val="100"/>
                <w:kern w:val="0"/>
                <w:lang w:val="en-US"/>
              </w:rPr>
              <w:t>Distr.: General</w:t>
            </w:r>
          </w:p>
          <w:p w:rsidR="00C0513B" w:rsidRPr="003D76AE" w:rsidRDefault="00C0513B" w:rsidP="003D76AE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3D76AE">
              <w:rPr>
                <w:spacing w:val="0"/>
                <w:w w:val="100"/>
                <w:kern w:val="0"/>
                <w:lang w:val="en-US"/>
              </w:rPr>
              <w:t>6 February 2018</w:t>
            </w:r>
          </w:p>
          <w:p w:rsidR="00C0513B" w:rsidRPr="003D76AE" w:rsidRDefault="00C0513B" w:rsidP="003D76AE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3D76AE">
              <w:rPr>
                <w:spacing w:val="0"/>
                <w:w w:val="100"/>
                <w:kern w:val="0"/>
                <w:lang w:val="en-US"/>
              </w:rPr>
              <w:t>Russian</w:t>
            </w:r>
          </w:p>
          <w:p w:rsidR="00C0513B" w:rsidRPr="003D76AE" w:rsidRDefault="00C0513B" w:rsidP="003D76AE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3D76AE">
              <w:rPr>
                <w:spacing w:val="0"/>
                <w:w w:val="100"/>
                <w:kern w:val="0"/>
                <w:lang w:val="en-US"/>
              </w:rPr>
              <w:t>Original: English</w:t>
            </w:r>
          </w:p>
        </w:tc>
      </w:tr>
    </w:tbl>
    <w:p w:rsidR="008A37C8" w:rsidRPr="003D76AE" w:rsidRDefault="008A37C8" w:rsidP="003D76AE">
      <w:pPr>
        <w:suppressAutoHyphens/>
        <w:spacing w:before="120"/>
        <w:rPr>
          <w:b/>
          <w:spacing w:val="0"/>
          <w:w w:val="100"/>
          <w:kern w:val="0"/>
          <w:sz w:val="28"/>
          <w:szCs w:val="28"/>
        </w:rPr>
      </w:pPr>
      <w:r w:rsidRPr="003D76AE">
        <w:rPr>
          <w:b/>
          <w:spacing w:val="0"/>
          <w:w w:val="100"/>
          <w:kern w:val="0"/>
          <w:sz w:val="28"/>
          <w:szCs w:val="28"/>
        </w:rPr>
        <w:t>Европейская экономическая комиссия</w:t>
      </w:r>
    </w:p>
    <w:p w:rsidR="003D76AE" w:rsidRPr="003D76AE" w:rsidRDefault="003D76AE" w:rsidP="003D76AE">
      <w:pPr>
        <w:suppressAutoHyphens/>
        <w:spacing w:before="120"/>
        <w:rPr>
          <w:spacing w:val="0"/>
          <w:w w:val="100"/>
          <w:kern w:val="0"/>
          <w:sz w:val="28"/>
          <w:szCs w:val="28"/>
        </w:rPr>
      </w:pPr>
      <w:r w:rsidRPr="003D76AE">
        <w:rPr>
          <w:spacing w:val="0"/>
          <w:w w:val="100"/>
          <w:kern w:val="0"/>
          <w:sz w:val="28"/>
          <w:szCs w:val="28"/>
        </w:rPr>
        <w:t>Комитет по внутреннему транспорту</w:t>
      </w:r>
    </w:p>
    <w:p w:rsidR="003D76AE" w:rsidRPr="003D76AE" w:rsidRDefault="003D76AE" w:rsidP="003D76AE">
      <w:pPr>
        <w:suppressAutoHyphens/>
        <w:spacing w:before="120"/>
        <w:rPr>
          <w:b/>
          <w:bCs/>
          <w:spacing w:val="0"/>
          <w:w w:val="100"/>
          <w:kern w:val="0"/>
          <w:sz w:val="24"/>
          <w:szCs w:val="24"/>
        </w:rPr>
      </w:pPr>
      <w:r w:rsidRPr="003D76AE">
        <w:rPr>
          <w:b/>
          <w:bCs/>
          <w:spacing w:val="0"/>
          <w:w w:val="100"/>
          <w:kern w:val="0"/>
          <w:sz w:val="24"/>
          <w:szCs w:val="24"/>
        </w:rPr>
        <w:t xml:space="preserve">Всемирный форум для согласования правил </w:t>
      </w:r>
      <w:r w:rsidRPr="003D76AE">
        <w:rPr>
          <w:b/>
          <w:bCs/>
          <w:spacing w:val="0"/>
          <w:w w:val="100"/>
          <w:kern w:val="0"/>
          <w:sz w:val="24"/>
          <w:szCs w:val="24"/>
        </w:rPr>
        <w:br/>
        <w:t>в области транспортных средств</w:t>
      </w:r>
    </w:p>
    <w:p w:rsidR="003D76AE" w:rsidRPr="003D76AE" w:rsidRDefault="003D76AE" w:rsidP="003D76AE">
      <w:pPr>
        <w:suppressAutoHyphens/>
        <w:spacing w:before="120" w:after="120"/>
        <w:rPr>
          <w:b/>
          <w:bCs/>
          <w:spacing w:val="0"/>
          <w:w w:val="100"/>
          <w:kern w:val="0"/>
        </w:rPr>
      </w:pPr>
      <w:r w:rsidRPr="003D76AE">
        <w:rPr>
          <w:b/>
          <w:bCs/>
          <w:spacing w:val="0"/>
          <w:w w:val="100"/>
          <w:kern w:val="0"/>
        </w:rPr>
        <w:t xml:space="preserve">Рабочая группа по вопросам освещения </w:t>
      </w:r>
      <w:r w:rsidRPr="003D76AE">
        <w:rPr>
          <w:b/>
          <w:bCs/>
          <w:spacing w:val="0"/>
          <w:w w:val="100"/>
          <w:kern w:val="0"/>
        </w:rPr>
        <w:br/>
        <w:t>и световой сигнализации</w:t>
      </w:r>
    </w:p>
    <w:p w:rsidR="003D76AE" w:rsidRPr="003D76AE" w:rsidRDefault="003D76AE" w:rsidP="003D76AE">
      <w:pPr>
        <w:suppressAutoHyphens/>
        <w:rPr>
          <w:b/>
          <w:bCs/>
          <w:spacing w:val="0"/>
          <w:w w:val="100"/>
          <w:kern w:val="0"/>
        </w:rPr>
      </w:pPr>
      <w:r w:rsidRPr="003D76AE">
        <w:rPr>
          <w:b/>
          <w:bCs/>
          <w:spacing w:val="0"/>
          <w:w w:val="100"/>
          <w:kern w:val="0"/>
        </w:rPr>
        <w:t>Семьдесят девятая сессия</w:t>
      </w:r>
    </w:p>
    <w:p w:rsidR="003D76AE" w:rsidRPr="003D76AE" w:rsidRDefault="003D76AE" w:rsidP="003D76AE">
      <w:pPr>
        <w:suppressAutoHyphens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>Женева, 24–27 апреля 2018 года</w:t>
      </w:r>
    </w:p>
    <w:p w:rsidR="003D76AE" w:rsidRPr="003D76AE" w:rsidRDefault="003D76AE" w:rsidP="003D76AE">
      <w:pPr>
        <w:suppressAutoHyphens/>
        <w:ind w:right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>Пункт 4 предварительной повестки дня</w:t>
      </w:r>
    </w:p>
    <w:p w:rsidR="00C0513B" w:rsidRPr="003D76AE" w:rsidRDefault="003D76AE" w:rsidP="003D76AE">
      <w:pPr>
        <w:suppressAutoHyphens/>
        <w:spacing w:line="240" w:lineRule="auto"/>
        <w:rPr>
          <w:spacing w:val="0"/>
          <w:w w:val="100"/>
          <w:kern w:val="0"/>
        </w:rPr>
      </w:pPr>
      <w:r w:rsidRPr="003D76AE">
        <w:rPr>
          <w:b/>
          <w:bCs/>
          <w:spacing w:val="0"/>
          <w:w w:val="100"/>
          <w:kern w:val="0"/>
        </w:rPr>
        <w:t>Упрощение правил, касающихся освещения и световой сигнализации</w:t>
      </w:r>
    </w:p>
    <w:p w:rsidR="003D76AE" w:rsidRPr="003D76AE" w:rsidRDefault="003D76AE" w:rsidP="003D76AE">
      <w:pPr>
        <w:pStyle w:val="HChGR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ab/>
      </w:r>
      <w:r w:rsidRPr="003D76AE">
        <w:rPr>
          <w:spacing w:val="0"/>
          <w:w w:val="100"/>
          <w:kern w:val="0"/>
        </w:rPr>
        <w:tab/>
        <w:t>Предложение по дополнению [1] к поправкам серии 0</w:t>
      </w:r>
      <w:r>
        <w:rPr>
          <w:spacing w:val="0"/>
          <w:w w:val="100"/>
          <w:kern w:val="0"/>
        </w:rPr>
        <w:t>1 к </w:t>
      </w:r>
      <w:r w:rsidRPr="003D76AE">
        <w:rPr>
          <w:spacing w:val="0"/>
          <w:w w:val="100"/>
          <w:kern w:val="0"/>
        </w:rPr>
        <w:t>Правилам № 86</w:t>
      </w:r>
    </w:p>
    <w:p w:rsidR="003D76AE" w:rsidRPr="003D76AE" w:rsidRDefault="003D76AE" w:rsidP="003D76AE">
      <w:pPr>
        <w:pStyle w:val="H1GR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ab/>
      </w:r>
      <w:r w:rsidRPr="003D76AE">
        <w:rPr>
          <w:spacing w:val="0"/>
          <w:w w:val="100"/>
          <w:kern w:val="0"/>
        </w:rPr>
        <w:tab/>
        <w:t>Представлено Неофициальной группой по упрощению правил, касающихся освещения и световой сигнализации (НРГ по УПО)</w:t>
      </w:r>
      <w:r w:rsidRPr="003D76AE">
        <w:rPr>
          <w:b w:val="0"/>
          <w:spacing w:val="0"/>
          <w:w w:val="100"/>
          <w:kern w:val="0"/>
          <w:sz w:val="20"/>
        </w:rPr>
        <w:footnoteReference w:customMarkFollows="1" w:id="1"/>
        <w:t>*</w:t>
      </w:r>
      <w:r w:rsidRPr="003D76AE">
        <w:rPr>
          <w:spacing w:val="0"/>
          <w:w w:val="100"/>
          <w:kern w:val="0"/>
        </w:rPr>
        <w:t xml:space="preserve"> </w:t>
      </w:r>
    </w:p>
    <w:p w:rsidR="00C0513B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ab/>
        <w:t xml:space="preserve">Воспроизведенный ниже текст был подготовлен НРГ по УПО на основе неофициального документа GRE-78-13 в целях </w:t>
      </w:r>
      <w:r>
        <w:rPr>
          <w:spacing w:val="0"/>
          <w:w w:val="100"/>
          <w:kern w:val="0"/>
        </w:rPr>
        <w:t>включения в поправки серии 01 к </w:t>
      </w:r>
      <w:r w:rsidRPr="003D76AE">
        <w:rPr>
          <w:spacing w:val="0"/>
          <w:w w:val="100"/>
          <w:kern w:val="0"/>
        </w:rPr>
        <w:t xml:space="preserve">Правилам № 86 ссылок на три новых упрощенных правила, касающиеся устройств световой сигнализации (УСС), устройств освещения дороги (УОД) и светоотражающих устройств (СОУ). Изменения </w:t>
      </w:r>
      <w:r>
        <w:rPr>
          <w:spacing w:val="0"/>
          <w:w w:val="100"/>
          <w:kern w:val="0"/>
        </w:rPr>
        <w:t>к существующему тексту Правил № </w:t>
      </w:r>
      <w:r w:rsidRPr="003D76AE">
        <w:rPr>
          <w:spacing w:val="0"/>
          <w:w w:val="100"/>
          <w:kern w:val="0"/>
        </w:rPr>
        <w:t>86 выделены жирным шрифтом в случае новых положений или зачеркиванием в случае исключенных элементов. Часть текста заключена в квадратные скобки для указания на то, что требуется продолжить обсуждение и принять решение.</w:t>
      </w:r>
    </w:p>
    <w:p w:rsidR="003D76AE" w:rsidRPr="003D76AE" w:rsidRDefault="003D76AE" w:rsidP="003D76AE">
      <w:pPr>
        <w:suppressAutoHyphens/>
        <w:spacing w:line="240" w:lineRule="auto"/>
        <w:rPr>
          <w:rFonts w:eastAsia="Times New Roman" w:cs="Times New Roman"/>
          <w:spacing w:val="0"/>
          <w:w w:val="100"/>
          <w:kern w:val="0"/>
          <w:szCs w:val="20"/>
        </w:rPr>
      </w:pPr>
      <w:r w:rsidRPr="003D76AE">
        <w:rPr>
          <w:spacing w:val="0"/>
          <w:w w:val="100"/>
          <w:kern w:val="0"/>
        </w:rPr>
        <w:br w:type="page"/>
      </w:r>
    </w:p>
    <w:p w:rsidR="003D76AE" w:rsidRPr="003D76AE" w:rsidRDefault="003D76AE" w:rsidP="003D76AE">
      <w:pPr>
        <w:pStyle w:val="HChGR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lastRenderedPageBreak/>
        <w:tab/>
        <w:t>I.</w:t>
      </w:r>
      <w:r w:rsidRPr="003D76AE">
        <w:rPr>
          <w:spacing w:val="0"/>
          <w:w w:val="100"/>
          <w:kern w:val="0"/>
        </w:rPr>
        <w:tab/>
        <w:t>Предложение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2.20.1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3D76AE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«2.20.1 </w:t>
      </w:r>
      <w:r w:rsidRPr="003D76AE">
        <w:rPr>
          <w:spacing w:val="0"/>
          <w:w w:val="100"/>
          <w:kern w:val="0"/>
        </w:rPr>
        <w:tab/>
      </w:r>
      <w:r w:rsidR="0051056A">
        <w:t>"</w:t>
      </w:r>
      <w:r w:rsidRPr="003D76AE">
        <w:rPr>
          <w:i/>
          <w:iCs/>
          <w:spacing w:val="0"/>
          <w:w w:val="100"/>
          <w:kern w:val="0"/>
        </w:rPr>
        <w:t>задний опознавательный знак тихоходных транспортных средств (TTC)</w:t>
      </w:r>
      <w:r w:rsidR="008D218D">
        <w:t>"</w:t>
      </w:r>
      <w:r w:rsidRPr="003D76AE">
        <w:rPr>
          <w:spacing w:val="0"/>
          <w:w w:val="100"/>
          <w:kern w:val="0"/>
        </w:rPr>
        <w:t xml:space="preserve"> − это треугольный знак со срезанными углами и характерной структурой лицевой стороны, покрытой светоотражающими и флуоресцирующими материалами или приспособлениями (класс 1) либо только светоотражающими материал</w:t>
      </w:r>
      <w:r>
        <w:rPr>
          <w:spacing w:val="0"/>
          <w:w w:val="100"/>
          <w:kern w:val="0"/>
        </w:rPr>
        <w:t>ами или приспособлениями (класс </w:t>
      </w:r>
      <w:r w:rsidRPr="003D76AE">
        <w:rPr>
          <w:spacing w:val="0"/>
          <w:w w:val="100"/>
          <w:kern w:val="0"/>
        </w:rPr>
        <w:t xml:space="preserve">2) (см., например, Правила № 69 ООН </w:t>
      </w:r>
      <w:r w:rsidRPr="003D76AE">
        <w:rPr>
          <w:b/>
          <w:bCs/>
          <w:spacing w:val="0"/>
          <w:w w:val="100"/>
          <w:kern w:val="0"/>
        </w:rPr>
        <w:t>или [СОУ]</w:t>
      </w:r>
      <w:r w:rsidRPr="003D76AE">
        <w:rPr>
          <w:spacing w:val="0"/>
          <w:w w:val="100"/>
          <w:kern w:val="0"/>
        </w:rPr>
        <w:t xml:space="preserve">)». 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6.1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«6.1 </w:t>
      </w:r>
      <w:r w:rsidRPr="003D76AE">
        <w:rPr>
          <w:spacing w:val="0"/>
          <w:w w:val="100"/>
          <w:kern w:val="0"/>
        </w:rPr>
        <w:tab/>
        <w:t xml:space="preserve">Фары дальнего света (правила № 98, 112 и 113 </w:t>
      </w:r>
      <w:r w:rsidRPr="003D76AE">
        <w:rPr>
          <w:b/>
          <w:bCs/>
          <w:spacing w:val="0"/>
          <w:w w:val="100"/>
          <w:kern w:val="0"/>
        </w:rPr>
        <w:t>или [УОД]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6.2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«6.2 </w:t>
      </w:r>
      <w:r w:rsidRPr="003D76AE">
        <w:rPr>
          <w:spacing w:val="0"/>
          <w:w w:val="100"/>
          <w:kern w:val="0"/>
        </w:rPr>
        <w:tab/>
        <w:t xml:space="preserve">Фары дальнего света (правила № 98, 112 и 113 </w:t>
      </w:r>
      <w:r w:rsidRPr="003D76AE">
        <w:rPr>
          <w:b/>
          <w:bCs/>
          <w:spacing w:val="0"/>
          <w:w w:val="100"/>
          <w:kern w:val="0"/>
        </w:rPr>
        <w:t>или [УОД]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6.3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>«6.3</w:t>
      </w:r>
      <w:r w:rsidRPr="003D76AE">
        <w:rPr>
          <w:spacing w:val="0"/>
          <w:w w:val="100"/>
          <w:kern w:val="0"/>
        </w:rPr>
        <w:tab/>
        <w:t xml:space="preserve">Передние противотуманные фары (Правила № 19 </w:t>
      </w:r>
      <w:r w:rsidRPr="003D76AE">
        <w:rPr>
          <w:b/>
          <w:bCs/>
          <w:spacing w:val="0"/>
          <w:w w:val="100"/>
          <w:kern w:val="0"/>
        </w:rPr>
        <w:t>или [УОД]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6.4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«6.4 </w:t>
      </w:r>
      <w:r w:rsidRPr="003D76AE">
        <w:rPr>
          <w:spacing w:val="0"/>
          <w:w w:val="100"/>
          <w:kern w:val="0"/>
        </w:rPr>
        <w:tab/>
        <w:t xml:space="preserve">Задняя(ие) фара(ы) (Правила № 23 </w:t>
      </w:r>
      <w:r w:rsidRPr="003D76AE">
        <w:rPr>
          <w:b/>
          <w:bCs/>
          <w:spacing w:val="0"/>
          <w:w w:val="100"/>
          <w:kern w:val="0"/>
        </w:rPr>
        <w:t>или [УСС]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6.5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«6.5 </w:t>
      </w:r>
      <w:r w:rsidRPr="003D76AE">
        <w:rPr>
          <w:spacing w:val="0"/>
          <w:w w:val="100"/>
          <w:kern w:val="0"/>
        </w:rPr>
        <w:tab/>
        <w:t>Указатели поворота (Правила № 6</w:t>
      </w:r>
      <w:r w:rsidRPr="003D76AE">
        <w:rPr>
          <w:b/>
          <w:bCs/>
          <w:spacing w:val="0"/>
          <w:w w:val="100"/>
          <w:kern w:val="0"/>
        </w:rPr>
        <w:t xml:space="preserve"> или [УСС])</w:t>
      </w:r>
      <w:r w:rsidRPr="003D76AE">
        <w:rPr>
          <w:spacing w:val="0"/>
          <w:w w:val="100"/>
          <w:kern w:val="0"/>
        </w:rPr>
        <w:t>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Пункты 6</w:t>
      </w:r>
      <w:r w:rsidR="007A5D6E" w:rsidRPr="00C728A8">
        <w:rPr>
          <w:i/>
          <w:iCs/>
          <w:spacing w:val="0"/>
          <w:w w:val="100"/>
          <w:kern w:val="0"/>
        </w:rPr>
        <w:t>.</w:t>
      </w:r>
      <w:r w:rsidRPr="003D76AE">
        <w:rPr>
          <w:i/>
          <w:iCs/>
          <w:spacing w:val="0"/>
          <w:w w:val="100"/>
          <w:kern w:val="0"/>
        </w:rPr>
        <w:t>7 и 6.7.1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>«6.7</w:t>
      </w:r>
      <w:r w:rsidRPr="003D76AE">
        <w:rPr>
          <w:spacing w:val="0"/>
          <w:w w:val="100"/>
          <w:kern w:val="0"/>
        </w:rPr>
        <w:tab/>
        <w:t xml:space="preserve">Сигналы торможения (Правила № 7 </w:t>
      </w:r>
      <w:r w:rsidRPr="003D76AE">
        <w:rPr>
          <w:b/>
          <w:bCs/>
          <w:spacing w:val="0"/>
          <w:w w:val="100"/>
          <w:kern w:val="0"/>
        </w:rPr>
        <w:t>или [УСС]</w:t>
      </w:r>
      <w:r w:rsidRPr="003D76AE">
        <w:rPr>
          <w:spacing w:val="0"/>
          <w:w w:val="100"/>
          <w:kern w:val="0"/>
        </w:rPr>
        <w:t>)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6.7.1 </w:t>
      </w:r>
      <w:r w:rsidRPr="003D76AE">
        <w:rPr>
          <w:spacing w:val="0"/>
          <w:w w:val="100"/>
          <w:kern w:val="0"/>
        </w:rPr>
        <w:tab/>
        <w:t>Установка:</w:t>
      </w:r>
      <w:r w:rsidRPr="003D76AE">
        <w:rPr>
          <w:spacing w:val="0"/>
          <w:w w:val="100"/>
          <w:kern w:val="0"/>
        </w:rPr>
        <w:tab/>
        <w:t>Устройства категории S1 или S2, как указано в Правилах</w:t>
      </w:r>
      <w:r>
        <w:rPr>
          <w:spacing w:val="0"/>
          <w:w w:val="100"/>
          <w:kern w:val="0"/>
          <w:lang w:val="en-US"/>
        </w:rPr>
        <w:t> </w:t>
      </w:r>
      <w:r>
        <w:rPr>
          <w:spacing w:val="0"/>
          <w:w w:val="100"/>
          <w:kern w:val="0"/>
        </w:rPr>
        <w:t>№ </w:t>
      </w:r>
      <w:r w:rsidRPr="003D76AE">
        <w:rPr>
          <w:spacing w:val="0"/>
          <w:w w:val="100"/>
          <w:kern w:val="0"/>
        </w:rPr>
        <w:t xml:space="preserve">7 </w:t>
      </w:r>
      <w:r w:rsidRPr="003D76AE">
        <w:rPr>
          <w:b/>
          <w:bCs/>
          <w:spacing w:val="0"/>
          <w:w w:val="100"/>
          <w:kern w:val="0"/>
        </w:rPr>
        <w:t>или [УСС]</w:t>
      </w:r>
      <w:r w:rsidRPr="003D76AE">
        <w:rPr>
          <w:spacing w:val="0"/>
          <w:w w:val="100"/>
          <w:kern w:val="0"/>
        </w:rPr>
        <w:t>: обязательна на всех транспортных средствах.</w:t>
      </w:r>
    </w:p>
    <w:p w:rsidR="003D76AE" w:rsidRPr="003D76AE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ab/>
        <w:t xml:space="preserve">Устройства категории S3 или S4, как указано в Правилах № 7 </w:t>
      </w:r>
      <w:r w:rsidRPr="003D76AE">
        <w:rPr>
          <w:b/>
          <w:bCs/>
          <w:spacing w:val="0"/>
          <w:w w:val="100"/>
          <w:kern w:val="0"/>
        </w:rPr>
        <w:t>или [УСС]</w:t>
      </w:r>
      <w:r w:rsidRPr="003D76AE">
        <w:rPr>
          <w:spacing w:val="0"/>
          <w:w w:val="100"/>
          <w:kern w:val="0"/>
        </w:rPr>
        <w:t>: факультативна на всех транспортных средствах</w:t>
      </w:r>
      <w:r w:rsidR="00C728A8" w:rsidRPr="003D76AE">
        <w:rPr>
          <w:spacing w:val="0"/>
          <w:w w:val="100"/>
          <w:kern w:val="0"/>
        </w:rPr>
        <w:t>»</w:t>
      </w:r>
      <w:r w:rsidRPr="003D76AE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6.8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>«6.8</w:t>
      </w:r>
      <w:r w:rsidRPr="003D76AE">
        <w:rPr>
          <w:spacing w:val="0"/>
          <w:w w:val="100"/>
          <w:kern w:val="0"/>
        </w:rPr>
        <w:tab/>
        <w:t xml:space="preserve">Передние габаритные огни (Правила № 7 </w:t>
      </w:r>
      <w:r w:rsidRPr="003D76AE">
        <w:rPr>
          <w:b/>
          <w:bCs/>
          <w:spacing w:val="0"/>
          <w:w w:val="100"/>
          <w:kern w:val="0"/>
        </w:rPr>
        <w:t>или [УСС]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6.9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>«6.9</w:t>
      </w:r>
      <w:r w:rsidRPr="003D76AE">
        <w:rPr>
          <w:spacing w:val="0"/>
          <w:w w:val="100"/>
          <w:kern w:val="0"/>
        </w:rPr>
        <w:tab/>
        <w:t xml:space="preserve">Задние габаритные огни (Правила № 7 </w:t>
      </w:r>
      <w:r w:rsidRPr="003D76AE">
        <w:rPr>
          <w:b/>
          <w:bCs/>
          <w:spacing w:val="0"/>
          <w:w w:val="100"/>
          <w:kern w:val="0"/>
        </w:rPr>
        <w:t>или [УСС]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6.10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«6.10 </w:t>
      </w:r>
      <w:r w:rsidRPr="003D76AE">
        <w:rPr>
          <w:spacing w:val="0"/>
          <w:w w:val="100"/>
          <w:kern w:val="0"/>
        </w:rPr>
        <w:tab/>
        <w:t xml:space="preserve">Задние противотуманные огни (Правила № 38 </w:t>
      </w:r>
      <w:r w:rsidRPr="003D76AE">
        <w:rPr>
          <w:b/>
          <w:bCs/>
          <w:spacing w:val="0"/>
          <w:w w:val="100"/>
          <w:kern w:val="0"/>
        </w:rPr>
        <w:t>или [УСС]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6.11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«6.11 </w:t>
      </w:r>
      <w:r w:rsidRPr="003D76AE">
        <w:rPr>
          <w:spacing w:val="0"/>
          <w:w w:val="100"/>
          <w:kern w:val="0"/>
        </w:rPr>
        <w:tab/>
        <w:t xml:space="preserve">Стояночные огни (Правила № 77, или 7 </w:t>
      </w:r>
      <w:r w:rsidRPr="003D76AE">
        <w:rPr>
          <w:b/>
          <w:bCs/>
          <w:spacing w:val="0"/>
          <w:w w:val="100"/>
          <w:kern w:val="0"/>
        </w:rPr>
        <w:t>или [УСС]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6.12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>«6.12</w:t>
      </w:r>
      <w:r w:rsidRPr="003D76AE">
        <w:rPr>
          <w:spacing w:val="0"/>
          <w:w w:val="100"/>
          <w:kern w:val="0"/>
        </w:rPr>
        <w:tab/>
        <w:t>Контурные огни (правила № 7</w:t>
      </w:r>
      <w:r w:rsidRPr="003D76AE">
        <w:rPr>
          <w:b/>
          <w:bCs/>
          <w:spacing w:val="0"/>
          <w:w w:val="100"/>
          <w:kern w:val="0"/>
        </w:rPr>
        <w:t xml:space="preserve"> или [УСС]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6.14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«6.14 </w:t>
      </w:r>
      <w:r w:rsidRPr="003D76AE">
        <w:rPr>
          <w:spacing w:val="0"/>
          <w:w w:val="100"/>
          <w:kern w:val="0"/>
        </w:rPr>
        <w:tab/>
        <w:t>Задние светоотражающие устройства нетреугольной формы (Правила</w:t>
      </w:r>
      <w:r>
        <w:rPr>
          <w:spacing w:val="0"/>
          <w:w w:val="100"/>
          <w:kern w:val="0"/>
          <w:lang w:val="en-US"/>
        </w:rPr>
        <w:t> </w:t>
      </w:r>
      <w:r w:rsidRPr="003D76AE">
        <w:rPr>
          <w:spacing w:val="0"/>
          <w:w w:val="100"/>
          <w:kern w:val="0"/>
        </w:rPr>
        <w:t>№</w:t>
      </w:r>
      <w:r>
        <w:rPr>
          <w:spacing w:val="0"/>
          <w:w w:val="100"/>
          <w:kern w:val="0"/>
          <w:lang w:val="en-US"/>
        </w:rPr>
        <w:t> </w:t>
      </w:r>
      <w:r w:rsidRPr="003D76AE">
        <w:rPr>
          <w:spacing w:val="0"/>
          <w:w w:val="100"/>
          <w:kern w:val="0"/>
        </w:rPr>
        <w:t xml:space="preserve">3 </w:t>
      </w:r>
      <w:r w:rsidRPr="003D76AE">
        <w:rPr>
          <w:b/>
          <w:bCs/>
          <w:spacing w:val="0"/>
          <w:w w:val="100"/>
          <w:kern w:val="0"/>
        </w:rPr>
        <w:t>или [СОУ]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6.14.2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>«6.14.2</w:t>
      </w:r>
      <w:r w:rsidRPr="003D76AE">
        <w:rPr>
          <w:spacing w:val="0"/>
          <w:w w:val="100"/>
          <w:kern w:val="0"/>
        </w:rPr>
        <w:tab/>
        <w:t>Количество: Два или четыре (см. пункт 6.14.5.1).</w:t>
      </w:r>
    </w:p>
    <w:p w:rsidR="003D76AE" w:rsidRPr="003D76AE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ab/>
        <w:t xml:space="preserve">Характеристики этих устройств должны соответствовать требованиям для светоотражающих устройств класса IA или IВ, изложенным в Правилах № 3 </w:t>
      </w:r>
      <w:r w:rsidRPr="003D76AE">
        <w:rPr>
          <w:b/>
          <w:bCs/>
          <w:spacing w:val="0"/>
          <w:w w:val="100"/>
          <w:kern w:val="0"/>
        </w:rPr>
        <w:t>или [СОУ]</w:t>
      </w:r>
      <w:r w:rsidRPr="003D76AE">
        <w:rPr>
          <w:spacing w:val="0"/>
          <w:w w:val="100"/>
          <w:kern w:val="0"/>
        </w:rPr>
        <w:t xml:space="preserve">. Дополнительные светоотражающие устройства и материалы (включая два светоотражающих устройства, не </w:t>
      </w:r>
      <w:r w:rsidRPr="003D76AE">
        <w:rPr>
          <w:spacing w:val="0"/>
          <w:w w:val="100"/>
          <w:kern w:val="0"/>
        </w:rPr>
        <w:lastRenderedPageBreak/>
        <w:t>соответствующих пункту 6.14.4 ниже) разрешаются при условии, что они не снижают эффективности обязательных устройств освещения и световой сигнализации».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6.15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>«6.15</w:t>
      </w:r>
      <w:r w:rsidRPr="003D76AE">
        <w:rPr>
          <w:spacing w:val="0"/>
          <w:w w:val="100"/>
          <w:kern w:val="0"/>
        </w:rPr>
        <w:tab/>
        <w:t>Боковые светоотражающие устройства нетреугольной формы (П</w:t>
      </w:r>
      <w:r>
        <w:rPr>
          <w:spacing w:val="0"/>
          <w:w w:val="100"/>
          <w:kern w:val="0"/>
        </w:rPr>
        <w:t>равила </w:t>
      </w:r>
      <w:r w:rsidRPr="003D76AE">
        <w:rPr>
          <w:spacing w:val="0"/>
          <w:w w:val="100"/>
          <w:kern w:val="0"/>
        </w:rPr>
        <w:t xml:space="preserve">№ 3 </w:t>
      </w:r>
      <w:r w:rsidRPr="003D76AE">
        <w:rPr>
          <w:b/>
          <w:bCs/>
          <w:spacing w:val="0"/>
          <w:w w:val="100"/>
          <w:kern w:val="0"/>
        </w:rPr>
        <w:t>или [СОУ]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6.15.2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3D76AE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«6.15.2 </w:t>
      </w:r>
      <w:r w:rsidRPr="003D76AE">
        <w:rPr>
          <w:spacing w:val="0"/>
          <w:w w:val="100"/>
          <w:kern w:val="0"/>
        </w:rPr>
        <w:tab/>
        <w:t xml:space="preserve">Количество: </w:t>
      </w:r>
    </w:p>
    <w:p w:rsidR="003D76AE" w:rsidRPr="003D76AE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ab/>
        <w:t xml:space="preserve">Количество светоотражающих приспособлений должно быть таким, чтобы выполнялись требования в отношении размещения по длине. Характеристики этих устройств должны соответствовать требованиям для светоотражающих устройств класса IA или IВ, изложенным в Правилах № 3 </w:t>
      </w:r>
      <w:r w:rsidRPr="003D76AE">
        <w:rPr>
          <w:b/>
          <w:bCs/>
          <w:spacing w:val="0"/>
          <w:w w:val="100"/>
          <w:kern w:val="0"/>
        </w:rPr>
        <w:t>или [СОУ]</w:t>
      </w:r>
      <w:r w:rsidRPr="003D76AE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ab/>
        <w:t>Дополнительные светоотражающие приспособления и материалы (включая два светоотражающих приспособления, не соответствующих пункту 6.15.4 ниже) разрешаются при условии, что они не снижают эффективности обязательных устройств освещения и световой сигнализации».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6.16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«6.16 </w:t>
      </w:r>
      <w:r w:rsidRPr="003D76AE">
        <w:rPr>
          <w:spacing w:val="0"/>
          <w:w w:val="100"/>
          <w:kern w:val="0"/>
        </w:rPr>
        <w:tab/>
        <w:t xml:space="preserve">Устройство освещения заднего регистрационного знака (Правила № 4 </w:t>
      </w:r>
      <w:r w:rsidRPr="003D76AE">
        <w:rPr>
          <w:b/>
          <w:bCs/>
          <w:spacing w:val="0"/>
          <w:w w:val="100"/>
          <w:kern w:val="0"/>
        </w:rPr>
        <w:t>или [УСС]</w:t>
      </w:r>
      <w:r w:rsidRPr="003D76AE">
        <w:rPr>
          <w:spacing w:val="0"/>
          <w:w w:val="100"/>
          <w:kern w:val="0"/>
        </w:rPr>
        <w:t>)</w:t>
      </w:r>
      <w:r w:rsidR="00DA6D44" w:rsidRPr="003D76AE">
        <w:rPr>
          <w:spacing w:val="0"/>
          <w:w w:val="100"/>
          <w:kern w:val="0"/>
        </w:rPr>
        <w:t>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6.17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>«6.17</w:t>
      </w:r>
      <w:r w:rsidRPr="003D76AE">
        <w:rPr>
          <w:spacing w:val="0"/>
          <w:w w:val="100"/>
          <w:kern w:val="0"/>
        </w:rPr>
        <w:tab/>
        <w:t>Передние светоотражающие устройства</w:t>
      </w:r>
      <w:r>
        <w:rPr>
          <w:spacing w:val="0"/>
          <w:w w:val="100"/>
          <w:kern w:val="0"/>
        </w:rPr>
        <w:t xml:space="preserve"> нетреугольной формы (Правила </w:t>
      </w:r>
      <w:r w:rsidRPr="003D76AE">
        <w:rPr>
          <w:spacing w:val="0"/>
          <w:w w:val="100"/>
          <w:kern w:val="0"/>
        </w:rPr>
        <w:t xml:space="preserve">№ 3 </w:t>
      </w:r>
      <w:r w:rsidRPr="003D76AE">
        <w:rPr>
          <w:b/>
          <w:bCs/>
          <w:spacing w:val="0"/>
          <w:w w:val="100"/>
          <w:kern w:val="0"/>
        </w:rPr>
        <w:t>или [СОУ]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6.18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«6.18 </w:t>
      </w:r>
      <w:r w:rsidRPr="003D76AE">
        <w:rPr>
          <w:spacing w:val="0"/>
          <w:w w:val="100"/>
          <w:kern w:val="0"/>
        </w:rPr>
        <w:tab/>
        <w:t xml:space="preserve">Боковые габаритные огни (Правила № 91 </w:t>
      </w:r>
      <w:r w:rsidRPr="003D76AE">
        <w:rPr>
          <w:b/>
          <w:bCs/>
          <w:spacing w:val="0"/>
          <w:w w:val="100"/>
          <w:kern w:val="0"/>
        </w:rPr>
        <w:t>или [УСС]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6.19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«6.19 </w:t>
      </w:r>
      <w:r w:rsidRPr="003D76AE">
        <w:rPr>
          <w:spacing w:val="0"/>
          <w:w w:val="100"/>
          <w:kern w:val="0"/>
        </w:rPr>
        <w:tab/>
        <w:t xml:space="preserve">Дневной ходовой огонь (Правила № 87 </w:t>
      </w:r>
      <w:r w:rsidRPr="003D76AE">
        <w:rPr>
          <w:b/>
          <w:bCs/>
          <w:spacing w:val="0"/>
          <w:w w:val="100"/>
          <w:kern w:val="0"/>
        </w:rPr>
        <w:t>или [УСС]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6.20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«6.20 </w:t>
      </w:r>
      <w:r w:rsidRPr="003D76AE">
        <w:rPr>
          <w:spacing w:val="0"/>
          <w:w w:val="100"/>
          <w:kern w:val="0"/>
        </w:rPr>
        <w:tab/>
        <w:t xml:space="preserve">Огонь подсветки поворота (Правила № 119 </w:t>
      </w:r>
      <w:r w:rsidRPr="003D76AE">
        <w:rPr>
          <w:b/>
          <w:bCs/>
          <w:spacing w:val="0"/>
          <w:w w:val="100"/>
          <w:kern w:val="0"/>
        </w:rPr>
        <w:t>или [УОД]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6C4599">
        <w:rPr>
          <w:i/>
          <w:spacing w:val="0"/>
          <w:w w:val="100"/>
          <w:kern w:val="0"/>
        </w:rPr>
        <w:t xml:space="preserve">Пункт 6.21 </w:t>
      </w:r>
      <w:r w:rsidRPr="003D76AE">
        <w:rPr>
          <w:spacing w:val="0"/>
          <w:w w:val="100"/>
          <w:kern w:val="0"/>
        </w:rPr>
        <w:t>изменить следующим образом:</w:t>
      </w:r>
    </w:p>
    <w:p w:rsidR="003D76AE" w:rsidRPr="00617A20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«6.21 </w:t>
      </w:r>
      <w:r w:rsidRPr="003D76AE">
        <w:rPr>
          <w:spacing w:val="0"/>
          <w:w w:val="100"/>
          <w:kern w:val="0"/>
        </w:rPr>
        <w:tab/>
        <w:t xml:space="preserve">Маркировка с улучшенными светоотражающими характеристиками (Правила № 104 </w:t>
      </w:r>
      <w:r w:rsidRPr="003D76AE">
        <w:rPr>
          <w:b/>
          <w:bCs/>
          <w:spacing w:val="0"/>
          <w:w w:val="100"/>
          <w:kern w:val="0"/>
        </w:rPr>
        <w:t>или [СОУ]</w:t>
      </w:r>
      <w:r w:rsidRPr="003D76AE">
        <w:rPr>
          <w:spacing w:val="0"/>
          <w:w w:val="100"/>
          <w:kern w:val="0"/>
        </w:rPr>
        <w:t>)»</w:t>
      </w:r>
      <w:r w:rsidR="00617A20" w:rsidRPr="00617A20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6.22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3D76AE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«6.22 </w:t>
      </w:r>
      <w:r w:rsidRPr="003D76AE">
        <w:rPr>
          <w:spacing w:val="0"/>
          <w:w w:val="100"/>
          <w:kern w:val="0"/>
        </w:rPr>
        <w:tab/>
        <w:t xml:space="preserve">Задний опознавательный знак TTC (Правила № 69 </w:t>
      </w:r>
      <w:r w:rsidRPr="003D76AE">
        <w:rPr>
          <w:b/>
          <w:bCs/>
          <w:spacing w:val="0"/>
          <w:w w:val="100"/>
          <w:kern w:val="0"/>
        </w:rPr>
        <w:t>или [СОУ]</w:t>
      </w:r>
      <w:r w:rsidRPr="003D76AE">
        <w:rPr>
          <w:spacing w:val="0"/>
          <w:w w:val="100"/>
          <w:kern w:val="0"/>
        </w:rPr>
        <w:t>)</w:t>
      </w:r>
    </w:p>
    <w:p w:rsidR="003D76AE" w:rsidRPr="003D76AE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6.22.1 </w:t>
      </w:r>
      <w:r w:rsidRPr="003D76AE">
        <w:rPr>
          <w:spacing w:val="0"/>
          <w:w w:val="100"/>
          <w:kern w:val="0"/>
        </w:rPr>
        <w:tab/>
        <w:t>Установка: Факультативна на транспортных средствах с максимальной расчетной скоростью не более 40 км/ч. Запрещена на всех других транспортных средствах.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3969" w:hanging="2835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6.22.2 </w:t>
      </w:r>
      <w:r w:rsidRPr="003D76AE">
        <w:rPr>
          <w:spacing w:val="0"/>
          <w:w w:val="100"/>
          <w:kern w:val="0"/>
        </w:rPr>
        <w:tab/>
        <w:t xml:space="preserve">Количество: </w:t>
      </w:r>
      <w:r w:rsidRPr="003D76AE">
        <w:rPr>
          <w:spacing w:val="0"/>
          <w:w w:val="100"/>
          <w:kern w:val="0"/>
        </w:rPr>
        <w:tab/>
      </w:r>
      <w:r w:rsidRPr="003D76AE">
        <w:rPr>
          <w:spacing w:val="0"/>
          <w:w w:val="100"/>
          <w:kern w:val="0"/>
        </w:rPr>
        <w:tab/>
        <w:t xml:space="preserve">В соответствии с приложением 15 к Правилам № 69 </w:t>
      </w:r>
      <w:r w:rsidRPr="003D76AE">
        <w:rPr>
          <w:b/>
          <w:bCs/>
          <w:spacing w:val="0"/>
          <w:w w:val="100"/>
          <w:kern w:val="0"/>
        </w:rPr>
        <w:t>или частью В приложения 24 к Правилам № [СОУ]</w:t>
      </w:r>
      <w:r w:rsidR="00DA6D44" w:rsidRPr="00DA6D44">
        <w:rPr>
          <w:bCs/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tabs>
          <w:tab w:val="clear" w:pos="1701"/>
        </w:tabs>
        <w:suppressAutoHyphens/>
        <w:ind w:left="3969" w:hanging="2835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6.22.3 </w:t>
      </w:r>
      <w:r w:rsidRPr="003D76AE">
        <w:rPr>
          <w:spacing w:val="0"/>
          <w:w w:val="100"/>
          <w:kern w:val="0"/>
        </w:rPr>
        <w:tab/>
        <w:t xml:space="preserve">Схема монтажа: </w:t>
      </w:r>
      <w:r w:rsidRPr="003D76AE">
        <w:rPr>
          <w:spacing w:val="0"/>
          <w:w w:val="100"/>
          <w:kern w:val="0"/>
        </w:rPr>
        <w:tab/>
        <w:t xml:space="preserve">В соответствии с приложением 15 к Правилам № 69 </w:t>
      </w:r>
      <w:r w:rsidRPr="003D76AE">
        <w:rPr>
          <w:b/>
          <w:bCs/>
          <w:spacing w:val="0"/>
          <w:w w:val="100"/>
          <w:kern w:val="0"/>
        </w:rPr>
        <w:t>или частью В приложения 24 к Правилам № [СОУ]</w:t>
      </w:r>
      <w:r w:rsidR="00DA6D44" w:rsidRPr="00DA6D44">
        <w:rPr>
          <w:bCs/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keepNext/>
        <w:keepLines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lastRenderedPageBreak/>
        <w:t>6.22</w:t>
      </w:r>
      <w:r w:rsidR="00951248">
        <w:rPr>
          <w:spacing w:val="0"/>
          <w:w w:val="100"/>
          <w:kern w:val="0"/>
          <w:lang w:val="en-US"/>
        </w:rPr>
        <w:t>.4</w:t>
      </w:r>
      <w:r w:rsidRPr="003D76AE">
        <w:rPr>
          <w:spacing w:val="0"/>
          <w:w w:val="100"/>
          <w:kern w:val="0"/>
        </w:rPr>
        <w:t xml:space="preserve"> </w:t>
      </w:r>
      <w:r w:rsidRPr="003D76AE">
        <w:rPr>
          <w:spacing w:val="0"/>
          <w:w w:val="100"/>
          <w:kern w:val="0"/>
        </w:rPr>
        <w:tab/>
        <w:t>Размещение</w:t>
      </w:r>
    </w:p>
    <w:p w:rsidR="003D76AE" w:rsidRPr="003D76AE" w:rsidRDefault="003D76AE" w:rsidP="003D76AE">
      <w:pPr>
        <w:pStyle w:val="SingleTxtGR"/>
        <w:tabs>
          <w:tab w:val="clear" w:pos="1701"/>
        </w:tabs>
        <w:suppressAutoHyphens/>
        <w:ind w:left="3969" w:hanging="2835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ab/>
        <w:t xml:space="preserve">По ширине: </w:t>
      </w:r>
      <w:r w:rsidRPr="003D76AE">
        <w:rPr>
          <w:spacing w:val="0"/>
          <w:w w:val="100"/>
          <w:kern w:val="0"/>
        </w:rPr>
        <w:tab/>
      </w:r>
      <w:r w:rsidRPr="003D76AE">
        <w:rPr>
          <w:spacing w:val="0"/>
          <w:w w:val="100"/>
          <w:kern w:val="0"/>
        </w:rPr>
        <w:tab/>
        <w:t xml:space="preserve">В соответствии с приложением 15 к Правилам № 69 </w:t>
      </w:r>
      <w:r w:rsidRPr="003D76AE">
        <w:rPr>
          <w:b/>
          <w:bCs/>
          <w:spacing w:val="0"/>
          <w:w w:val="100"/>
          <w:kern w:val="0"/>
        </w:rPr>
        <w:t>или частью В приложения 24 к Правилам № [СОУ]</w:t>
      </w:r>
      <w:r w:rsidR="00DA6D44" w:rsidRPr="00DA6D44">
        <w:rPr>
          <w:bCs/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ab/>
        <w:t xml:space="preserve">По высоте: </w:t>
      </w:r>
      <w:r w:rsidRPr="003D76AE">
        <w:rPr>
          <w:spacing w:val="0"/>
          <w:w w:val="100"/>
          <w:kern w:val="0"/>
        </w:rPr>
        <w:tab/>
      </w:r>
      <w:r w:rsidRPr="003D76AE">
        <w:rPr>
          <w:spacing w:val="0"/>
          <w:w w:val="100"/>
          <w:kern w:val="0"/>
        </w:rPr>
        <w:tab/>
        <w:t>Отдельных требований нет.</w:t>
      </w:r>
    </w:p>
    <w:p w:rsidR="003D76AE" w:rsidRPr="003D76AE" w:rsidRDefault="003D76AE" w:rsidP="003D76AE">
      <w:pPr>
        <w:pStyle w:val="SingleTxtGR"/>
        <w:tabs>
          <w:tab w:val="clear" w:pos="1701"/>
        </w:tabs>
        <w:suppressAutoHyphens/>
        <w:ind w:left="3969" w:hanging="2835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ab/>
        <w:t xml:space="preserve">По длине: </w:t>
      </w:r>
      <w:r w:rsidRPr="003D76AE">
        <w:rPr>
          <w:spacing w:val="0"/>
          <w:w w:val="100"/>
          <w:kern w:val="0"/>
        </w:rPr>
        <w:tab/>
      </w:r>
      <w:r w:rsidRPr="003D76AE">
        <w:rPr>
          <w:spacing w:val="0"/>
          <w:w w:val="100"/>
          <w:kern w:val="0"/>
        </w:rPr>
        <w:tab/>
        <w:t xml:space="preserve">В соответствии с приложением 15 к Правилам № 69 </w:t>
      </w:r>
      <w:r w:rsidRPr="003D76AE">
        <w:rPr>
          <w:b/>
          <w:bCs/>
          <w:spacing w:val="0"/>
          <w:w w:val="100"/>
          <w:kern w:val="0"/>
        </w:rPr>
        <w:t>или частью В приложения 24 к Правилам № [СОУ]</w:t>
      </w:r>
      <w:r w:rsidR="00DA6D44" w:rsidRPr="00DA6D44">
        <w:rPr>
          <w:bCs/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tabs>
          <w:tab w:val="clear" w:pos="1701"/>
        </w:tabs>
        <w:suppressAutoHyphens/>
        <w:ind w:left="3969" w:hanging="2835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6.22.5 </w:t>
      </w:r>
      <w:r w:rsidRPr="003D76AE">
        <w:rPr>
          <w:spacing w:val="0"/>
          <w:w w:val="100"/>
          <w:kern w:val="0"/>
        </w:rPr>
        <w:tab/>
        <w:t>Геометрическая видимость:</w:t>
      </w:r>
      <w:r w:rsidRPr="003D76AE">
        <w:rPr>
          <w:spacing w:val="0"/>
          <w:w w:val="100"/>
          <w:kern w:val="0"/>
        </w:rPr>
        <w:tab/>
        <w:t xml:space="preserve">В соответствии с приложением 15 к Правилам № 69 </w:t>
      </w:r>
      <w:r w:rsidRPr="003D76AE">
        <w:rPr>
          <w:b/>
          <w:bCs/>
          <w:spacing w:val="0"/>
          <w:w w:val="100"/>
          <w:kern w:val="0"/>
        </w:rPr>
        <w:t>или частью В приложения 24 к Правилам № [СОУ]</w:t>
      </w:r>
      <w:r w:rsidR="00DA6D44" w:rsidRPr="00DA6D44">
        <w:rPr>
          <w:bCs/>
          <w:spacing w:val="0"/>
          <w:w w:val="100"/>
          <w:kern w:val="0"/>
        </w:rPr>
        <w:t>.</w:t>
      </w:r>
    </w:p>
    <w:p w:rsidR="003D76AE" w:rsidRPr="0051056A" w:rsidRDefault="003D76AE" w:rsidP="003D76AE">
      <w:pPr>
        <w:pStyle w:val="SingleTxtGR"/>
        <w:tabs>
          <w:tab w:val="clear" w:pos="1701"/>
        </w:tabs>
        <w:suppressAutoHyphens/>
        <w:ind w:left="3969" w:hanging="2835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6.22.6 </w:t>
      </w:r>
      <w:r w:rsidRPr="003D76AE">
        <w:rPr>
          <w:spacing w:val="0"/>
          <w:w w:val="100"/>
          <w:kern w:val="0"/>
        </w:rPr>
        <w:tab/>
        <w:t xml:space="preserve">Направление: </w:t>
      </w:r>
      <w:r w:rsidRPr="003D76AE">
        <w:rPr>
          <w:spacing w:val="0"/>
          <w:w w:val="100"/>
          <w:kern w:val="0"/>
        </w:rPr>
        <w:tab/>
      </w:r>
      <w:r w:rsidRPr="003D76AE">
        <w:rPr>
          <w:spacing w:val="0"/>
          <w:w w:val="100"/>
          <w:kern w:val="0"/>
        </w:rPr>
        <w:tab/>
        <w:t xml:space="preserve">В соответствии с приложением 15 к Правилам № 69 </w:t>
      </w:r>
      <w:r w:rsidRPr="003D76AE">
        <w:rPr>
          <w:b/>
          <w:bCs/>
          <w:spacing w:val="0"/>
          <w:w w:val="100"/>
          <w:kern w:val="0"/>
        </w:rPr>
        <w:t>или частью В приложения 24 к Правилам № [СОУ]</w:t>
      </w:r>
      <w:r w:rsidR="00DA6D44" w:rsidRPr="003D76AE">
        <w:rPr>
          <w:spacing w:val="0"/>
          <w:w w:val="100"/>
          <w:kern w:val="0"/>
        </w:rPr>
        <w:t>»</w:t>
      </w:r>
      <w:r w:rsidR="00DA6D44" w:rsidRPr="0051056A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6.24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«6.24 </w:t>
      </w:r>
      <w:r w:rsidRPr="003D76AE">
        <w:rPr>
          <w:spacing w:val="0"/>
          <w:w w:val="100"/>
          <w:kern w:val="0"/>
        </w:rPr>
        <w:tab/>
        <w:t xml:space="preserve">Огни маневрирования (Правила № 23 </w:t>
      </w:r>
      <w:r w:rsidRPr="003D76AE">
        <w:rPr>
          <w:b/>
          <w:bCs/>
          <w:spacing w:val="0"/>
          <w:w w:val="100"/>
          <w:kern w:val="0"/>
        </w:rPr>
        <w:t>или [УСС]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6.24.9.2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3D76AE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«6.24.9.2 </w:t>
      </w:r>
      <w:r w:rsidRPr="003D76AE">
        <w:rPr>
          <w:spacing w:val="0"/>
          <w:w w:val="100"/>
          <w:kern w:val="0"/>
        </w:rPr>
        <w:tab/>
        <w:t>выполнение требования пункта 6.24.9.1 проверяют при помощи чертежей или посредством моделирования либо его считают выполненным, если условия установки соответствуют пункту 6.2.</w:t>
      </w:r>
      <w:r w:rsidRPr="003D76AE">
        <w:rPr>
          <w:b/>
          <w:bCs/>
          <w:spacing w:val="0"/>
          <w:w w:val="100"/>
          <w:kern w:val="0"/>
        </w:rPr>
        <w:t>2</w:t>
      </w:r>
      <w:r w:rsidRPr="00DA6D44">
        <w:rPr>
          <w:strike/>
          <w:spacing w:val="0"/>
          <w:w w:val="100"/>
          <w:kern w:val="0"/>
        </w:rPr>
        <w:t>3</w:t>
      </w:r>
      <w:r w:rsidRPr="003D76AE">
        <w:rPr>
          <w:spacing w:val="0"/>
          <w:w w:val="100"/>
          <w:kern w:val="0"/>
        </w:rPr>
        <w:t xml:space="preserve"> Правил № 23 </w:t>
      </w:r>
      <w:r w:rsidRPr="003D76AE">
        <w:rPr>
          <w:b/>
          <w:bCs/>
          <w:spacing w:val="0"/>
          <w:w w:val="100"/>
          <w:kern w:val="0"/>
        </w:rPr>
        <w:t>или пункту 5.10.2 Правил № [УСС]</w:t>
      </w:r>
      <w:r w:rsidRPr="003D76AE">
        <w:rPr>
          <w:spacing w:val="0"/>
          <w:w w:val="100"/>
          <w:kern w:val="0"/>
        </w:rPr>
        <w:t>, как указано в карточке сообщения в пункте 9 приложения 1».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Пункт 6.25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«6.25 </w:t>
      </w:r>
      <w:r w:rsidRPr="003D76AE">
        <w:rPr>
          <w:spacing w:val="0"/>
          <w:w w:val="100"/>
          <w:kern w:val="0"/>
        </w:rPr>
        <w:tab/>
        <w:t xml:space="preserve">Задние светоотражающие устройства треугольной формы (Правила № 3 </w:t>
      </w:r>
      <w:r w:rsidRPr="003D76AE">
        <w:rPr>
          <w:b/>
          <w:bCs/>
          <w:spacing w:val="0"/>
          <w:w w:val="100"/>
          <w:kern w:val="0"/>
        </w:rPr>
        <w:t>или [СОУ]</w:t>
      </w:r>
      <w:r w:rsidRPr="003D76AE">
        <w:rPr>
          <w:spacing w:val="0"/>
          <w:w w:val="100"/>
          <w:kern w:val="0"/>
        </w:rPr>
        <w:t>)»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 xml:space="preserve">Пункт 6.26 </w:t>
      </w:r>
      <w:r w:rsidRPr="003D76AE">
        <w:rPr>
          <w:spacing w:val="0"/>
          <w:w w:val="100"/>
          <w:kern w:val="0"/>
        </w:rPr>
        <w:t>изменить следующим образом:</w:t>
      </w:r>
    </w:p>
    <w:p w:rsidR="003D76AE" w:rsidRPr="00DA6D44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«6.26 </w:t>
      </w:r>
      <w:r w:rsidRPr="003D76AE">
        <w:rPr>
          <w:spacing w:val="0"/>
          <w:w w:val="100"/>
          <w:kern w:val="0"/>
        </w:rPr>
        <w:tab/>
        <w:t xml:space="preserve">Сигнальная табличка и сигнальная наклейка (Правила № 70 и 104 </w:t>
      </w:r>
      <w:r w:rsidRPr="003D76AE">
        <w:rPr>
          <w:b/>
          <w:bCs/>
          <w:spacing w:val="0"/>
          <w:w w:val="100"/>
          <w:kern w:val="0"/>
        </w:rPr>
        <w:t>или [СОУ]</w:t>
      </w:r>
      <w:r w:rsidRPr="003D76AE">
        <w:rPr>
          <w:spacing w:val="0"/>
          <w:w w:val="100"/>
          <w:kern w:val="0"/>
        </w:rPr>
        <w:t>)</w:t>
      </w:r>
      <w:r w:rsidR="00DA6D44" w:rsidRPr="003D76AE">
        <w:rPr>
          <w:spacing w:val="0"/>
          <w:w w:val="100"/>
          <w:kern w:val="0"/>
        </w:rPr>
        <w:t>»</w:t>
      </w:r>
      <w:r w:rsidR="00DA6D44" w:rsidRPr="00DA6D44">
        <w:rPr>
          <w:spacing w:val="0"/>
          <w:w w:val="100"/>
          <w:kern w:val="0"/>
        </w:rPr>
        <w:t>.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i/>
          <w:iCs/>
          <w:spacing w:val="0"/>
          <w:w w:val="100"/>
          <w:kern w:val="0"/>
        </w:rPr>
        <w:t>Приложение 6, пункт 2</w:t>
      </w:r>
      <w:r w:rsidRPr="003D76AE">
        <w:rPr>
          <w:spacing w:val="0"/>
          <w:w w:val="100"/>
          <w:kern w:val="0"/>
        </w:rPr>
        <w:t xml:space="preserve"> изменить следующим образом:</w:t>
      </w:r>
    </w:p>
    <w:p w:rsidR="003D76AE" w:rsidRPr="003D76AE" w:rsidRDefault="003D76AE" w:rsidP="003D76AE">
      <w:pPr>
        <w:pStyle w:val="SingleTxtGR"/>
        <w:tabs>
          <w:tab w:val="clear" w:pos="1701"/>
        </w:tabs>
        <w:suppressAutoHyphens/>
        <w:ind w:left="2268" w:hanging="1134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 xml:space="preserve">«2. </w:t>
      </w:r>
      <w:r w:rsidRPr="003D76AE">
        <w:rPr>
          <w:spacing w:val="0"/>
          <w:w w:val="100"/>
          <w:kern w:val="0"/>
        </w:rPr>
        <w:tab/>
        <w:t xml:space="preserve">Каждая табличка или наклейка должна соответствовать техническим требованиям Правил № 70, класс 5, Правил № 104, класс F, </w:t>
      </w:r>
      <w:r w:rsidR="00DA6D44">
        <w:rPr>
          <w:b/>
          <w:bCs/>
          <w:spacing w:val="0"/>
          <w:w w:val="100"/>
          <w:kern w:val="0"/>
        </w:rPr>
        <w:t>или Правил </w:t>
      </w:r>
      <w:r w:rsidRPr="003D76AE">
        <w:rPr>
          <w:b/>
          <w:bCs/>
          <w:spacing w:val="0"/>
          <w:w w:val="100"/>
          <w:kern w:val="0"/>
        </w:rPr>
        <w:t>№ [СОУ], класс 5 или класс F</w:t>
      </w:r>
      <w:r w:rsidRPr="003D76AE">
        <w:rPr>
          <w:spacing w:val="0"/>
          <w:w w:val="100"/>
          <w:kern w:val="0"/>
        </w:rPr>
        <w:t>».</w:t>
      </w:r>
    </w:p>
    <w:p w:rsidR="003D76AE" w:rsidRPr="003D76AE" w:rsidRDefault="003D76AE" w:rsidP="003D76AE">
      <w:pPr>
        <w:pStyle w:val="HChGR"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ab/>
        <w:t>II.</w:t>
      </w:r>
      <w:r w:rsidRPr="003D76AE">
        <w:rPr>
          <w:spacing w:val="0"/>
          <w:w w:val="100"/>
          <w:kern w:val="0"/>
        </w:rPr>
        <w:tab/>
        <w:t>Обоснование</w:t>
      </w:r>
    </w:p>
    <w:p w:rsidR="003D76AE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>1.</w:t>
      </w:r>
      <w:r w:rsidRPr="003D76AE">
        <w:rPr>
          <w:spacing w:val="0"/>
          <w:w w:val="100"/>
          <w:kern w:val="0"/>
        </w:rPr>
        <w:tab/>
        <w:t xml:space="preserve">После внесения дополнения </w:t>
      </w:r>
      <w:r w:rsidR="00DA6D44" w:rsidRPr="00DA6D44">
        <w:rPr>
          <w:spacing w:val="0"/>
          <w:w w:val="100"/>
          <w:kern w:val="0"/>
        </w:rPr>
        <w:t>6</w:t>
      </w:r>
      <w:r w:rsidRPr="003D76AE">
        <w:rPr>
          <w:spacing w:val="0"/>
          <w:w w:val="100"/>
          <w:kern w:val="0"/>
        </w:rPr>
        <w:t xml:space="preserve"> в поправки п</w:t>
      </w:r>
      <w:r>
        <w:rPr>
          <w:spacing w:val="0"/>
          <w:w w:val="100"/>
          <w:kern w:val="0"/>
        </w:rPr>
        <w:t>ервоначальной серии в Правила № </w:t>
      </w:r>
      <w:r w:rsidRPr="003D76AE">
        <w:rPr>
          <w:spacing w:val="0"/>
          <w:w w:val="100"/>
          <w:kern w:val="0"/>
        </w:rPr>
        <w:t>86 для уточнения были включены ссылки на правила, касающиеся различных устройств.</w:t>
      </w:r>
    </w:p>
    <w:p w:rsidR="00E12C5F" w:rsidRPr="003D76AE" w:rsidRDefault="003D76AE" w:rsidP="003D76AE">
      <w:pPr>
        <w:pStyle w:val="SingleTxtGR"/>
        <w:suppressAutoHyphens/>
        <w:rPr>
          <w:spacing w:val="0"/>
          <w:w w:val="100"/>
          <w:kern w:val="0"/>
        </w:rPr>
      </w:pPr>
      <w:r w:rsidRPr="003D76AE">
        <w:rPr>
          <w:spacing w:val="0"/>
          <w:w w:val="100"/>
          <w:kern w:val="0"/>
        </w:rPr>
        <w:t>2.</w:t>
      </w:r>
      <w:r w:rsidRPr="003D76AE">
        <w:rPr>
          <w:spacing w:val="0"/>
          <w:w w:val="100"/>
          <w:kern w:val="0"/>
        </w:rPr>
        <w:tab/>
        <w:t>С учетом новых упрощенных правил ООН, касающихся УСС, УОД и СОУ, которые были подготовлены НРГ по УПО, в Правила № 86 необходимо включить дополнительные ссылки. Настоящая поправка связана с такими дополнительными ссылками на поправки серии 01.</w:t>
      </w:r>
    </w:p>
    <w:p w:rsidR="003D76AE" w:rsidRPr="003D76AE" w:rsidRDefault="003D76AE" w:rsidP="003D76AE">
      <w:pPr>
        <w:pStyle w:val="SingleTxtGR"/>
        <w:suppressAutoHyphens/>
        <w:spacing w:before="240" w:after="0"/>
        <w:jc w:val="center"/>
        <w:rPr>
          <w:spacing w:val="0"/>
          <w:w w:val="100"/>
          <w:kern w:val="0"/>
          <w:u w:val="single"/>
        </w:rPr>
      </w:pPr>
      <w:r w:rsidRPr="003D76AE">
        <w:rPr>
          <w:spacing w:val="0"/>
          <w:w w:val="100"/>
          <w:kern w:val="0"/>
          <w:u w:val="single"/>
        </w:rPr>
        <w:tab/>
      </w:r>
      <w:r w:rsidRPr="003D76AE">
        <w:rPr>
          <w:spacing w:val="0"/>
          <w:w w:val="100"/>
          <w:kern w:val="0"/>
          <w:u w:val="single"/>
        </w:rPr>
        <w:tab/>
      </w:r>
      <w:r w:rsidRPr="003D76AE">
        <w:rPr>
          <w:spacing w:val="0"/>
          <w:w w:val="100"/>
          <w:kern w:val="0"/>
          <w:u w:val="single"/>
        </w:rPr>
        <w:tab/>
      </w:r>
    </w:p>
    <w:sectPr w:rsidR="003D76AE" w:rsidRPr="003D76AE" w:rsidSect="00C0513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FA7" w:rsidRPr="00A312BC" w:rsidRDefault="00A86FA7" w:rsidP="00A312BC"/>
  </w:endnote>
  <w:endnote w:type="continuationSeparator" w:id="0">
    <w:p w:rsidR="00A86FA7" w:rsidRPr="00A312BC" w:rsidRDefault="00A86FA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13B" w:rsidRPr="00C0513B" w:rsidRDefault="00C0513B">
    <w:pPr>
      <w:pStyle w:val="Footer"/>
    </w:pPr>
    <w:r w:rsidRPr="00C0513B">
      <w:rPr>
        <w:b/>
        <w:sz w:val="18"/>
      </w:rPr>
      <w:fldChar w:fldCharType="begin"/>
    </w:r>
    <w:r w:rsidRPr="00C0513B">
      <w:rPr>
        <w:b/>
        <w:sz w:val="18"/>
      </w:rPr>
      <w:instrText xml:space="preserve"> PAGE  \* MERGEFORMAT </w:instrText>
    </w:r>
    <w:r w:rsidRPr="00C0513B">
      <w:rPr>
        <w:b/>
        <w:sz w:val="18"/>
      </w:rPr>
      <w:fldChar w:fldCharType="separate"/>
    </w:r>
    <w:r w:rsidR="008C0835">
      <w:rPr>
        <w:b/>
        <w:noProof/>
        <w:sz w:val="18"/>
      </w:rPr>
      <w:t>2</w:t>
    </w:r>
    <w:r w:rsidRPr="00C0513B">
      <w:rPr>
        <w:b/>
        <w:sz w:val="18"/>
      </w:rPr>
      <w:fldChar w:fldCharType="end"/>
    </w:r>
    <w:r>
      <w:rPr>
        <w:b/>
        <w:sz w:val="18"/>
      </w:rPr>
      <w:tab/>
    </w:r>
    <w:r>
      <w:t>GE.18-01681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13B" w:rsidRPr="00C0513B" w:rsidRDefault="00C0513B" w:rsidP="00C0513B">
    <w:pPr>
      <w:pStyle w:val="Footer"/>
      <w:tabs>
        <w:tab w:val="clear" w:pos="9639"/>
        <w:tab w:val="right" w:pos="9638"/>
      </w:tabs>
      <w:rPr>
        <w:b/>
        <w:sz w:val="18"/>
      </w:rPr>
    </w:pPr>
    <w:r>
      <w:t>GE.18-01681</w:t>
    </w:r>
    <w:r>
      <w:tab/>
    </w:r>
    <w:r w:rsidRPr="00C0513B">
      <w:rPr>
        <w:b/>
        <w:sz w:val="18"/>
      </w:rPr>
      <w:fldChar w:fldCharType="begin"/>
    </w:r>
    <w:r w:rsidRPr="00C0513B">
      <w:rPr>
        <w:b/>
        <w:sz w:val="18"/>
      </w:rPr>
      <w:instrText xml:space="preserve"> PAGE  \* MERGEFORMAT </w:instrText>
    </w:r>
    <w:r w:rsidRPr="00C0513B">
      <w:rPr>
        <w:b/>
        <w:sz w:val="18"/>
      </w:rPr>
      <w:fldChar w:fldCharType="separate"/>
    </w:r>
    <w:r w:rsidR="008C0835">
      <w:rPr>
        <w:b/>
        <w:noProof/>
        <w:sz w:val="18"/>
      </w:rPr>
      <w:t>3</w:t>
    </w:r>
    <w:r w:rsidRPr="00C0513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2" w:rsidRPr="00C0513B" w:rsidRDefault="00C0513B" w:rsidP="00C0513B">
    <w:pPr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18-01681  (R)</w:t>
    </w:r>
    <w:r w:rsidR="003D76AE">
      <w:rPr>
        <w:lang w:val="en-US"/>
      </w:rPr>
      <w:t xml:space="preserve">  080218  120218</w:t>
    </w:r>
    <w:r>
      <w:br/>
    </w:r>
    <w:r w:rsidRPr="00C0513B">
      <w:rPr>
        <w:rFonts w:ascii="C39T30Lfz" w:hAnsi="C39T30Lfz"/>
        <w:spacing w:val="0"/>
        <w:w w:val="100"/>
        <w:sz w:val="56"/>
      </w:rPr>
      <w:t></w:t>
    </w:r>
    <w:r w:rsidRPr="00C0513B">
      <w:rPr>
        <w:rFonts w:ascii="C39T30Lfz" w:hAnsi="C39T30Lfz"/>
        <w:spacing w:val="0"/>
        <w:w w:val="100"/>
        <w:sz w:val="56"/>
      </w:rPr>
      <w:t></w:t>
    </w:r>
    <w:r w:rsidRPr="00C0513B">
      <w:rPr>
        <w:rFonts w:ascii="C39T30Lfz" w:hAnsi="C39T30Lfz"/>
        <w:spacing w:val="0"/>
        <w:w w:val="100"/>
        <w:sz w:val="56"/>
      </w:rPr>
      <w:t></w:t>
    </w:r>
    <w:r w:rsidRPr="00C0513B">
      <w:rPr>
        <w:rFonts w:ascii="C39T30Lfz" w:hAnsi="C39T30Lfz"/>
        <w:spacing w:val="0"/>
        <w:w w:val="100"/>
        <w:sz w:val="56"/>
      </w:rPr>
      <w:t></w:t>
    </w:r>
    <w:r w:rsidRPr="00C0513B">
      <w:rPr>
        <w:rFonts w:ascii="C39T30Lfz" w:hAnsi="C39T30Lfz"/>
        <w:spacing w:val="0"/>
        <w:w w:val="100"/>
        <w:sz w:val="56"/>
      </w:rPr>
      <w:t></w:t>
    </w:r>
    <w:r w:rsidRPr="00C0513B">
      <w:rPr>
        <w:rFonts w:ascii="C39T30Lfz" w:hAnsi="C39T30Lfz"/>
        <w:spacing w:val="0"/>
        <w:w w:val="100"/>
        <w:sz w:val="56"/>
      </w:rPr>
      <w:t></w:t>
    </w:r>
    <w:r w:rsidRPr="00C0513B">
      <w:rPr>
        <w:rFonts w:ascii="C39T30Lfz" w:hAnsi="C39T30Lfz"/>
        <w:spacing w:val="0"/>
        <w:w w:val="100"/>
        <w:sz w:val="56"/>
      </w:rPr>
      <w:t></w:t>
    </w:r>
    <w:r w:rsidRPr="00C0513B">
      <w:rPr>
        <w:rFonts w:ascii="C39T30Lfz" w:hAnsi="C39T30Lfz"/>
        <w:spacing w:val="0"/>
        <w:w w:val="100"/>
        <w:sz w:val="56"/>
      </w:rPr>
      <w:t></w:t>
    </w:r>
    <w:r w:rsidRPr="00C0513B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CE/TRANS/WP.29/GRE/2018/9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9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FA7" w:rsidRPr="001075E9" w:rsidRDefault="00A86FA7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86FA7" w:rsidRDefault="00A86FA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3D76AE" w:rsidRPr="003D76AE" w:rsidRDefault="003D76AE" w:rsidP="003D76AE">
      <w:pPr>
        <w:pStyle w:val="FootnoteText"/>
        <w:rPr>
          <w:spacing w:val="0"/>
          <w:w w:val="100"/>
          <w:kern w:val="0"/>
          <w:lang w:val="en-US"/>
        </w:rPr>
      </w:pPr>
      <w:r w:rsidRPr="003D76AE">
        <w:rPr>
          <w:spacing w:val="0"/>
          <w:w w:val="100"/>
          <w:kern w:val="0"/>
          <w:lang w:val="ru-RU"/>
        </w:rPr>
        <w:tab/>
      </w:r>
      <w:r w:rsidRPr="003D76AE">
        <w:rPr>
          <w:spacing w:val="0"/>
          <w:w w:val="100"/>
          <w:kern w:val="0"/>
          <w:sz w:val="20"/>
          <w:lang w:val="ru-RU"/>
        </w:rPr>
        <w:t>*</w:t>
      </w:r>
      <w:r w:rsidRPr="003D76AE">
        <w:rPr>
          <w:spacing w:val="0"/>
          <w:w w:val="100"/>
          <w:kern w:val="0"/>
          <w:lang w:val="ru-RU"/>
        </w:rPr>
        <w:tab/>
        <w:t>В соответствии с программой работы Комитета по внутреннему транспорту на 2014–2018 годы (ECE/TRANS/240, пункт 105, и ECE/TRANS/2014/26, направление работы 02.4)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13B" w:rsidRPr="00C0513B" w:rsidRDefault="007C00AA">
    <w:pPr>
      <w:pStyle w:val="Header"/>
    </w:pPr>
    <w:fldSimple w:instr=" TITLE  \* MERGEFORMAT ">
      <w:r>
        <w:t>ECE/TRANS/WP.29/GRE/2018/9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13B" w:rsidRPr="00C0513B" w:rsidRDefault="007C00AA" w:rsidP="00C0513B">
    <w:pPr>
      <w:pStyle w:val="Header"/>
      <w:jc w:val="right"/>
    </w:pPr>
    <w:fldSimple w:instr=" TITLE  \* MERGEFORMAT ">
      <w:r>
        <w:t>ECE/TRANS/WP.29/GRE/2018/9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A7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42745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D76AE"/>
    <w:rsid w:val="00407B78"/>
    <w:rsid w:val="00424203"/>
    <w:rsid w:val="00452493"/>
    <w:rsid w:val="00453318"/>
    <w:rsid w:val="00454AF2"/>
    <w:rsid w:val="00454E07"/>
    <w:rsid w:val="00472C5C"/>
    <w:rsid w:val="004E05B7"/>
    <w:rsid w:val="0050108D"/>
    <w:rsid w:val="0051056A"/>
    <w:rsid w:val="00513081"/>
    <w:rsid w:val="00517901"/>
    <w:rsid w:val="00526683"/>
    <w:rsid w:val="005639C1"/>
    <w:rsid w:val="005709E0"/>
    <w:rsid w:val="00572E19"/>
    <w:rsid w:val="005961C8"/>
    <w:rsid w:val="005966F1"/>
    <w:rsid w:val="005D7914"/>
    <w:rsid w:val="005E2B41"/>
    <w:rsid w:val="005F0B42"/>
    <w:rsid w:val="00617A20"/>
    <w:rsid w:val="006345DB"/>
    <w:rsid w:val="00640F49"/>
    <w:rsid w:val="00680D03"/>
    <w:rsid w:val="00681A10"/>
    <w:rsid w:val="006A1ED8"/>
    <w:rsid w:val="006C2031"/>
    <w:rsid w:val="006C4599"/>
    <w:rsid w:val="006D461A"/>
    <w:rsid w:val="006F35EE"/>
    <w:rsid w:val="007021FF"/>
    <w:rsid w:val="00712895"/>
    <w:rsid w:val="00734ACB"/>
    <w:rsid w:val="00757357"/>
    <w:rsid w:val="00792497"/>
    <w:rsid w:val="007A5D6E"/>
    <w:rsid w:val="007C00AA"/>
    <w:rsid w:val="00806737"/>
    <w:rsid w:val="00825F8D"/>
    <w:rsid w:val="00834B71"/>
    <w:rsid w:val="008577A0"/>
    <w:rsid w:val="0086445C"/>
    <w:rsid w:val="00894693"/>
    <w:rsid w:val="008A08D7"/>
    <w:rsid w:val="008A37C8"/>
    <w:rsid w:val="008B6909"/>
    <w:rsid w:val="008C0835"/>
    <w:rsid w:val="008D218D"/>
    <w:rsid w:val="008D53B6"/>
    <w:rsid w:val="008F7609"/>
    <w:rsid w:val="00906890"/>
    <w:rsid w:val="00911BE4"/>
    <w:rsid w:val="00951248"/>
    <w:rsid w:val="00951972"/>
    <w:rsid w:val="009608F3"/>
    <w:rsid w:val="009A24AC"/>
    <w:rsid w:val="009C6FE6"/>
    <w:rsid w:val="009D7E7D"/>
    <w:rsid w:val="00A14DA8"/>
    <w:rsid w:val="00A312BC"/>
    <w:rsid w:val="00A84021"/>
    <w:rsid w:val="00A84D35"/>
    <w:rsid w:val="00A86FA7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0513B"/>
    <w:rsid w:val="00C106D6"/>
    <w:rsid w:val="00C119AE"/>
    <w:rsid w:val="00C60F0C"/>
    <w:rsid w:val="00C728A8"/>
    <w:rsid w:val="00C805C9"/>
    <w:rsid w:val="00C92939"/>
    <w:rsid w:val="00CA1679"/>
    <w:rsid w:val="00CB151C"/>
    <w:rsid w:val="00CE5A1A"/>
    <w:rsid w:val="00CF55F6"/>
    <w:rsid w:val="00D33D63"/>
    <w:rsid w:val="00D5253A"/>
    <w:rsid w:val="00D90028"/>
    <w:rsid w:val="00D90138"/>
    <w:rsid w:val="00DA6D44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66634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00141F3-CD1E-43A9-8BF8-BAC947D3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3D76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ECE/TRANS/WP.29/GRE/2018/9</vt:lpstr>
      <vt:lpstr>ECE/TRANS/WP.29/GRE/2018/9</vt:lpstr>
      <vt:lpstr>A/</vt:lpstr>
    </vt:vector>
  </TitlesOfParts>
  <Company>DCM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ECE/TRANS/WP.29/GRE/2018/9</dc:title>
  <dc:subject/>
  <dc:creator>Marina KOROTKOVA</dc:creator>
  <cp:keywords/>
  <cp:lastModifiedBy>Benedicte Boudol</cp:lastModifiedBy>
  <cp:revision>2</cp:revision>
  <cp:lastPrinted>2018-02-12T15:46:00Z</cp:lastPrinted>
  <dcterms:created xsi:type="dcterms:W3CDTF">2018-02-28T16:44:00Z</dcterms:created>
  <dcterms:modified xsi:type="dcterms:W3CDTF">2018-02-28T16:44:00Z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