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CA351F">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CA351F" w:rsidP="00CA351F">
            <w:pPr>
              <w:jc w:val="right"/>
            </w:pPr>
            <w:r w:rsidRPr="00CA351F">
              <w:rPr>
                <w:sz w:val="40"/>
              </w:rPr>
              <w:t>ECE</w:t>
            </w:r>
            <w:r>
              <w:t>/TRANS/WP.29/GRE/2018/6</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CA351F" w:rsidP="00C97039">
            <w:pPr>
              <w:spacing w:before="240"/>
            </w:pPr>
            <w:r>
              <w:t>Distr. générale</w:t>
            </w:r>
          </w:p>
          <w:p w:rsidR="00CA351F" w:rsidRDefault="00CA351F" w:rsidP="00CA351F">
            <w:pPr>
              <w:spacing w:line="240" w:lineRule="exact"/>
            </w:pPr>
            <w:r>
              <w:t>5 février 2018</w:t>
            </w:r>
          </w:p>
          <w:p w:rsidR="00CA351F" w:rsidRDefault="00CA351F" w:rsidP="00CA351F">
            <w:pPr>
              <w:spacing w:line="240" w:lineRule="exact"/>
            </w:pPr>
            <w:r>
              <w:t>Français</w:t>
            </w:r>
          </w:p>
          <w:p w:rsidR="00CA351F" w:rsidRPr="00DB58B5" w:rsidRDefault="00A45F4F" w:rsidP="00CA351F">
            <w:pPr>
              <w:spacing w:line="240" w:lineRule="exact"/>
            </w:pPr>
            <w:r>
              <w:t>Original</w:t>
            </w:r>
            <w:r w:rsidR="00CA351F">
              <w:t>: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B32AD9" w:rsidRDefault="00B32AD9" w:rsidP="00B32AD9">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B32AD9" w:rsidRDefault="00B32AD9" w:rsidP="00B32AD9">
      <w:pPr>
        <w:spacing w:before="120" w:after="120" w:line="240" w:lineRule="exact"/>
        <w:rPr>
          <w:b/>
        </w:rPr>
      </w:pPr>
      <w:r>
        <w:rPr>
          <w:b/>
        </w:rPr>
        <w:t>Groupe de travail de l’éclairage et de la signalisation lumineuse</w:t>
      </w:r>
    </w:p>
    <w:p w:rsidR="00B32AD9" w:rsidRDefault="00B32AD9" w:rsidP="00B32AD9">
      <w:pPr>
        <w:spacing w:before="120" w:line="240" w:lineRule="exact"/>
        <w:rPr>
          <w:b/>
        </w:rPr>
      </w:pPr>
      <w:r>
        <w:rPr>
          <w:b/>
        </w:rPr>
        <w:t>Soixante-dix-neuvième session</w:t>
      </w:r>
    </w:p>
    <w:p w:rsidR="00B32AD9" w:rsidRDefault="00B32AD9" w:rsidP="00B32AD9">
      <w:pPr>
        <w:spacing w:line="240" w:lineRule="exact"/>
      </w:pPr>
      <w:r>
        <w:t>Genève, 24-27 avril 2018</w:t>
      </w:r>
    </w:p>
    <w:p w:rsidR="00B32AD9" w:rsidRDefault="00B32AD9" w:rsidP="00B32AD9">
      <w:pPr>
        <w:spacing w:line="240" w:lineRule="exact"/>
      </w:pPr>
      <w:r>
        <w:t>Point 4 de l’ordre du jour provisoire</w:t>
      </w:r>
    </w:p>
    <w:p w:rsidR="00B32AD9" w:rsidRPr="00B155E0" w:rsidRDefault="00B32AD9" w:rsidP="00B32AD9">
      <w:pPr>
        <w:rPr>
          <w:b/>
          <w:bCs/>
          <w:lang w:val="fr-FR"/>
        </w:rPr>
      </w:pPr>
      <w:r w:rsidRPr="00B155E0">
        <w:rPr>
          <w:b/>
          <w:lang w:val="fr-FR"/>
        </w:rPr>
        <w:t>Simplification des Règlements concernant l</w:t>
      </w:r>
      <w:r>
        <w:rPr>
          <w:b/>
          <w:lang w:val="fr-FR"/>
        </w:rPr>
        <w:t>’</w:t>
      </w:r>
      <w:r w:rsidRPr="00B155E0">
        <w:rPr>
          <w:b/>
          <w:lang w:val="fr-FR"/>
        </w:rPr>
        <w:t xml:space="preserve">éclairage </w:t>
      </w:r>
      <w:r w:rsidRPr="00B155E0">
        <w:rPr>
          <w:b/>
          <w:lang w:val="fr-FR"/>
        </w:rPr>
        <w:br/>
        <w:t>et la signalisation lumineuse</w:t>
      </w:r>
    </w:p>
    <w:p w:rsidR="00B32AD9" w:rsidRPr="00B155E0" w:rsidRDefault="00B32AD9" w:rsidP="00B32AD9">
      <w:pPr>
        <w:pStyle w:val="HChG"/>
        <w:rPr>
          <w:lang w:val="fr-FR"/>
        </w:rPr>
      </w:pPr>
      <w:r w:rsidRPr="00B155E0">
        <w:rPr>
          <w:lang w:val="fr-FR"/>
        </w:rPr>
        <w:tab/>
      </w:r>
      <w:r w:rsidRPr="00B155E0">
        <w:rPr>
          <w:lang w:val="fr-FR"/>
        </w:rPr>
        <w:tab/>
        <w:t>Proposition de complément [11] à la série</w:t>
      </w:r>
      <w:r>
        <w:rPr>
          <w:lang w:val="fr-FR"/>
        </w:rPr>
        <w:t> </w:t>
      </w:r>
      <w:r w:rsidRPr="00B155E0">
        <w:rPr>
          <w:lang w:val="fr-FR"/>
        </w:rPr>
        <w:t>06 d</w:t>
      </w:r>
      <w:r>
        <w:rPr>
          <w:lang w:val="fr-FR"/>
        </w:rPr>
        <w:t>’</w:t>
      </w:r>
      <w:r w:rsidRPr="00B155E0">
        <w:rPr>
          <w:lang w:val="fr-FR"/>
        </w:rPr>
        <w:t>amendements au Règlement n</w:t>
      </w:r>
      <w:r w:rsidRPr="00B155E0">
        <w:rPr>
          <w:vertAlign w:val="superscript"/>
          <w:lang w:val="fr-FR"/>
        </w:rPr>
        <w:t>o</w:t>
      </w:r>
      <w:r w:rsidRPr="00B155E0">
        <w:rPr>
          <w:lang w:val="fr-FR"/>
        </w:rPr>
        <w:t> 48</w:t>
      </w:r>
    </w:p>
    <w:p w:rsidR="00B32AD9" w:rsidRPr="00A45F4F" w:rsidRDefault="00B32AD9" w:rsidP="00B32AD9">
      <w:pPr>
        <w:pStyle w:val="H1G"/>
        <w:rPr>
          <w:spacing w:val="-2"/>
          <w:szCs w:val="24"/>
          <w:lang w:val="fr-FR"/>
        </w:rPr>
      </w:pPr>
      <w:r>
        <w:rPr>
          <w:lang w:val="fr-FR"/>
        </w:rPr>
        <w:tab/>
      </w:r>
      <w:r>
        <w:rPr>
          <w:lang w:val="fr-FR"/>
        </w:rPr>
        <w:tab/>
      </w:r>
      <w:r w:rsidRPr="00A45F4F">
        <w:rPr>
          <w:spacing w:val="-2"/>
          <w:lang w:val="fr-FR"/>
        </w:rPr>
        <w:t>Communication du groupe de travail informel chargé de la simplification des Règlements relatifs à l’éclairage et à la signalisation lumineuse</w:t>
      </w:r>
      <w:r w:rsidRPr="00A45F4F">
        <w:rPr>
          <w:rStyle w:val="FootnoteReference"/>
          <w:b w:val="0"/>
          <w:spacing w:val="-2"/>
          <w:sz w:val="20"/>
          <w:vertAlign w:val="baseline"/>
        </w:rPr>
        <w:footnoteReference w:customMarkFollows="1" w:id="2"/>
        <w:t>*</w:t>
      </w:r>
    </w:p>
    <w:p w:rsidR="00B32AD9" w:rsidRDefault="00B32AD9" w:rsidP="00B32AD9">
      <w:pPr>
        <w:pStyle w:val="SingleTxtG"/>
        <w:ind w:firstLine="567"/>
        <w:rPr>
          <w:lang w:val="fr-FR"/>
        </w:rPr>
      </w:pPr>
      <w:r w:rsidRPr="00B155E0">
        <w:rPr>
          <w:lang w:val="fr-FR"/>
        </w:rPr>
        <w:t>Le texte reproduit ci-après a été établi par le groupe de travail informel chargé de la simplification des Règlements relatifs à l</w:t>
      </w:r>
      <w:r>
        <w:rPr>
          <w:lang w:val="fr-FR"/>
        </w:rPr>
        <w:t>’</w:t>
      </w:r>
      <w:r w:rsidRPr="00B155E0">
        <w:rPr>
          <w:lang w:val="fr-FR"/>
        </w:rPr>
        <w:t>éclairage et à la signalisation lumineuse dans l</w:t>
      </w:r>
      <w:r>
        <w:rPr>
          <w:lang w:val="fr-FR"/>
        </w:rPr>
        <w:t>’</w:t>
      </w:r>
      <w:r w:rsidRPr="00B155E0">
        <w:rPr>
          <w:lang w:val="fr-FR"/>
        </w:rPr>
        <w:t>objectif d</w:t>
      </w:r>
      <w:r>
        <w:rPr>
          <w:lang w:val="fr-FR"/>
        </w:rPr>
        <w:t>’</w:t>
      </w:r>
      <w:r w:rsidRPr="00B155E0">
        <w:rPr>
          <w:lang w:val="fr-FR"/>
        </w:rPr>
        <w:t xml:space="preserve">introduire dans </w:t>
      </w:r>
      <w:r>
        <w:rPr>
          <w:lang w:val="fr-FR"/>
        </w:rPr>
        <w:t>la série 06 d’amendements au</w:t>
      </w:r>
      <w:r w:rsidRPr="00B155E0">
        <w:rPr>
          <w:lang w:val="fr-FR"/>
        </w:rPr>
        <w:t xml:space="preserve"> Règlement n</w:t>
      </w:r>
      <w:r w:rsidRPr="00B155E0">
        <w:rPr>
          <w:vertAlign w:val="superscript"/>
          <w:lang w:val="fr-FR"/>
        </w:rPr>
        <w:t>o</w:t>
      </w:r>
      <w:r w:rsidRPr="00B155E0">
        <w:rPr>
          <w:lang w:val="fr-FR"/>
        </w:rPr>
        <w:t> 48 des références aux trois nouveaux Règlements simplifiés relatifs aux dispositifs de signalisation lumineuse (LSD), aux dispositifs d</w:t>
      </w:r>
      <w:r>
        <w:rPr>
          <w:lang w:val="fr-FR"/>
        </w:rPr>
        <w:t>’</w:t>
      </w:r>
      <w:r w:rsidRPr="00B155E0">
        <w:rPr>
          <w:lang w:val="fr-FR"/>
        </w:rPr>
        <w:t>éclairage de la route (RID) et aux dispositifs catadioptriques (RRD)</w:t>
      </w:r>
      <w:r>
        <w:rPr>
          <w:lang w:val="fr-FR"/>
        </w:rPr>
        <w:t xml:space="preserve">. </w:t>
      </w:r>
      <w:r w:rsidRPr="00145A5D">
        <w:rPr>
          <w:lang w:val="fr-FR"/>
        </w:rPr>
        <w:t>Il a été établi sur la base du document ECE/TRANS/WP.29/GRE/2017/11 tel qu</w:t>
      </w:r>
      <w:r>
        <w:rPr>
          <w:lang w:val="fr-FR"/>
        </w:rPr>
        <w:t>’</w:t>
      </w:r>
      <w:r w:rsidRPr="00145A5D">
        <w:rPr>
          <w:lang w:val="fr-FR"/>
        </w:rPr>
        <w:t>amendé par le document informel GRE-78-20</w:t>
      </w:r>
      <w:r>
        <w:rPr>
          <w:lang w:val="fr-FR"/>
        </w:rPr>
        <w:t>. Les </w:t>
      </w:r>
      <w:r w:rsidRPr="00B155E0">
        <w:rPr>
          <w:lang w:val="fr-FR"/>
        </w:rPr>
        <w:t>modifications qu</w:t>
      </w:r>
      <w:r>
        <w:rPr>
          <w:lang w:val="fr-FR"/>
        </w:rPr>
        <w:t>’</w:t>
      </w:r>
      <w:r w:rsidRPr="00B155E0">
        <w:rPr>
          <w:lang w:val="fr-FR"/>
        </w:rPr>
        <w:t>il est proposé d</w:t>
      </w:r>
      <w:r>
        <w:rPr>
          <w:lang w:val="fr-FR"/>
        </w:rPr>
        <w:t>’</w:t>
      </w:r>
      <w:r w:rsidRPr="00B155E0">
        <w:rPr>
          <w:lang w:val="fr-FR"/>
        </w:rPr>
        <w:t>apporter au texte actuel du Règlement n</w:t>
      </w:r>
      <w:r w:rsidRPr="00B155E0">
        <w:rPr>
          <w:vertAlign w:val="superscript"/>
          <w:lang w:val="fr-FR"/>
        </w:rPr>
        <w:t>o</w:t>
      </w:r>
      <w:r w:rsidRPr="00B155E0">
        <w:rPr>
          <w:lang w:val="fr-FR"/>
        </w:rPr>
        <w:t> 48 apparaissent en caractères gras pour les ajouts et en caractères biffés pour les suppressions. Les passages du texte entre crochets nécessitent un débat et la prise d</w:t>
      </w:r>
      <w:r>
        <w:rPr>
          <w:lang w:val="fr-FR"/>
        </w:rPr>
        <w:t>’</w:t>
      </w:r>
      <w:r w:rsidRPr="00B155E0">
        <w:rPr>
          <w:lang w:val="fr-FR"/>
        </w:rPr>
        <w:t>une décision.</w:t>
      </w:r>
    </w:p>
    <w:p w:rsidR="00B32AD9" w:rsidRPr="00B155E0" w:rsidRDefault="00B32AD9" w:rsidP="00B32AD9">
      <w:pPr>
        <w:pStyle w:val="HChG"/>
        <w:rPr>
          <w:lang w:val="fr-FR"/>
        </w:rPr>
      </w:pPr>
      <w:r>
        <w:rPr>
          <w:lang w:val="fr-FR"/>
        </w:rPr>
        <w:br w:type="page"/>
      </w:r>
      <w:r w:rsidRPr="00B155E0">
        <w:rPr>
          <w:lang w:val="fr-FR"/>
        </w:rPr>
        <w:lastRenderedPageBreak/>
        <w:tab/>
        <w:t>I</w:t>
      </w:r>
      <w:r>
        <w:rPr>
          <w:lang w:val="fr-FR"/>
        </w:rPr>
        <w:t>.</w:t>
      </w:r>
      <w:r w:rsidRPr="00B155E0">
        <w:rPr>
          <w:lang w:val="fr-FR"/>
        </w:rPr>
        <w:tab/>
        <w:t>Proposition</w:t>
      </w:r>
    </w:p>
    <w:p w:rsidR="00B32AD9" w:rsidRPr="00B155E0" w:rsidRDefault="00B32AD9" w:rsidP="00B32AD9">
      <w:pPr>
        <w:pStyle w:val="SingleTxtG"/>
        <w:rPr>
          <w:lang w:val="fr-FR"/>
        </w:rPr>
      </w:pPr>
      <w:r w:rsidRPr="00B155E0">
        <w:rPr>
          <w:i/>
          <w:lang w:val="fr-FR"/>
        </w:rPr>
        <w:t>Paragraphe 3.2.6.2</w:t>
      </w:r>
      <w:r w:rsidRPr="00B155E0">
        <w:rPr>
          <w:lang w:val="fr-FR"/>
        </w:rPr>
        <w:t>, modifier comme suit :</w:t>
      </w:r>
    </w:p>
    <w:p w:rsidR="00B32AD9" w:rsidRPr="00B155E0" w:rsidRDefault="00B32AD9" w:rsidP="00B32AD9">
      <w:pPr>
        <w:pStyle w:val="SingleTxtG"/>
        <w:ind w:left="2268" w:hanging="1134"/>
        <w:rPr>
          <w:b/>
          <w:lang w:val="fr-FR"/>
        </w:rPr>
      </w:pPr>
      <w:r>
        <w:rPr>
          <w:lang w:val="fr-FR"/>
        </w:rPr>
        <w:t>« </w:t>
      </w:r>
      <w:r w:rsidRPr="00B155E0">
        <w:rPr>
          <w:lang w:val="fr-FR"/>
        </w:rPr>
        <w:t>3.2.6.2</w:t>
      </w:r>
      <w:r w:rsidRPr="00B155E0">
        <w:rPr>
          <w:lang w:val="fr-FR"/>
        </w:rPr>
        <w:tab/>
      </w:r>
      <w:r w:rsidRPr="00B155E0">
        <w:rPr>
          <w:lang w:val="fr-FR" w:eastAsia="fr-FR"/>
        </w:rPr>
        <w:t xml:space="preserve">Les signaux de commande AFS correspondants et leurs caractéristiques techniques, définies conformément </w:t>
      </w:r>
      <w:bookmarkStart w:id="1" w:name="_Hlk491704411"/>
      <w:r w:rsidRPr="00B155E0">
        <w:rPr>
          <w:lang w:val="fr-FR" w:eastAsia="fr-FR"/>
        </w:rPr>
        <w:t>à l</w:t>
      </w:r>
      <w:r>
        <w:rPr>
          <w:lang w:val="fr-FR" w:eastAsia="fr-FR"/>
        </w:rPr>
        <w:t>’</w:t>
      </w:r>
      <w:r w:rsidRPr="00B155E0">
        <w:rPr>
          <w:lang w:val="fr-FR" w:eastAsia="fr-FR"/>
        </w:rPr>
        <w:t>annexe</w:t>
      </w:r>
      <w:r w:rsidR="00780A45">
        <w:rPr>
          <w:lang w:val="fr-FR" w:eastAsia="fr-FR"/>
        </w:rPr>
        <w:t xml:space="preserve"> </w:t>
      </w:r>
      <w:r w:rsidRPr="00B155E0">
        <w:rPr>
          <w:lang w:val="fr-FR" w:eastAsia="fr-FR"/>
        </w:rPr>
        <w:t>10 du Règlement</w:t>
      </w:r>
      <w:r w:rsidR="00780A45">
        <w:rPr>
          <w:lang w:val="fr-FR" w:eastAsia="fr-FR"/>
        </w:rPr>
        <w:t xml:space="preserve"> </w:t>
      </w:r>
      <w:r w:rsidRPr="00B155E0">
        <w:rPr>
          <w:lang w:val="fr-FR" w:eastAsia="fr-FR"/>
        </w:rPr>
        <w:t>n</w:t>
      </w:r>
      <w:r w:rsidRPr="00B155E0">
        <w:rPr>
          <w:vertAlign w:val="superscript"/>
          <w:lang w:val="fr-FR" w:eastAsia="fr-FR"/>
        </w:rPr>
        <w:t>o</w:t>
      </w:r>
      <w:r w:rsidRPr="00B155E0">
        <w:rPr>
          <w:lang w:val="fr-FR" w:eastAsia="fr-FR"/>
        </w:rPr>
        <w:t> </w:t>
      </w:r>
      <w:bookmarkEnd w:id="1"/>
      <w:r w:rsidRPr="00B155E0">
        <w:rPr>
          <w:lang w:val="fr-FR" w:eastAsia="fr-FR"/>
        </w:rPr>
        <w:t>123</w:t>
      </w:r>
      <w:r w:rsidRPr="00B155E0">
        <w:rPr>
          <w:lang w:val="fr-FR"/>
        </w:rPr>
        <w:t xml:space="preserve"> </w:t>
      </w:r>
      <w:r>
        <w:rPr>
          <w:b/>
          <w:lang w:val="fr-FR"/>
        </w:rPr>
        <w:t>ou à </w:t>
      </w:r>
      <w:r w:rsidRPr="00B155E0">
        <w:rPr>
          <w:b/>
          <w:lang w:val="fr-FR"/>
        </w:rPr>
        <w:t>l</w:t>
      </w:r>
      <w:r>
        <w:rPr>
          <w:b/>
          <w:lang w:val="fr-FR"/>
        </w:rPr>
        <w:t>’</w:t>
      </w:r>
      <w:r w:rsidRPr="00B155E0">
        <w:rPr>
          <w:b/>
          <w:lang w:val="fr-FR"/>
        </w:rPr>
        <w:t>annexe 14 du Règlement n</w:t>
      </w:r>
      <w:r w:rsidRPr="00B155E0">
        <w:rPr>
          <w:b/>
          <w:vertAlign w:val="superscript"/>
          <w:lang w:val="fr-FR"/>
        </w:rPr>
        <w:t>o</w:t>
      </w:r>
      <w:r w:rsidRPr="00B155E0">
        <w:rPr>
          <w:b/>
          <w:lang w:val="fr-FR"/>
        </w:rPr>
        <w:t> [RID]</w:t>
      </w:r>
      <w:r w:rsidRPr="00B155E0">
        <w:rPr>
          <w:lang w:val="fr-FR"/>
        </w:rPr>
        <w:t>.</w:t>
      </w:r>
      <w:r>
        <w:rPr>
          <w:lang w:val="fr-FR"/>
        </w:rPr>
        <w:t> ».</w:t>
      </w:r>
    </w:p>
    <w:p w:rsidR="00B32AD9" w:rsidRPr="00B155E0" w:rsidRDefault="00B32AD9" w:rsidP="00B32AD9">
      <w:pPr>
        <w:pStyle w:val="SingleTxtG"/>
        <w:rPr>
          <w:lang w:val="fr-FR"/>
        </w:rPr>
      </w:pPr>
      <w:r w:rsidRPr="00B155E0">
        <w:rPr>
          <w:i/>
          <w:lang w:val="fr-FR"/>
        </w:rPr>
        <w:t>Paragraphe 5.9.3</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5.9.3</w:t>
      </w:r>
      <w:r w:rsidRPr="00B155E0">
        <w:rPr>
          <w:lang w:val="fr-FR"/>
        </w:rPr>
        <w:tab/>
        <w:t>Les caractéristiques photométriques des feux indicateurs de direction des catégories</w:t>
      </w:r>
      <w:r w:rsidR="00780A45">
        <w:rPr>
          <w:lang w:val="fr-FR"/>
        </w:rPr>
        <w:t xml:space="preserve"> </w:t>
      </w:r>
      <w:r w:rsidRPr="00B155E0">
        <w:rPr>
          <w:lang w:val="fr-FR"/>
        </w:rPr>
        <w:t>1, 1a, 1b, 2a ou 2b peuvent varier durant un clignotement par activation séquentielle conformément au paragraphe</w:t>
      </w:r>
      <w:r w:rsidR="00780A45">
        <w:rPr>
          <w:lang w:val="fr-FR"/>
        </w:rPr>
        <w:t xml:space="preserve"> </w:t>
      </w:r>
      <w:r w:rsidRPr="00B155E0">
        <w:rPr>
          <w:lang w:val="fr-FR"/>
        </w:rPr>
        <w:t xml:space="preserve">5.6 du </w:t>
      </w:r>
      <w:bookmarkStart w:id="2" w:name="_Hlk491704607"/>
      <w:r w:rsidRPr="00B155E0">
        <w:rPr>
          <w:lang w:val="fr-FR"/>
        </w:rPr>
        <w:t>Règlement n</w:t>
      </w:r>
      <w:r w:rsidRPr="00B155E0">
        <w:rPr>
          <w:vertAlign w:val="superscript"/>
          <w:lang w:val="fr-FR"/>
        </w:rPr>
        <w:t>o</w:t>
      </w:r>
      <w:r w:rsidRPr="00B155E0">
        <w:rPr>
          <w:lang w:val="fr-FR"/>
        </w:rPr>
        <w:t> </w:t>
      </w:r>
      <w:bookmarkEnd w:id="2"/>
      <w:r w:rsidRPr="00B155E0">
        <w:rPr>
          <w:lang w:val="fr-FR"/>
        </w:rPr>
        <w:t xml:space="preserve">6 </w:t>
      </w:r>
      <w:r w:rsidRPr="00B155E0">
        <w:rPr>
          <w:b/>
          <w:lang w:val="fr-FR"/>
        </w:rPr>
        <w:t>ou au paragraphe</w:t>
      </w:r>
      <w:r w:rsidR="00780A45">
        <w:rPr>
          <w:b/>
          <w:lang w:val="fr-FR"/>
        </w:rPr>
        <w:t xml:space="preserve"> </w:t>
      </w:r>
      <w:r w:rsidRPr="00B155E0">
        <w:rPr>
          <w:b/>
          <w:lang w:val="fr-FR"/>
        </w:rPr>
        <w:t>5.6.11 du Règlement n</w:t>
      </w:r>
      <w:r w:rsidRPr="00B155E0">
        <w:rPr>
          <w:b/>
          <w:vertAlign w:val="superscript"/>
          <w:lang w:val="fr-FR"/>
        </w:rPr>
        <w:t>o</w:t>
      </w:r>
      <w:r w:rsidRPr="00B155E0">
        <w:rPr>
          <w:b/>
          <w:lang w:val="fr-FR"/>
        </w:rPr>
        <w:t> [LSD]</w:t>
      </w:r>
      <w:r w:rsidRPr="00B155E0">
        <w:rPr>
          <w:lang w:val="fr-FR"/>
        </w:rPr>
        <w:t>.</w:t>
      </w:r>
    </w:p>
    <w:p w:rsidR="00B32AD9" w:rsidRPr="00B155E0" w:rsidRDefault="00B32AD9" w:rsidP="00B32AD9">
      <w:pPr>
        <w:pStyle w:val="SingleTxtG"/>
        <w:ind w:left="2268"/>
        <w:rPr>
          <w:b/>
          <w:lang w:val="fr-FR"/>
        </w:rPr>
      </w:pPr>
      <w:r w:rsidRPr="00B155E0">
        <w:rPr>
          <w:lang w:val="fr-FR"/>
        </w:rPr>
        <w:t>Cette disposition ne doit pas s</w:t>
      </w:r>
      <w:r>
        <w:rPr>
          <w:lang w:val="fr-FR"/>
        </w:rPr>
        <w:t>’</w:t>
      </w:r>
      <w:r w:rsidRPr="00B155E0">
        <w:rPr>
          <w:lang w:val="fr-FR"/>
        </w:rPr>
        <w:t>appliquer lorsque les feux indicateurs de direction des catégories</w:t>
      </w:r>
      <w:r w:rsidR="00780A45">
        <w:rPr>
          <w:lang w:val="fr-FR"/>
        </w:rPr>
        <w:t xml:space="preserve"> </w:t>
      </w:r>
      <w:r w:rsidRPr="00B155E0">
        <w:rPr>
          <w:lang w:val="fr-FR"/>
        </w:rPr>
        <w:t>2a et</w:t>
      </w:r>
      <w:r w:rsidR="00780A45">
        <w:rPr>
          <w:lang w:val="fr-FR"/>
        </w:rPr>
        <w:t xml:space="preserve"> </w:t>
      </w:r>
      <w:r w:rsidRPr="00B155E0">
        <w:rPr>
          <w:lang w:val="fr-FR"/>
        </w:rPr>
        <w:t>2b sont utilisés comme signal de freinage d</w:t>
      </w:r>
      <w:r>
        <w:rPr>
          <w:lang w:val="fr-FR"/>
        </w:rPr>
        <w:t>’</w:t>
      </w:r>
      <w:r w:rsidRPr="00B155E0">
        <w:rPr>
          <w:lang w:val="fr-FR"/>
        </w:rPr>
        <w:t>urgence conformément au paragraphe</w:t>
      </w:r>
      <w:r w:rsidR="00780A45">
        <w:rPr>
          <w:lang w:val="fr-FR"/>
        </w:rPr>
        <w:t xml:space="preserve"> </w:t>
      </w:r>
      <w:r w:rsidRPr="00B155E0">
        <w:rPr>
          <w:lang w:val="fr-FR"/>
        </w:rPr>
        <w:t>6.23.1 du présent Règlement.</w:t>
      </w:r>
      <w:r>
        <w:rPr>
          <w:rFonts w:eastAsia="MS Mincho"/>
          <w:lang w:val="fr-FR"/>
        </w:rPr>
        <w:t> ».</w:t>
      </w:r>
    </w:p>
    <w:p w:rsidR="00B32AD9" w:rsidRPr="00B155E0" w:rsidRDefault="00B32AD9" w:rsidP="00780A45">
      <w:pPr>
        <w:pStyle w:val="SingleTxtG"/>
        <w:keepNext/>
        <w:rPr>
          <w:lang w:val="fr-FR"/>
        </w:rPr>
      </w:pPr>
      <w:r w:rsidRPr="00B155E0">
        <w:rPr>
          <w:i/>
          <w:lang w:val="fr-FR"/>
        </w:rPr>
        <w:t>Paragraphe 6.1</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w:t>
      </w:r>
      <w:r w:rsidRPr="00B155E0">
        <w:rPr>
          <w:lang w:val="fr-FR"/>
        </w:rPr>
        <w:tab/>
        <w:t>Feu de route (Règlements n</w:t>
      </w:r>
      <w:r w:rsidRPr="00C9250E">
        <w:rPr>
          <w:vertAlign w:val="superscript"/>
          <w:lang w:val="fr-FR"/>
        </w:rPr>
        <w:t>os</w:t>
      </w:r>
      <w:r w:rsidRPr="00B155E0">
        <w:rPr>
          <w:lang w:val="fr-FR"/>
        </w:rPr>
        <w:t> 98</w:t>
      </w:r>
      <w:r w:rsidRPr="00A845F5">
        <w:rPr>
          <w:b/>
          <w:lang w:val="fr-FR"/>
        </w:rPr>
        <w:t>,</w:t>
      </w:r>
      <w:r w:rsidRPr="00B155E0">
        <w:rPr>
          <w:lang w:val="fr-FR"/>
        </w:rPr>
        <w:t xml:space="preserve"> </w:t>
      </w:r>
      <w:r w:rsidRPr="00A845F5">
        <w:rPr>
          <w:strike/>
          <w:lang w:val="fr-FR"/>
        </w:rPr>
        <w:t>et</w:t>
      </w:r>
      <w:r w:rsidR="00A845F5">
        <w:rPr>
          <w:lang w:val="fr-FR"/>
        </w:rPr>
        <w:t xml:space="preserve"> </w:t>
      </w:r>
      <w:r w:rsidRPr="00B155E0">
        <w:rPr>
          <w:lang w:val="fr-FR"/>
        </w:rPr>
        <w:t>112</w:t>
      </w:r>
      <w:r w:rsidRPr="00EB6127">
        <w:rPr>
          <w:lang w:val="fr-FR"/>
        </w:rPr>
        <w:t xml:space="preserve"> </w:t>
      </w:r>
      <w:r w:rsidRPr="00A845F5">
        <w:rPr>
          <w:b/>
          <w:lang w:val="fr-FR"/>
        </w:rPr>
        <w:t>et [RID]</w:t>
      </w:r>
      <w:r w:rsidRPr="00B155E0">
        <w:rPr>
          <w:lang w:val="fr-FR"/>
        </w:rPr>
        <w:t>)</w:t>
      </w:r>
      <w:r>
        <w:rPr>
          <w:lang w:val="fr-FR"/>
        </w:rPr>
        <w:t> »</w:t>
      </w:r>
      <w:r w:rsidR="00780A45">
        <w:rPr>
          <w:lang w:val="fr-FR"/>
        </w:rPr>
        <w:t>.</w:t>
      </w:r>
    </w:p>
    <w:p w:rsidR="00B32AD9" w:rsidRPr="00B155E0" w:rsidRDefault="00B32AD9" w:rsidP="00780A45">
      <w:pPr>
        <w:pStyle w:val="SingleTxtG"/>
        <w:keepNext/>
        <w:rPr>
          <w:lang w:val="fr-FR"/>
        </w:rPr>
      </w:pPr>
      <w:r w:rsidRPr="00B155E0">
        <w:rPr>
          <w:i/>
          <w:lang w:val="fr-FR"/>
        </w:rPr>
        <w:t>Paragraphe 6.1.2</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6.1.2</w:t>
      </w:r>
      <w:r w:rsidRPr="00B155E0">
        <w:rPr>
          <w:lang w:val="fr-FR"/>
        </w:rPr>
        <w:tab/>
        <w:t>Nombre</w:t>
      </w:r>
    </w:p>
    <w:p w:rsidR="00B32AD9" w:rsidRDefault="00B32AD9" w:rsidP="00B32AD9">
      <w:pPr>
        <w:pStyle w:val="SingleTxtG"/>
        <w:ind w:left="2268"/>
        <w:rPr>
          <w:lang w:val="fr-FR" w:eastAsia="fr-FR"/>
        </w:rPr>
      </w:pPr>
      <w:bookmarkStart w:id="3" w:name="_Hlk506383968"/>
      <w:r w:rsidRPr="00B155E0">
        <w:rPr>
          <w:lang w:val="fr-FR" w:eastAsia="fr-FR"/>
        </w:rPr>
        <w:t>Deux ou quatre, homologués conformément</w:t>
      </w:r>
      <w:r>
        <w:rPr>
          <w:lang w:val="fr-FR" w:eastAsia="fr-FR"/>
        </w:rPr>
        <w:t xml:space="preserve"> </w:t>
      </w:r>
      <w:r w:rsidRPr="004C7EA2">
        <w:rPr>
          <w:strike/>
          <w:lang w:val="fr-FR" w:eastAsia="fr-FR"/>
        </w:rPr>
        <w:t>aux</w:t>
      </w:r>
      <w:r w:rsidRPr="004C7EA2">
        <w:rPr>
          <w:b/>
          <w:lang w:val="fr-FR" w:eastAsia="fr-FR"/>
        </w:rPr>
        <w:t> :</w:t>
      </w:r>
      <w:r w:rsidRPr="00B155E0">
        <w:rPr>
          <w:lang w:val="fr-FR" w:eastAsia="fr-FR"/>
        </w:rPr>
        <w:t xml:space="preserve"> </w:t>
      </w:r>
    </w:p>
    <w:p w:rsidR="00B32AD9" w:rsidRPr="004C7EA2" w:rsidRDefault="00B32AD9" w:rsidP="00903719">
      <w:pPr>
        <w:pStyle w:val="Bullet2G"/>
        <w:ind w:left="2835"/>
        <w:rPr>
          <w:lang w:val="fr-FR"/>
        </w:rPr>
      </w:pPr>
      <w:r w:rsidRPr="004C7EA2">
        <w:rPr>
          <w:b/>
          <w:lang w:val="fr-FR" w:eastAsia="fr-FR"/>
        </w:rPr>
        <w:t>Aux</w:t>
      </w:r>
      <w:r w:rsidRPr="00B155E0">
        <w:rPr>
          <w:lang w:val="fr-FR" w:eastAsia="fr-FR"/>
        </w:rPr>
        <w:t xml:space="preserve"> </w:t>
      </w:r>
      <w:bookmarkStart w:id="4" w:name="_Hlk491704918"/>
      <w:r w:rsidRPr="00B155E0">
        <w:rPr>
          <w:lang w:val="fr-FR" w:eastAsia="fr-FR"/>
        </w:rPr>
        <w:t>Règlement</w:t>
      </w:r>
      <w:bookmarkEnd w:id="4"/>
      <w:r w:rsidRPr="00B155E0">
        <w:rPr>
          <w:lang w:val="fr-FR" w:eastAsia="fr-FR"/>
        </w:rPr>
        <w:t>s n</w:t>
      </w:r>
      <w:r w:rsidRPr="00B155E0">
        <w:rPr>
          <w:vertAlign w:val="superscript"/>
          <w:lang w:val="fr-FR" w:eastAsia="fr-FR"/>
        </w:rPr>
        <w:t>os</w:t>
      </w:r>
      <w:r w:rsidRPr="00B155E0">
        <w:rPr>
          <w:lang w:val="fr-FR" w:eastAsia="fr-FR"/>
        </w:rPr>
        <w:t xml:space="preserve"> 98 ou 112, </w:t>
      </w:r>
      <w:bookmarkStart w:id="5" w:name="_Hlk491704951"/>
      <w:r>
        <w:rPr>
          <w:lang w:val="fr-FR" w:eastAsia="fr-FR"/>
        </w:rPr>
        <w:t>à </w:t>
      </w:r>
      <w:r w:rsidRPr="00B155E0">
        <w:rPr>
          <w:lang w:val="fr-FR" w:eastAsia="fr-FR"/>
        </w:rPr>
        <w:t>l</w:t>
      </w:r>
      <w:r>
        <w:rPr>
          <w:lang w:val="fr-FR" w:eastAsia="fr-FR"/>
        </w:rPr>
        <w:t>’</w:t>
      </w:r>
      <w:r w:rsidRPr="00B155E0">
        <w:rPr>
          <w:lang w:val="fr-FR" w:eastAsia="fr-FR"/>
        </w:rPr>
        <w:t>exclusion des projecteurs de la classe </w:t>
      </w:r>
      <w:bookmarkEnd w:id="5"/>
      <w:r w:rsidRPr="00B155E0">
        <w:rPr>
          <w:lang w:val="fr-FR" w:eastAsia="fr-FR"/>
        </w:rPr>
        <w:t>A</w:t>
      </w:r>
      <w:bookmarkStart w:id="6" w:name="_Hlk491705490"/>
      <w:r>
        <w:rPr>
          <w:lang w:val="fr-FR" w:eastAsia="fr-FR"/>
        </w:rPr>
        <w:t> </w:t>
      </w:r>
      <w:r>
        <w:rPr>
          <w:b/>
          <w:lang w:val="fr-FR"/>
        </w:rPr>
        <w:t>;</w:t>
      </w:r>
      <w:r w:rsidRPr="00B155E0">
        <w:rPr>
          <w:b/>
          <w:lang w:val="fr-FR"/>
        </w:rPr>
        <w:t xml:space="preserve"> ou </w:t>
      </w:r>
    </w:p>
    <w:p w:rsidR="00B32AD9" w:rsidRPr="00903719" w:rsidRDefault="00B32AD9" w:rsidP="00903719">
      <w:pPr>
        <w:pStyle w:val="Bullet2G"/>
        <w:ind w:left="2835"/>
        <w:rPr>
          <w:rFonts w:ascii="Times New Roman Gras" w:hAnsi="Times New Roman Gras"/>
          <w:b/>
          <w:spacing w:val="-2"/>
          <w:lang w:val="fr-FR"/>
        </w:rPr>
      </w:pPr>
      <w:r w:rsidRPr="00903719">
        <w:rPr>
          <w:rFonts w:ascii="Times New Roman Gras" w:hAnsi="Times New Roman Gras"/>
          <w:b/>
          <w:spacing w:val="-2"/>
          <w:lang w:val="fr-FR"/>
        </w:rPr>
        <w:t>Au Règlement n</w:t>
      </w:r>
      <w:r w:rsidRPr="00903719">
        <w:rPr>
          <w:rFonts w:ascii="Times New Roman Gras" w:hAnsi="Times New Roman Gras"/>
          <w:b/>
          <w:spacing w:val="-2"/>
          <w:vertAlign w:val="superscript"/>
          <w:lang w:val="fr-FR"/>
        </w:rPr>
        <w:t>o</w:t>
      </w:r>
      <w:r w:rsidRPr="00903719">
        <w:rPr>
          <w:rFonts w:ascii="Times New Roman Gras" w:hAnsi="Times New Roman Gras"/>
          <w:b/>
          <w:spacing w:val="-2"/>
          <w:lang w:val="fr-FR"/>
        </w:rPr>
        <w:t> [RID], uniquement projecteurs des classes</w:t>
      </w:r>
      <w:bookmarkEnd w:id="6"/>
      <w:r w:rsidRPr="00903719">
        <w:rPr>
          <w:rFonts w:ascii="Times New Roman Gras" w:hAnsi="Times New Roman Gras"/>
          <w:b/>
          <w:spacing w:val="-2"/>
          <w:lang w:val="fr-FR"/>
        </w:rPr>
        <w:t> B et D.</w:t>
      </w:r>
    </w:p>
    <w:bookmarkEnd w:id="3"/>
    <w:p w:rsidR="00B32AD9" w:rsidRPr="00B155E0" w:rsidRDefault="00B32AD9" w:rsidP="00B32AD9">
      <w:pPr>
        <w:pStyle w:val="SingleTxtG"/>
        <w:ind w:left="2268"/>
        <w:rPr>
          <w:lang w:val="fr-FR"/>
        </w:rPr>
      </w:pPr>
      <w:r w:rsidRPr="00B155E0">
        <w:rPr>
          <w:lang w:val="fr-FR" w:eastAsia="fr-FR"/>
        </w:rPr>
        <w:t>Pour les véhicules de la catégorie N</w:t>
      </w:r>
      <w:r w:rsidRPr="00B155E0">
        <w:rPr>
          <w:vertAlign w:val="subscript"/>
          <w:lang w:val="fr-FR"/>
        </w:rPr>
        <w:t>3</w:t>
      </w:r>
      <w:r w:rsidRPr="00B155E0">
        <w:rPr>
          <w:lang w:val="fr-FR" w:eastAsia="fr-FR"/>
        </w:rPr>
        <w:t> : deux feux de route supplémentaires peuvent être installés</w:t>
      </w:r>
      <w:r w:rsidRPr="00B155E0">
        <w:rPr>
          <w:lang w:val="fr-FR"/>
        </w:rPr>
        <w:t>.</w:t>
      </w:r>
    </w:p>
    <w:p w:rsidR="00B32AD9" w:rsidRPr="00B155E0" w:rsidRDefault="00B32AD9" w:rsidP="00B32AD9">
      <w:pPr>
        <w:pStyle w:val="SingleTxtG"/>
        <w:ind w:left="2268"/>
        <w:rPr>
          <w:b/>
          <w:lang w:val="fr-FR"/>
        </w:rPr>
      </w:pPr>
      <w:r w:rsidRPr="00B155E0">
        <w:rPr>
          <w:lang w:val="fr-FR" w:eastAsia="fr-FR"/>
        </w:rPr>
        <w:t>Les véhicules déjà équipés de quatre projecteurs occultables ne peuvent être dotés de deux projecteurs supplémentaires que s</w:t>
      </w:r>
      <w:r>
        <w:rPr>
          <w:lang w:val="fr-FR" w:eastAsia="fr-FR"/>
        </w:rPr>
        <w:t>’</w:t>
      </w:r>
      <w:r w:rsidRPr="00B155E0">
        <w:rPr>
          <w:lang w:val="fr-FR" w:eastAsia="fr-FR"/>
        </w:rPr>
        <w:t>ils sont destinés à la signalisation lumineuse, par allumage à courts intervalles (voir le paragraphe 5.12 ci-dessus) en conduite de jour</w:t>
      </w:r>
      <w:r w:rsidRPr="00B155E0">
        <w:rPr>
          <w:lang w:val="fr-FR"/>
        </w:rPr>
        <w:t>.</w:t>
      </w:r>
      <w:r>
        <w:rPr>
          <w:rFonts w:eastAsia="MS Mincho"/>
          <w:lang w:val="fr-FR"/>
        </w:rPr>
        <w:t> ».</w:t>
      </w:r>
    </w:p>
    <w:p w:rsidR="00B32AD9" w:rsidRPr="00B155E0" w:rsidRDefault="00B32AD9" w:rsidP="00903719">
      <w:pPr>
        <w:pStyle w:val="SingleTxtG"/>
        <w:keepNext/>
        <w:rPr>
          <w:lang w:val="fr-FR"/>
        </w:rPr>
      </w:pPr>
      <w:r w:rsidRPr="00B155E0">
        <w:rPr>
          <w:i/>
          <w:lang w:val="fr-FR"/>
        </w:rPr>
        <w:t>Paragraphe 6.2</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w:t>
      </w:r>
      <w:r w:rsidRPr="00B155E0">
        <w:rPr>
          <w:lang w:val="fr-FR"/>
        </w:rPr>
        <w:tab/>
        <w:t>Feu de croisement (Règlements n</w:t>
      </w:r>
      <w:r w:rsidRPr="00B155E0">
        <w:rPr>
          <w:vertAlign w:val="superscript"/>
          <w:lang w:val="fr-FR"/>
        </w:rPr>
        <w:t>os</w:t>
      </w:r>
      <w:r w:rsidRPr="00B155E0">
        <w:rPr>
          <w:lang w:val="fr-FR"/>
        </w:rPr>
        <w:t> 98</w:t>
      </w:r>
      <w:r w:rsidRPr="00A845F5">
        <w:rPr>
          <w:b/>
          <w:lang w:val="fr-FR"/>
        </w:rPr>
        <w:t>,</w:t>
      </w:r>
      <w:r w:rsidRPr="00B155E0">
        <w:rPr>
          <w:lang w:val="fr-FR"/>
        </w:rPr>
        <w:t xml:space="preserve"> </w:t>
      </w:r>
      <w:r w:rsidRPr="00B155E0">
        <w:rPr>
          <w:strike/>
          <w:lang w:val="fr-FR"/>
        </w:rPr>
        <w:t>et</w:t>
      </w:r>
      <w:r w:rsidRPr="00B155E0">
        <w:rPr>
          <w:lang w:val="fr-FR"/>
        </w:rPr>
        <w:t xml:space="preserve"> 112 </w:t>
      </w:r>
      <w:r w:rsidRPr="00B155E0">
        <w:rPr>
          <w:b/>
          <w:lang w:val="fr-FR"/>
        </w:rPr>
        <w:t>et [RID]</w:t>
      </w:r>
      <w:r w:rsidRPr="00B155E0">
        <w:rPr>
          <w:lang w:val="fr-FR"/>
        </w:rPr>
        <w:t>)</w:t>
      </w:r>
      <w:r>
        <w:rPr>
          <w:lang w:val="fr-FR"/>
        </w:rPr>
        <w:t> »</w:t>
      </w:r>
      <w:r w:rsidR="00903719">
        <w:rPr>
          <w:lang w:val="fr-FR"/>
        </w:rPr>
        <w:t>.</w:t>
      </w:r>
    </w:p>
    <w:p w:rsidR="00B32AD9" w:rsidRPr="00B155E0" w:rsidRDefault="00B32AD9" w:rsidP="00903719">
      <w:pPr>
        <w:pStyle w:val="SingleTxtG"/>
        <w:keepNext/>
        <w:rPr>
          <w:lang w:val="fr-FR"/>
        </w:rPr>
      </w:pPr>
      <w:r w:rsidRPr="00B155E0">
        <w:rPr>
          <w:i/>
          <w:lang w:val="fr-FR"/>
        </w:rPr>
        <w:t>Paragraphe 6.2.2</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6.2.2</w:t>
      </w:r>
      <w:r w:rsidRPr="00B155E0">
        <w:rPr>
          <w:lang w:val="fr-FR"/>
        </w:rPr>
        <w:tab/>
        <w:t>Nombre</w:t>
      </w:r>
    </w:p>
    <w:p w:rsidR="00B32AD9" w:rsidRDefault="00B32AD9" w:rsidP="00B32AD9">
      <w:pPr>
        <w:pStyle w:val="SingleTxtG"/>
        <w:ind w:left="2268"/>
        <w:rPr>
          <w:lang w:val="fr-FR" w:eastAsia="fr-FR"/>
        </w:rPr>
      </w:pPr>
      <w:r w:rsidRPr="00B155E0">
        <w:rPr>
          <w:lang w:val="fr-FR" w:eastAsia="fr-FR"/>
        </w:rPr>
        <w:t>Deux, homologués conformément</w:t>
      </w:r>
      <w:r>
        <w:rPr>
          <w:lang w:val="fr-FR" w:eastAsia="fr-FR"/>
        </w:rPr>
        <w:t xml:space="preserve"> </w:t>
      </w:r>
      <w:r w:rsidRPr="004C7EA2">
        <w:rPr>
          <w:strike/>
          <w:lang w:val="fr-FR" w:eastAsia="fr-FR"/>
        </w:rPr>
        <w:t>aux</w:t>
      </w:r>
      <w:r w:rsidRPr="004C7EA2">
        <w:rPr>
          <w:b/>
          <w:lang w:val="fr-FR" w:eastAsia="fr-FR"/>
        </w:rPr>
        <w:t> :</w:t>
      </w:r>
    </w:p>
    <w:p w:rsidR="00B32AD9" w:rsidRPr="004C7EA2" w:rsidRDefault="00B32AD9" w:rsidP="00903719">
      <w:pPr>
        <w:pStyle w:val="Bullet2G"/>
        <w:ind w:left="2835"/>
        <w:rPr>
          <w:lang w:val="fr-FR"/>
        </w:rPr>
      </w:pPr>
      <w:r w:rsidRPr="00903719">
        <w:rPr>
          <w:rFonts w:ascii="Times New Roman Gras" w:hAnsi="Times New Roman Gras"/>
          <w:b/>
          <w:spacing w:val="-2"/>
          <w:lang w:val="fr-FR"/>
        </w:rPr>
        <w:t>Aux</w:t>
      </w:r>
      <w:r w:rsidRPr="00B155E0">
        <w:rPr>
          <w:lang w:val="fr-FR" w:eastAsia="fr-FR"/>
        </w:rPr>
        <w:t xml:space="preserve"> Règlements n</w:t>
      </w:r>
      <w:r w:rsidRPr="00B155E0">
        <w:rPr>
          <w:vertAlign w:val="superscript"/>
          <w:lang w:val="fr-FR" w:eastAsia="fr-FR"/>
        </w:rPr>
        <w:t>os</w:t>
      </w:r>
      <w:r w:rsidRPr="00B155E0">
        <w:rPr>
          <w:lang w:val="fr-FR" w:eastAsia="fr-FR"/>
        </w:rPr>
        <w:t xml:space="preserve"> 98 ou 112, </w:t>
      </w:r>
      <w:r>
        <w:rPr>
          <w:lang w:val="fr-FR" w:eastAsia="fr-FR"/>
        </w:rPr>
        <w:t>à </w:t>
      </w:r>
      <w:r w:rsidRPr="00B155E0">
        <w:rPr>
          <w:lang w:val="fr-FR" w:eastAsia="fr-FR"/>
        </w:rPr>
        <w:t>l</w:t>
      </w:r>
      <w:r>
        <w:rPr>
          <w:lang w:val="fr-FR" w:eastAsia="fr-FR"/>
        </w:rPr>
        <w:t>’</w:t>
      </w:r>
      <w:r w:rsidRPr="00B155E0">
        <w:rPr>
          <w:lang w:val="fr-FR" w:eastAsia="fr-FR"/>
        </w:rPr>
        <w:t>exclusion des projecteurs de la classe A</w:t>
      </w:r>
      <w:r>
        <w:rPr>
          <w:lang w:val="fr-FR" w:eastAsia="fr-FR"/>
        </w:rPr>
        <w:t> </w:t>
      </w:r>
      <w:r>
        <w:rPr>
          <w:b/>
          <w:lang w:val="fr-FR"/>
        </w:rPr>
        <w:t>;</w:t>
      </w:r>
      <w:r w:rsidRPr="00B155E0">
        <w:rPr>
          <w:b/>
          <w:lang w:val="fr-FR"/>
        </w:rPr>
        <w:t xml:space="preserve"> ou </w:t>
      </w:r>
    </w:p>
    <w:p w:rsidR="00B32AD9" w:rsidRPr="0058683F" w:rsidRDefault="00B32AD9" w:rsidP="00903719">
      <w:pPr>
        <w:pStyle w:val="Bullet2G"/>
        <w:ind w:left="2835"/>
        <w:rPr>
          <w:rFonts w:ascii="Times New Roman Gras" w:hAnsi="Times New Roman Gras"/>
          <w:b/>
          <w:lang w:val="fr-FR"/>
        </w:rPr>
      </w:pPr>
      <w:r w:rsidRPr="0058683F">
        <w:rPr>
          <w:rFonts w:ascii="Times New Roman Gras" w:hAnsi="Times New Roman Gras"/>
          <w:b/>
          <w:lang w:val="fr-FR"/>
        </w:rPr>
        <w:t>Au Règlement n</w:t>
      </w:r>
      <w:r w:rsidRPr="00F52730">
        <w:rPr>
          <w:rFonts w:ascii="Times New Roman Gras" w:hAnsi="Times New Roman Gras"/>
          <w:b/>
          <w:vertAlign w:val="superscript"/>
          <w:lang w:val="fr-FR"/>
        </w:rPr>
        <w:t>o</w:t>
      </w:r>
      <w:r w:rsidRPr="0058683F">
        <w:rPr>
          <w:rFonts w:ascii="Times New Roman Gras" w:hAnsi="Times New Roman Gras"/>
          <w:b/>
          <w:lang w:val="fr-FR"/>
        </w:rPr>
        <w:t> [RID], uniquement projecteurs des classes B et D.</w:t>
      </w:r>
      <w:r w:rsidR="0058683F" w:rsidRPr="0058683F">
        <w:rPr>
          <w:rFonts w:ascii="Times New Roman Gras" w:hAnsi="Times New Roman Gras"/>
          <w:lang w:val="fr-FR"/>
        </w:rPr>
        <w:t> ».</w:t>
      </w:r>
    </w:p>
    <w:p w:rsidR="00B32AD9" w:rsidRPr="00B155E0" w:rsidRDefault="00B32AD9" w:rsidP="00903719">
      <w:pPr>
        <w:pStyle w:val="SingleTxtG"/>
        <w:keepNext/>
        <w:rPr>
          <w:lang w:val="fr-FR"/>
        </w:rPr>
      </w:pPr>
      <w:r w:rsidRPr="00B155E0">
        <w:rPr>
          <w:i/>
          <w:lang w:val="fr-FR"/>
        </w:rPr>
        <w:t>Paragraphe 6.2.7.3</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6.2.7.3</w:t>
      </w:r>
      <w:r w:rsidRPr="00B155E0">
        <w:rPr>
          <w:lang w:val="fr-FR"/>
        </w:rPr>
        <w:tab/>
        <w:t>Dans le cas de feux de croisement conformes au</w:t>
      </w:r>
      <w:r w:rsidRPr="00B155E0">
        <w:rPr>
          <w:b/>
          <w:lang w:val="fr-FR"/>
        </w:rPr>
        <w:t>x</w:t>
      </w:r>
      <w:r w:rsidRPr="00B155E0">
        <w:rPr>
          <w:lang w:val="fr-FR"/>
        </w:rPr>
        <w:t xml:space="preserve"> Règlement</w:t>
      </w:r>
      <w:r w:rsidRPr="00B155E0">
        <w:rPr>
          <w:b/>
          <w:lang w:val="fr-FR"/>
        </w:rPr>
        <w:t>s</w:t>
      </w:r>
      <w:r w:rsidRPr="00B155E0">
        <w:rPr>
          <w:lang w:val="fr-FR"/>
        </w:rPr>
        <w:t xml:space="preserve"> n</w:t>
      </w:r>
      <w:r w:rsidRPr="00B155E0">
        <w:rPr>
          <w:vertAlign w:val="superscript"/>
          <w:lang w:val="fr-FR"/>
        </w:rPr>
        <w:t>o</w:t>
      </w:r>
      <w:r w:rsidRPr="00B155E0">
        <w:rPr>
          <w:b/>
          <w:vertAlign w:val="superscript"/>
          <w:lang w:val="fr-FR"/>
        </w:rPr>
        <w:t>s</w:t>
      </w:r>
      <w:r w:rsidRPr="00B155E0">
        <w:rPr>
          <w:lang w:val="fr-FR"/>
        </w:rPr>
        <w:t xml:space="preserve"> 98 </w:t>
      </w:r>
      <w:r w:rsidRPr="00B155E0">
        <w:rPr>
          <w:b/>
          <w:lang w:val="fr-FR"/>
        </w:rPr>
        <w:t>ou</w:t>
      </w:r>
      <w:r w:rsidR="0058683F">
        <w:rPr>
          <w:b/>
          <w:lang w:val="fr-FR"/>
        </w:rPr>
        <w:t xml:space="preserve"> </w:t>
      </w:r>
      <w:r w:rsidRPr="00B155E0">
        <w:rPr>
          <w:b/>
          <w:lang w:val="fr-FR"/>
        </w:rPr>
        <w:t>[RID]</w:t>
      </w:r>
      <w:r w:rsidRPr="00B155E0">
        <w:rPr>
          <w:lang w:val="fr-FR"/>
        </w:rPr>
        <w:t>, les sources lumineuses à décharge doivent rester allumées en même temps que les feux de route.</w:t>
      </w:r>
      <w:r>
        <w:rPr>
          <w:lang w:val="fr-FR"/>
        </w:rPr>
        <w:t> ».</w:t>
      </w:r>
    </w:p>
    <w:p w:rsidR="00B32AD9" w:rsidRPr="00B155E0" w:rsidRDefault="00B32AD9" w:rsidP="00903719">
      <w:pPr>
        <w:pStyle w:val="SingleTxtG"/>
        <w:keepNext/>
        <w:rPr>
          <w:lang w:val="fr-FR"/>
        </w:rPr>
      </w:pPr>
      <w:r w:rsidRPr="00B155E0">
        <w:rPr>
          <w:i/>
          <w:lang w:val="fr-FR"/>
        </w:rPr>
        <w:t>Paragraphe 6.2.9</w:t>
      </w:r>
      <w:r w:rsidRPr="00B155E0">
        <w:rPr>
          <w:lang w:val="fr-FR"/>
        </w:rPr>
        <w:t>, modifier comme suit :</w:t>
      </w:r>
    </w:p>
    <w:p w:rsidR="00B32AD9" w:rsidRPr="00B155E0" w:rsidRDefault="00B32AD9" w:rsidP="0058683F">
      <w:pPr>
        <w:pStyle w:val="SingleTxtG"/>
        <w:keepNext/>
        <w:ind w:left="2268" w:hanging="1134"/>
        <w:rPr>
          <w:lang w:val="fr-FR"/>
        </w:rPr>
      </w:pPr>
      <w:r>
        <w:rPr>
          <w:lang w:val="fr-FR"/>
        </w:rPr>
        <w:t>« </w:t>
      </w:r>
      <w:r w:rsidRPr="00B155E0">
        <w:rPr>
          <w:lang w:val="fr-FR"/>
        </w:rPr>
        <w:t>6.2.9</w:t>
      </w:r>
      <w:r w:rsidRPr="00B155E0">
        <w:rPr>
          <w:lang w:val="fr-FR"/>
        </w:rPr>
        <w:tab/>
        <w:t>…</w:t>
      </w:r>
    </w:p>
    <w:p w:rsidR="00B32AD9" w:rsidRPr="00B155E0" w:rsidRDefault="00B32AD9" w:rsidP="00B32AD9">
      <w:pPr>
        <w:pStyle w:val="SingleTxtG"/>
        <w:ind w:left="2268"/>
        <w:rPr>
          <w:lang w:val="fr-FR"/>
        </w:rPr>
      </w:pPr>
      <w:r w:rsidRPr="00B155E0">
        <w:rPr>
          <w:lang w:val="fr-FR"/>
        </w:rPr>
        <w:t>L</w:t>
      </w:r>
      <w:r>
        <w:rPr>
          <w:lang w:val="fr-FR"/>
        </w:rPr>
        <w:t>’</w:t>
      </w:r>
      <w:r w:rsidRPr="00B155E0">
        <w:rPr>
          <w:lang w:val="fr-FR"/>
        </w:rPr>
        <w:t>éclairage de virage ne peut être obtenu qu</w:t>
      </w:r>
      <w:r>
        <w:rPr>
          <w:lang w:val="fr-FR"/>
        </w:rPr>
        <w:t>’</w:t>
      </w:r>
      <w:r w:rsidRPr="00B155E0">
        <w:rPr>
          <w:lang w:val="fr-FR"/>
        </w:rPr>
        <w:t>au moyen de feux de croisement conformes au</w:t>
      </w:r>
      <w:r w:rsidRPr="003C1502">
        <w:rPr>
          <w:b/>
          <w:lang w:val="fr-FR"/>
        </w:rPr>
        <w:t>x</w:t>
      </w:r>
      <w:r w:rsidRPr="00B155E0">
        <w:rPr>
          <w:lang w:val="fr-FR"/>
        </w:rPr>
        <w:t xml:space="preserve"> Règlement</w:t>
      </w:r>
      <w:r w:rsidRPr="003C1502">
        <w:rPr>
          <w:b/>
          <w:lang w:val="fr-FR"/>
        </w:rPr>
        <w:t>s</w:t>
      </w:r>
      <w:r w:rsidRPr="00B155E0">
        <w:rPr>
          <w:lang w:val="fr-FR"/>
        </w:rPr>
        <w:t xml:space="preserve"> n</w:t>
      </w:r>
      <w:r w:rsidRPr="00B155E0">
        <w:rPr>
          <w:vertAlign w:val="superscript"/>
          <w:lang w:val="fr-FR"/>
        </w:rPr>
        <w:t>o</w:t>
      </w:r>
      <w:r w:rsidRPr="003C1502">
        <w:rPr>
          <w:b/>
          <w:vertAlign w:val="superscript"/>
          <w:lang w:val="fr-FR"/>
        </w:rPr>
        <w:t>s</w:t>
      </w:r>
      <w:r w:rsidRPr="00B155E0">
        <w:rPr>
          <w:lang w:val="fr-FR"/>
        </w:rPr>
        <w:t> 98</w:t>
      </w:r>
      <w:r w:rsidRPr="00B155E0">
        <w:rPr>
          <w:b/>
          <w:lang w:val="fr-FR"/>
        </w:rPr>
        <w:t>,</w:t>
      </w:r>
      <w:r w:rsidRPr="00B155E0">
        <w:rPr>
          <w:lang w:val="fr-FR"/>
        </w:rPr>
        <w:t xml:space="preserve"> </w:t>
      </w:r>
      <w:r w:rsidRPr="00AE68F7">
        <w:rPr>
          <w:strike/>
          <w:lang w:val="fr-FR"/>
        </w:rPr>
        <w:t>ou</w:t>
      </w:r>
      <w:r w:rsidRPr="00B155E0">
        <w:rPr>
          <w:lang w:val="fr-FR"/>
        </w:rPr>
        <w:t xml:space="preserve"> 112 </w:t>
      </w:r>
      <w:r w:rsidRPr="00B155E0">
        <w:rPr>
          <w:b/>
          <w:lang w:val="fr-FR"/>
        </w:rPr>
        <w:t>ou [RID]</w:t>
      </w:r>
      <w:r w:rsidRPr="00B155E0">
        <w:rPr>
          <w:lang w:val="fr-FR"/>
        </w:rPr>
        <w:t>.</w:t>
      </w:r>
    </w:p>
    <w:p w:rsidR="00B32AD9" w:rsidRPr="00B155E0" w:rsidRDefault="00B32AD9" w:rsidP="00B32AD9">
      <w:pPr>
        <w:pStyle w:val="SingleTxtG"/>
        <w:ind w:left="2268"/>
        <w:rPr>
          <w:lang w:val="fr-FR"/>
        </w:rPr>
      </w:pPr>
      <w:r w:rsidRPr="00B155E0">
        <w:rPr>
          <w:lang w:val="fr-FR"/>
        </w:rPr>
        <w:lastRenderedPageBreak/>
        <w:t>…</w:t>
      </w:r>
      <w:r>
        <w:rPr>
          <w:lang w:val="fr-FR"/>
        </w:rPr>
        <w:t> ».</w:t>
      </w:r>
    </w:p>
    <w:p w:rsidR="00B32AD9" w:rsidRPr="00B155E0" w:rsidRDefault="00B32AD9" w:rsidP="00B32AD9">
      <w:pPr>
        <w:pStyle w:val="SingleTxtG"/>
        <w:keepNext/>
        <w:keepLines/>
        <w:rPr>
          <w:lang w:val="fr-FR"/>
        </w:rPr>
      </w:pPr>
      <w:r w:rsidRPr="00B155E0">
        <w:rPr>
          <w:i/>
          <w:lang w:val="fr-FR"/>
        </w:rPr>
        <w:t>Paragraphe 6.3</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6.3</w:t>
      </w:r>
      <w:r w:rsidRPr="00B155E0">
        <w:rPr>
          <w:lang w:val="fr-FR"/>
        </w:rPr>
        <w:tab/>
        <w:t>Feu de brouillard avant (Règlement</w:t>
      </w:r>
      <w:r w:rsidRPr="00B155E0">
        <w:rPr>
          <w:b/>
          <w:lang w:val="fr-FR"/>
        </w:rPr>
        <w:t>s</w:t>
      </w:r>
      <w:r w:rsidRPr="00B155E0">
        <w:rPr>
          <w:lang w:val="fr-FR"/>
        </w:rPr>
        <w:t xml:space="preserve"> n</w:t>
      </w:r>
      <w:r w:rsidRPr="00B155E0">
        <w:rPr>
          <w:vertAlign w:val="superscript"/>
          <w:lang w:val="fr-FR"/>
        </w:rPr>
        <w:t>o</w:t>
      </w:r>
      <w:r w:rsidRPr="00B155E0">
        <w:rPr>
          <w:b/>
          <w:vertAlign w:val="superscript"/>
          <w:lang w:val="fr-FR"/>
        </w:rPr>
        <w:t>s</w:t>
      </w:r>
      <w:r w:rsidRPr="00B155E0">
        <w:rPr>
          <w:lang w:val="fr-FR"/>
        </w:rPr>
        <w:t xml:space="preserve"> 19 </w:t>
      </w:r>
      <w:r w:rsidRPr="00B155E0">
        <w:rPr>
          <w:b/>
          <w:lang w:val="fr-FR"/>
        </w:rPr>
        <w:t>ou [RID]</w:t>
      </w:r>
      <w:r w:rsidRPr="00B155E0">
        <w:rPr>
          <w:lang w:val="fr-FR"/>
        </w:rPr>
        <w:t>)</w:t>
      </w:r>
      <w:r>
        <w:rPr>
          <w:lang w:val="fr-FR"/>
        </w:rPr>
        <w:t> »</w:t>
      </w:r>
      <w:r w:rsidR="0058683F">
        <w:rPr>
          <w:lang w:val="fr-FR"/>
        </w:rPr>
        <w:t>.</w:t>
      </w:r>
    </w:p>
    <w:p w:rsidR="00B32AD9" w:rsidRPr="00B155E0" w:rsidRDefault="00B32AD9" w:rsidP="0058683F">
      <w:pPr>
        <w:pStyle w:val="SingleTxtG"/>
        <w:keepNext/>
        <w:rPr>
          <w:lang w:val="fr-FR"/>
        </w:rPr>
      </w:pPr>
      <w:r w:rsidRPr="00B155E0">
        <w:rPr>
          <w:i/>
          <w:lang w:val="fr-FR"/>
        </w:rPr>
        <w:t>Paragraphe 6.3.2</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6.3.2</w:t>
      </w:r>
      <w:r w:rsidRPr="00B155E0">
        <w:rPr>
          <w:lang w:val="fr-FR"/>
        </w:rPr>
        <w:tab/>
      </w:r>
      <w:r w:rsidRPr="00B155E0">
        <w:rPr>
          <w:iCs/>
          <w:lang w:val="fr-FR"/>
        </w:rPr>
        <w:t>Nombre</w:t>
      </w:r>
    </w:p>
    <w:p w:rsidR="00B32AD9" w:rsidRPr="00B155E0" w:rsidRDefault="00B32AD9" w:rsidP="00B32AD9">
      <w:pPr>
        <w:pStyle w:val="SingleTxtG"/>
        <w:ind w:left="2268"/>
        <w:rPr>
          <w:lang w:val="fr-FR"/>
        </w:rPr>
      </w:pPr>
      <w:r w:rsidRPr="00B155E0">
        <w:rPr>
          <w:lang w:val="fr-FR" w:eastAsia="fr-FR"/>
        </w:rPr>
        <w:t xml:space="preserve">Deux, conformes aux prescriptions </w:t>
      </w:r>
      <w:r w:rsidRPr="00B155E0">
        <w:rPr>
          <w:b/>
          <w:lang w:val="fr-FR" w:eastAsia="fr-FR"/>
        </w:rPr>
        <w:t>soit</w:t>
      </w:r>
      <w:r w:rsidRPr="00B155E0">
        <w:rPr>
          <w:lang w:val="fr-FR" w:eastAsia="fr-FR"/>
        </w:rPr>
        <w:t xml:space="preserve"> de la série</w:t>
      </w:r>
      <w:r w:rsidR="0058683F">
        <w:rPr>
          <w:lang w:val="fr-FR" w:eastAsia="fr-FR"/>
        </w:rPr>
        <w:t xml:space="preserve"> </w:t>
      </w:r>
      <w:r w:rsidRPr="00B155E0">
        <w:rPr>
          <w:lang w:val="fr-FR" w:eastAsia="fr-FR"/>
        </w:rPr>
        <w:t>03 et des séries ultérieures d</w:t>
      </w:r>
      <w:r>
        <w:rPr>
          <w:lang w:val="fr-FR" w:eastAsia="fr-FR"/>
        </w:rPr>
        <w:t>’</w:t>
      </w:r>
      <w:r w:rsidRPr="00B155E0">
        <w:rPr>
          <w:lang w:val="fr-FR" w:eastAsia="fr-FR"/>
        </w:rPr>
        <w:t xml:space="preserve">amendements au </w:t>
      </w:r>
      <w:bookmarkStart w:id="7" w:name="_Hlk491706007"/>
      <w:r w:rsidRPr="00B155E0">
        <w:rPr>
          <w:lang w:val="fr-FR" w:eastAsia="fr-FR"/>
        </w:rPr>
        <w:t>Règlement n</w:t>
      </w:r>
      <w:r w:rsidRPr="00B155E0">
        <w:rPr>
          <w:vertAlign w:val="superscript"/>
          <w:lang w:val="fr-FR" w:eastAsia="fr-FR"/>
        </w:rPr>
        <w:t>o</w:t>
      </w:r>
      <w:r w:rsidRPr="00B155E0">
        <w:rPr>
          <w:lang w:val="fr-FR" w:eastAsia="fr-FR"/>
        </w:rPr>
        <w:t> </w:t>
      </w:r>
      <w:bookmarkEnd w:id="7"/>
      <w:r w:rsidRPr="00B155E0">
        <w:rPr>
          <w:lang w:val="fr-FR" w:eastAsia="fr-FR"/>
        </w:rPr>
        <w:t>19</w:t>
      </w:r>
      <w:r w:rsidRPr="00B155E0">
        <w:rPr>
          <w:b/>
          <w:lang w:val="fr-FR" w:eastAsia="fr-FR"/>
        </w:rPr>
        <w:t xml:space="preserve">, </w:t>
      </w:r>
      <w:r w:rsidRPr="00B155E0">
        <w:rPr>
          <w:b/>
          <w:lang w:val="fr-FR"/>
        </w:rPr>
        <w:t xml:space="preserve">soit du </w:t>
      </w:r>
      <w:r w:rsidRPr="00B155E0">
        <w:rPr>
          <w:b/>
          <w:lang w:val="fr-FR" w:eastAsia="fr-FR"/>
        </w:rPr>
        <w:t>Règlement n</w:t>
      </w:r>
      <w:r w:rsidRPr="00B155E0">
        <w:rPr>
          <w:b/>
          <w:vertAlign w:val="superscript"/>
          <w:lang w:val="fr-FR" w:eastAsia="fr-FR"/>
        </w:rPr>
        <w:t>o</w:t>
      </w:r>
      <w:r w:rsidRPr="00B155E0">
        <w:rPr>
          <w:b/>
          <w:lang w:val="fr-FR" w:eastAsia="fr-FR"/>
        </w:rPr>
        <w:t> </w:t>
      </w:r>
      <w:r w:rsidRPr="00B155E0">
        <w:rPr>
          <w:b/>
          <w:lang w:val="fr-FR"/>
        </w:rPr>
        <w:t>[RID]</w:t>
      </w:r>
      <w:r w:rsidRPr="00B155E0">
        <w:rPr>
          <w:lang w:val="fr-FR"/>
        </w:rPr>
        <w:t>.</w:t>
      </w:r>
      <w:r>
        <w:rPr>
          <w:rFonts w:eastAsia="MS Mincho"/>
          <w:lang w:val="fr-FR"/>
        </w:rPr>
        <w:t> ».</w:t>
      </w:r>
    </w:p>
    <w:p w:rsidR="00B32AD9" w:rsidRPr="00B155E0" w:rsidRDefault="00B32AD9" w:rsidP="0058683F">
      <w:pPr>
        <w:pStyle w:val="SingleTxtG"/>
        <w:keepNext/>
        <w:rPr>
          <w:lang w:val="fr-FR"/>
        </w:rPr>
      </w:pPr>
      <w:r w:rsidRPr="00B155E0">
        <w:rPr>
          <w:i/>
          <w:lang w:val="fr-FR"/>
        </w:rPr>
        <w:t>Paragraphe 6.3.7</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6.3.7</w:t>
      </w:r>
      <w:r w:rsidRPr="00B155E0">
        <w:rPr>
          <w:lang w:val="fr-FR"/>
        </w:rPr>
        <w:tab/>
        <w:t>…</w:t>
      </w:r>
    </w:p>
    <w:p w:rsidR="00B32AD9" w:rsidRPr="00B155E0" w:rsidRDefault="00B32AD9" w:rsidP="00B32AD9">
      <w:pPr>
        <w:pStyle w:val="SingleTxtG"/>
        <w:ind w:left="2835" w:hanging="567"/>
        <w:rPr>
          <w:b/>
          <w:lang w:val="fr-FR"/>
        </w:rPr>
      </w:pPr>
      <w:r w:rsidRPr="00B155E0">
        <w:rPr>
          <w:lang w:val="fr-FR"/>
        </w:rPr>
        <w:t>b)</w:t>
      </w:r>
      <w:r w:rsidRPr="00B155E0">
        <w:rPr>
          <w:lang w:val="fr-FR"/>
        </w:rPr>
        <w:tab/>
      </w:r>
      <w:r w:rsidRPr="00B155E0">
        <w:rPr>
          <w:color w:val="000000"/>
          <w:lang w:val="fr-FR"/>
        </w:rPr>
        <w:t>Les feux de brouillard avant ne puissent pas être allumés en même temps que tout autre feu avec lequel ils sont mutuellement incorporés, comme indiqué par le symbole correspondant (</w:t>
      </w:r>
      <w:r>
        <w:rPr>
          <w:color w:val="000000"/>
          <w:lang w:val="fr-FR"/>
        </w:rPr>
        <w:t>“</w:t>
      </w:r>
      <w:r w:rsidRPr="00B155E0">
        <w:rPr>
          <w:color w:val="000000"/>
          <w:lang w:val="fr-FR"/>
        </w:rPr>
        <w:t>/</w:t>
      </w:r>
      <w:r>
        <w:rPr>
          <w:color w:val="000000"/>
          <w:lang w:val="fr-FR"/>
        </w:rPr>
        <w:t>”</w:t>
      </w:r>
      <w:r w:rsidRPr="00B155E0">
        <w:rPr>
          <w:color w:val="000000"/>
          <w:lang w:val="fr-FR"/>
        </w:rPr>
        <w:t xml:space="preserve">) conformément </w:t>
      </w:r>
      <w:bookmarkStart w:id="8" w:name="_Hlk491707882"/>
      <w:r w:rsidRPr="00B155E0">
        <w:rPr>
          <w:color w:val="000000"/>
          <w:lang w:val="fr-FR"/>
        </w:rPr>
        <w:t>au point 10.1 de l</w:t>
      </w:r>
      <w:r>
        <w:rPr>
          <w:color w:val="000000"/>
          <w:lang w:val="fr-FR"/>
        </w:rPr>
        <w:t>’</w:t>
      </w:r>
      <w:r w:rsidRPr="00B155E0">
        <w:rPr>
          <w:color w:val="000000"/>
          <w:lang w:val="fr-FR"/>
        </w:rPr>
        <w:t>annexe</w:t>
      </w:r>
      <w:r w:rsidR="0058683F">
        <w:rPr>
          <w:color w:val="000000"/>
          <w:lang w:val="fr-FR"/>
        </w:rPr>
        <w:t xml:space="preserve"> </w:t>
      </w:r>
      <w:r w:rsidRPr="00B155E0">
        <w:rPr>
          <w:color w:val="000000"/>
          <w:lang w:val="fr-FR"/>
        </w:rPr>
        <w:t>1 au Règlement n</w:t>
      </w:r>
      <w:r w:rsidRPr="00B155E0">
        <w:rPr>
          <w:color w:val="000000"/>
          <w:vertAlign w:val="superscript"/>
          <w:lang w:val="fr-FR"/>
        </w:rPr>
        <w:t>o</w:t>
      </w:r>
      <w:r w:rsidRPr="00B155E0">
        <w:rPr>
          <w:color w:val="000000"/>
          <w:lang w:val="fr-FR"/>
        </w:rPr>
        <w:t> 19</w:t>
      </w:r>
      <w:bookmarkEnd w:id="8"/>
      <w:r w:rsidRPr="00B155E0">
        <w:rPr>
          <w:color w:val="000000"/>
          <w:lang w:val="fr-FR"/>
        </w:rPr>
        <w:t xml:space="preserve"> </w:t>
      </w:r>
      <w:bookmarkStart w:id="9" w:name="_Hlk491708154"/>
      <w:r w:rsidRPr="00B155E0">
        <w:rPr>
          <w:b/>
          <w:color w:val="000000"/>
          <w:lang w:val="fr-FR"/>
        </w:rPr>
        <w:t>ou</w:t>
      </w:r>
      <w:r w:rsidRPr="00B155E0">
        <w:rPr>
          <w:lang w:val="fr-FR"/>
        </w:rPr>
        <w:t xml:space="preserve"> </w:t>
      </w:r>
      <w:r w:rsidRPr="00B155E0">
        <w:rPr>
          <w:b/>
          <w:color w:val="000000"/>
          <w:lang w:val="fr-FR"/>
        </w:rPr>
        <w:t>au point</w:t>
      </w:r>
      <w:r w:rsidR="0058683F">
        <w:rPr>
          <w:b/>
          <w:color w:val="000000"/>
          <w:lang w:val="fr-FR"/>
        </w:rPr>
        <w:t xml:space="preserve"> </w:t>
      </w:r>
      <w:r w:rsidRPr="00B155E0">
        <w:rPr>
          <w:b/>
          <w:color w:val="000000"/>
          <w:lang w:val="fr-FR"/>
        </w:rPr>
        <w:t>9.5.1 de l</w:t>
      </w:r>
      <w:r>
        <w:rPr>
          <w:b/>
          <w:color w:val="000000"/>
          <w:lang w:val="fr-FR"/>
        </w:rPr>
        <w:t>’</w:t>
      </w:r>
      <w:r w:rsidRPr="00B155E0">
        <w:rPr>
          <w:b/>
          <w:color w:val="000000"/>
          <w:lang w:val="fr-FR"/>
        </w:rPr>
        <w:t>annexe 1 au Règlement n</w:t>
      </w:r>
      <w:r w:rsidRPr="00B155E0">
        <w:rPr>
          <w:b/>
          <w:color w:val="000000"/>
          <w:vertAlign w:val="superscript"/>
          <w:lang w:val="fr-FR"/>
        </w:rPr>
        <w:t>o</w:t>
      </w:r>
      <w:r w:rsidRPr="00B155E0">
        <w:rPr>
          <w:b/>
          <w:color w:val="000000"/>
          <w:lang w:val="fr-FR"/>
        </w:rPr>
        <w:t> [RID]</w:t>
      </w:r>
      <w:bookmarkEnd w:id="9"/>
      <w:r w:rsidRPr="00B155E0">
        <w:rPr>
          <w:lang w:val="fr-FR"/>
        </w:rPr>
        <w:t>.</w:t>
      </w:r>
      <w:r>
        <w:rPr>
          <w:rFonts w:eastAsia="MS Mincho"/>
          <w:lang w:val="fr-FR"/>
        </w:rPr>
        <w:t> ».</w:t>
      </w:r>
    </w:p>
    <w:p w:rsidR="00B32AD9" w:rsidRPr="00B155E0" w:rsidRDefault="00B32AD9" w:rsidP="0058683F">
      <w:pPr>
        <w:pStyle w:val="SingleTxtG"/>
        <w:keepNext/>
        <w:rPr>
          <w:lang w:val="fr-FR"/>
        </w:rPr>
      </w:pPr>
      <w:r w:rsidRPr="00B155E0">
        <w:rPr>
          <w:i/>
          <w:lang w:val="fr-FR"/>
        </w:rPr>
        <w:t>Paragraphe 6.3.9</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6.3.9</w:t>
      </w:r>
      <w:r w:rsidRPr="00B155E0">
        <w:rPr>
          <w:lang w:val="fr-FR"/>
        </w:rPr>
        <w:tab/>
      </w:r>
      <w:r w:rsidRPr="00B155E0">
        <w:rPr>
          <w:lang w:val="fr-FR" w:eastAsia="fr-FR"/>
        </w:rPr>
        <w:t>Autres prescriptions</w:t>
      </w:r>
    </w:p>
    <w:p w:rsidR="00B32AD9" w:rsidRPr="00B155E0" w:rsidRDefault="00B32AD9" w:rsidP="00B32AD9">
      <w:pPr>
        <w:pStyle w:val="SingleTxtG"/>
        <w:ind w:left="2268"/>
        <w:rPr>
          <w:lang w:val="fr-FR" w:eastAsia="fr-FR"/>
        </w:rPr>
      </w:pPr>
      <w:r w:rsidRPr="00B155E0">
        <w:rPr>
          <w:lang w:val="fr-FR" w:eastAsia="fr-FR"/>
        </w:rPr>
        <w:t>En cas de réponse affirmative à la question posée au point</w:t>
      </w:r>
      <w:r w:rsidR="0058683F">
        <w:rPr>
          <w:lang w:val="fr-FR" w:eastAsia="fr-FR"/>
        </w:rPr>
        <w:t xml:space="preserve"> </w:t>
      </w:r>
      <w:r w:rsidRPr="00B155E0">
        <w:rPr>
          <w:lang w:val="fr-FR" w:eastAsia="fr-FR"/>
        </w:rPr>
        <w:t>10.9 de la fiche d</w:t>
      </w:r>
      <w:r>
        <w:rPr>
          <w:lang w:val="fr-FR" w:eastAsia="fr-FR"/>
        </w:rPr>
        <w:t>’</w:t>
      </w:r>
      <w:r w:rsidRPr="00B155E0">
        <w:rPr>
          <w:lang w:val="fr-FR" w:eastAsia="fr-FR"/>
        </w:rPr>
        <w:t>information figurant à l</w:t>
      </w:r>
      <w:r>
        <w:rPr>
          <w:lang w:val="fr-FR" w:eastAsia="fr-FR"/>
        </w:rPr>
        <w:t>’</w:t>
      </w:r>
      <w:r w:rsidRPr="00B155E0">
        <w:rPr>
          <w:lang w:val="fr-FR" w:eastAsia="fr-FR"/>
        </w:rPr>
        <w:t>annexe 1 du Règlement n</w:t>
      </w:r>
      <w:r w:rsidRPr="00B155E0">
        <w:rPr>
          <w:vertAlign w:val="superscript"/>
          <w:lang w:val="fr-FR" w:eastAsia="fr-FR"/>
        </w:rPr>
        <w:t>o</w:t>
      </w:r>
      <w:r w:rsidRPr="00B155E0">
        <w:rPr>
          <w:lang w:val="fr-FR" w:eastAsia="fr-FR"/>
        </w:rPr>
        <w:t xml:space="preserve"> 19 </w:t>
      </w:r>
      <w:r w:rsidRPr="00B155E0">
        <w:rPr>
          <w:b/>
          <w:color w:val="000000"/>
          <w:lang w:val="fr-FR"/>
        </w:rPr>
        <w:t>ou</w:t>
      </w:r>
      <w:r w:rsidRPr="00B155E0">
        <w:rPr>
          <w:lang w:val="fr-FR"/>
        </w:rPr>
        <w:t xml:space="preserve"> </w:t>
      </w:r>
      <w:r w:rsidRPr="00B155E0">
        <w:rPr>
          <w:b/>
          <w:color w:val="000000"/>
          <w:lang w:val="fr-FR"/>
        </w:rPr>
        <w:t>au point</w:t>
      </w:r>
      <w:r w:rsidR="0058683F">
        <w:rPr>
          <w:b/>
          <w:color w:val="000000"/>
          <w:lang w:val="fr-FR"/>
        </w:rPr>
        <w:t xml:space="preserve"> </w:t>
      </w:r>
      <w:r w:rsidRPr="00B155E0">
        <w:rPr>
          <w:b/>
          <w:color w:val="000000"/>
          <w:lang w:val="fr-FR"/>
        </w:rPr>
        <w:t>9.5.8 de l</w:t>
      </w:r>
      <w:r>
        <w:rPr>
          <w:b/>
          <w:color w:val="000000"/>
          <w:lang w:val="fr-FR"/>
        </w:rPr>
        <w:t>’</w:t>
      </w:r>
      <w:r w:rsidRPr="00B155E0">
        <w:rPr>
          <w:b/>
          <w:color w:val="000000"/>
          <w:lang w:val="fr-FR"/>
        </w:rPr>
        <w:t>annexe 1 au Règlement n</w:t>
      </w:r>
      <w:r w:rsidRPr="00B155E0">
        <w:rPr>
          <w:b/>
          <w:color w:val="000000"/>
          <w:vertAlign w:val="superscript"/>
          <w:lang w:val="fr-FR"/>
        </w:rPr>
        <w:t>o</w:t>
      </w:r>
      <w:r w:rsidRPr="00B155E0">
        <w:rPr>
          <w:b/>
          <w:color w:val="000000"/>
          <w:lang w:val="fr-FR"/>
        </w:rPr>
        <w:t> [RID]</w:t>
      </w:r>
      <w:r w:rsidRPr="00B155E0">
        <w:rPr>
          <w:lang w:val="fr-FR" w:eastAsia="fr-FR"/>
        </w:rPr>
        <w:t>, l</w:t>
      </w:r>
      <w:r>
        <w:rPr>
          <w:lang w:val="fr-FR" w:eastAsia="fr-FR"/>
        </w:rPr>
        <w:t>’</w:t>
      </w:r>
      <w:r w:rsidRPr="00B155E0">
        <w:rPr>
          <w:lang w:val="fr-FR" w:eastAsia="fr-FR"/>
        </w:rPr>
        <w:t xml:space="preserve">alignement et les intensités lumineuses du faisceau de brouillard de la classe </w:t>
      </w:r>
      <w:r>
        <w:rPr>
          <w:lang w:val="fr-FR" w:eastAsia="fr-FR"/>
        </w:rPr>
        <w:t>“</w:t>
      </w:r>
      <w:r w:rsidRPr="00B155E0">
        <w:rPr>
          <w:lang w:val="fr-FR" w:eastAsia="fr-FR"/>
        </w:rPr>
        <w:t>F3</w:t>
      </w:r>
      <w:r>
        <w:rPr>
          <w:lang w:val="fr-FR" w:eastAsia="fr-FR"/>
        </w:rPr>
        <w:t>”</w:t>
      </w:r>
      <w:r w:rsidRPr="00B155E0">
        <w:rPr>
          <w:lang w:val="fr-FR" w:eastAsia="fr-FR"/>
        </w:rPr>
        <w:t xml:space="preserve"> peuvent être ajustés automatiquement en fonction des conditions ambiantes. Toute modification des intensités lumineuses ou de l</w:t>
      </w:r>
      <w:r>
        <w:rPr>
          <w:lang w:val="fr-FR" w:eastAsia="fr-FR"/>
        </w:rPr>
        <w:t>’</w:t>
      </w:r>
      <w:r w:rsidRPr="00B155E0">
        <w:rPr>
          <w:lang w:val="fr-FR" w:eastAsia="fr-FR"/>
        </w:rPr>
        <w:t>alignement doit s</w:t>
      </w:r>
      <w:r>
        <w:rPr>
          <w:lang w:val="fr-FR" w:eastAsia="fr-FR"/>
        </w:rPr>
        <w:t>’</w:t>
      </w:r>
      <w:r w:rsidRPr="00B155E0">
        <w:rPr>
          <w:lang w:val="fr-FR" w:eastAsia="fr-FR"/>
        </w:rPr>
        <w:t>effectuer automatiquement et sans aucune gêne, ni pour le conducteur ni pour les autres usagers de la route.</w:t>
      </w:r>
      <w:r>
        <w:rPr>
          <w:lang w:val="fr-FR" w:eastAsia="fr-FR"/>
        </w:rPr>
        <w:t> ».</w:t>
      </w:r>
    </w:p>
    <w:p w:rsidR="00B32AD9" w:rsidRPr="00B155E0" w:rsidRDefault="00B32AD9" w:rsidP="00B32AD9">
      <w:pPr>
        <w:pStyle w:val="SingleTxtG"/>
        <w:rPr>
          <w:lang w:val="fr-FR"/>
        </w:rPr>
      </w:pPr>
      <w:r w:rsidRPr="00B155E0">
        <w:rPr>
          <w:i/>
          <w:lang w:val="fr-FR"/>
        </w:rPr>
        <w:t>Paragraphe 6.4</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6.4</w:t>
      </w:r>
      <w:r w:rsidRPr="00B155E0">
        <w:rPr>
          <w:lang w:val="fr-FR"/>
        </w:rPr>
        <w:tab/>
        <w:t>F</w:t>
      </w:r>
      <w:r w:rsidRPr="00B155E0">
        <w:rPr>
          <w:lang w:val="fr-FR" w:eastAsia="fr-FR"/>
        </w:rPr>
        <w:t>eu de marche arrière (Règlement</w:t>
      </w:r>
      <w:r w:rsidRPr="00B155E0">
        <w:rPr>
          <w:b/>
          <w:lang w:val="fr-FR" w:eastAsia="fr-FR"/>
        </w:rPr>
        <w:t>s</w:t>
      </w:r>
      <w:r w:rsidRPr="00B155E0">
        <w:rPr>
          <w:lang w:val="fr-FR" w:eastAsia="fr-FR"/>
        </w:rPr>
        <w:t xml:space="preserve"> n</w:t>
      </w:r>
      <w:r w:rsidRPr="00B155E0">
        <w:rPr>
          <w:vertAlign w:val="superscript"/>
          <w:lang w:val="fr-FR" w:eastAsia="fr-FR"/>
        </w:rPr>
        <w:t>o</w:t>
      </w:r>
      <w:r w:rsidRPr="00B155E0">
        <w:rPr>
          <w:b/>
          <w:vertAlign w:val="superscript"/>
          <w:lang w:val="fr-FR" w:eastAsia="fr-FR"/>
        </w:rPr>
        <w:t>s</w:t>
      </w:r>
      <w:r w:rsidRPr="00B155E0">
        <w:rPr>
          <w:lang w:val="fr-FR" w:eastAsia="fr-FR"/>
        </w:rPr>
        <w:t xml:space="preserve"> 23 </w:t>
      </w:r>
      <w:bookmarkStart w:id="10" w:name="_Hlk491708326"/>
      <w:r w:rsidRPr="00B155E0">
        <w:rPr>
          <w:b/>
          <w:lang w:val="fr-FR"/>
        </w:rPr>
        <w:t>ou [LSD]</w:t>
      </w:r>
      <w:bookmarkEnd w:id="10"/>
      <w:r w:rsidRPr="00B155E0">
        <w:rPr>
          <w:lang w:val="fr-FR"/>
        </w:rPr>
        <w:t>)</w:t>
      </w:r>
      <w:r>
        <w:rPr>
          <w:lang w:val="fr-FR"/>
        </w:rPr>
        <w:t> »</w:t>
      </w:r>
      <w:r w:rsidR="003C2CF6">
        <w:rPr>
          <w:lang w:val="fr-FR"/>
        </w:rPr>
        <w:t>.</w:t>
      </w:r>
    </w:p>
    <w:p w:rsidR="00B32AD9" w:rsidRPr="00B155E0" w:rsidRDefault="00B32AD9" w:rsidP="00B32AD9">
      <w:pPr>
        <w:pStyle w:val="SingleTxtG"/>
        <w:rPr>
          <w:lang w:val="fr-FR"/>
        </w:rPr>
      </w:pPr>
      <w:r w:rsidRPr="00B155E0">
        <w:rPr>
          <w:i/>
          <w:lang w:val="fr-FR"/>
        </w:rPr>
        <w:t>Paragraphe 6.5</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6.5</w:t>
      </w:r>
      <w:r w:rsidRPr="00B155E0">
        <w:rPr>
          <w:lang w:val="fr-FR"/>
        </w:rPr>
        <w:tab/>
        <w:t>F</w:t>
      </w:r>
      <w:r w:rsidRPr="00B155E0">
        <w:rPr>
          <w:lang w:val="fr-FR" w:eastAsia="fr-FR"/>
        </w:rPr>
        <w:t>eu indicateur de direction (Règlement</w:t>
      </w:r>
      <w:r w:rsidRPr="00B155E0">
        <w:rPr>
          <w:b/>
          <w:lang w:val="fr-FR" w:eastAsia="fr-FR"/>
        </w:rPr>
        <w:t>s</w:t>
      </w:r>
      <w:r w:rsidRPr="00B155E0">
        <w:rPr>
          <w:lang w:val="fr-FR" w:eastAsia="fr-FR"/>
        </w:rPr>
        <w:t xml:space="preserve"> n</w:t>
      </w:r>
      <w:r w:rsidRPr="00B155E0">
        <w:rPr>
          <w:vertAlign w:val="superscript"/>
          <w:lang w:val="fr-FR" w:eastAsia="fr-FR"/>
        </w:rPr>
        <w:t>o</w:t>
      </w:r>
      <w:r w:rsidRPr="00B155E0">
        <w:rPr>
          <w:b/>
          <w:vertAlign w:val="superscript"/>
          <w:lang w:val="fr-FR" w:eastAsia="fr-FR"/>
        </w:rPr>
        <w:t>s</w:t>
      </w:r>
      <w:r w:rsidRPr="00B155E0">
        <w:rPr>
          <w:lang w:val="fr-FR" w:eastAsia="fr-FR"/>
        </w:rPr>
        <w:t> </w:t>
      </w:r>
      <w:r w:rsidRPr="00B155E0">
        <w:rPr>
          <w:lang w:val="fr-FR"/>
        </w:rPr>
        <w:t xml:space="preserve">6 </w:t>
      </w:r>
      <w:bookmarkStart w:id="11" w:name="_Hlk491708538"/>
      <w:r w:rsidRPr="00B155E0">
        <w:rPr>
          <w:b/>
          <w:lang w:val="fr-FR"/>
        </w:rPr>
        <w:t>ou [LSD]</w:t>
      </w:r>
      <w:bookmarkEnd w:id="11"/>
      <w:r w:rsidRPr="00B155E0">
        <w:rPr>
          <w:lang w:val="fr-FR"/>
        </w:rPr>
        <w:t>)</w:t>
      </w:r>
      <w:r>
        <w:rPr>
          <w:lang w:val="fr-FR"/>
        </w:rPr>
        <w:t> »</w:t>
      </w:r>
      <w:r w:rsidR="003C2CF6">
        <w:rPr>
          <w:lang w:val="fr-FR"/>
        </w:rPr>
        <w:t>.</w:t>
      </w:r>
    </w:p>
    <w:p w:rsidR="00B32AD9" w:rsidRPr="00B155E0" w:rsidRDefault="00B32AD9" w:rsidP="00B32AD9">
      <w:pPr>
        <w:pStyle w:val="SingleTxtG"/>
        <w:rPr>
          <w:lang w:val="fr-FR"/>
        </w:rPr>
      </w:pPr>
      <w:r w:rsidRPr="00B155E0">
        <w:rPr>
          <w:i/>
          <w:lang w:val="fr-FR"/>
        </w:rPr>
        <w:t>Paragraphe 6.5.8</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6.5.8</w:t>
      </w:r>
      <w:r w:rsidRPr="00B155E0">
        <w:rPr>
          <w:lang w:val="fr-FR"/>
        </w:rPr>
        <w:tab/>
        <w:t>…</w:t>
      </w:r>
    </w:p>
    <w:p w:rsidR="00B32AD9" w:rsidRPr="00B155E0" w:rsidRDefault="00B32AD9" w:rsidP="00B32AD9">
      <w:pPr>
        <w:pStyle w:val="SingleTxtG"/>
        <w:ind w:left="2268"/>
        <w:rPr>
          <w:lang w:val="fr-FR"/>
        </w:rPr>
      </w:pPr>
      <w:r w:rsidRPr="00B155E0">
        <w:rPr>
          <w:lang w:val="fr-FR" w:eastAsia="fr-FR"/>
        </w:rPr>
        <w:t>Il doit être activé par le signal produit conformément au paragraphe</w:t>
      </w:r>
      <w:r w:rsidR="003C2CF6">
        <w:rPr>
          <w:lang w:val="fr-FR" w:eastAsia="fr-FR"/>
        </w:rPr>
        <w:t xml:space="preserve"> </w:t>
      </w:r>
      <w:r w:rsidRPr="00B155E0">
        <w:rPr>
          <w:lang w:val="fr-FR" w:eastAsia="fr-FR"/>
        </w:rPr>
        <w:t>6.2.2 du Règlement</w:t>
      </w:r>
      <w:r w:rsidR="003C2CF6">
        <w:rPr>
          <w:lang w:val="fr-FR" w:eastAsia="fr-FR"/>
        </w:rPr>
        <w:t xml:space="preserve"> </w:t>
      </w:r>
      <w:r w:rsidRPr="00B155E0">
        <w:rPr>
          <w:lang w:val="fr-FR" w:eastAsia="fr-FR"/>
        </w:rPr>
        <w:t>n</w:t>
      </w:r>
      <w:r w:rsidRPr="00B155E0">
        <w:rPr>
          <w:vertAlign w:val="superscript"/>
          <w:lang w:val="fr-FR" w:eastAsia="fr-FR"/>
        </w:rPr>
        <w:t>o</w:t>
      </w:r>
      <w:r w:rsidRPr="00B155E0">
        <w:rPr>
          <w:lang w:val="fr-FR" w:eastAsia="fr-FR"/>
        </w:rPr>
        <w:t xml:space="preserve"> 6 </w:t>
      </w:r>
      <w:r w:rsidRPr="00B155E0">
        <w:rPr>
          <w:b/>
          <w:lang w:val="fr-FR"/>
        </w:rPr>
        <w:t>ou au paragraphe 5.6.3 du Règlement n</w:t>
      </w:r>
      <w:r w:rsidRPr="00B155E0">
        <w:rPr>
          <w:b/>
          <w:vertAlign w:val="superscript"/>
          <w:lang w:val="fr-FR"/>
        </w:rPr>
        <w:t>o</w:t>
      </w:r>
      <w:r w:rsidRPr="00B155E0">
        <w:rPr>
          <w:b/>
          <w:lang w:val="fr-FR"/>
        </w:rPr>
        <w:t> [LSD]</w:t>
      </w:r>
      <w:r w:rsidRPr="00B155E0">
        <w:rPr>
          <w:lang w:val="fr-FR"/>
        </w:rPr>
        <w:t xml:space="preserve"> </w:t>
      </w:r>
      <w:r w:rsidRPr="00B155E0">
        <w:rPr>
          <w:lang w:val="fr-FR" w:eastAsia="fr-FR"/>
        </w:rPr>
        <w:t>ou d</w:t>
      </w:r>
      <w:r>
        <w:rPr>
          <w:lang w:val="fr-FR" w:eastAsia="fr-FR"/>
        </w:rPr>
        <w:t>’</w:t>
      </w:r>
      <w:r w:rsidRPr="00B155E0">
        <w:rPr>
          <w:lang w:val="fr-FR" w:eastAsia="fr-FR"/>
        </w:rPr>
        <w:t>une autre manière qui convient</w:t>
      </w:r>
      <w:r w:rsidRPr="003C2CF6">
        <w:rPr>
          <w:rStyle w:val="FootnoteReference"/>
        </w:rPr>
        <w:t>13</w:t>
      </w:r>
      <w:r w:rsidRPr="00B155E0">
        <w:rPr>
          <w:lang w:val="fr-FR"/>
        </w:rPr>
        <w:t>.</w:t>
      </w:r>
    </w:p>
    <w:p w:rsidR="00B32AD9" w:rsidRPr="00B155E0" w:rsidRDefault="00B32AD9" w:rsidP="00B32AD9">
      <w:pPr>
        <w:pStyle w:val="SingleTxtG"/>
        <w:ind w:left="2268"/>
        <w:rPr>
          <w:lang w:val="fr-FR"/>
        </w:rPr>
      </w:pPr>
      <w:r w:rsidRPr="00B155E0">
        <w:rPr>
          <w:lang w:val="fr-FR"/>
        </w:rPr>
        <w:t>…</w:t>
      </w:r>
      <w:r>
        <w:rPr>
          <w:lang w:val="fr-FR"/>
        </w:rPr>
        <w:t> ».</w:t>
      </w:r>
    </w:p>
    <w:p w:rsidR="00B32AD9" w:rsidRPr="00B155E0" w:rsidRDefault="00B32AD9" w:rsidP="00B32AD9">
      <w:pPr>
        <w:pStyle w:val="SingleTxtG"/>
        <w:rPr>
          <w:lang w:val="fr-FR"/>
        </w:rPr>
      </w:pPr>
      <w:r w:rsidRPr="00B155E0">
        <w:rPr>
          <w:i/>
          <w:lang w:val="fr-FR"/>
        </w:rPr>
        <w:t>Paragraphe 6.7</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6.7</w:t>
      </w:r>
      <w:r w:rsidRPr="00B155E0">
        <w:rPr>
          <w:lang w:val="fr-FR"/>
        </w:rPr>
        <w:tab/>
        <w:t>F</w:t>
      </w:r>
      <w:r w:rsidRPr="00B155E0">
        <w:rPr>
          <w:lang w:val="fr-FR" w:eastAsia="fr-FR"/>
        </w:rPr>
        <w:t>eu-stop (</w:t>
      </w:r>
      <w:bookmarkStart w:id="12" w:name="_Hlk491718689"/>
      <w:bookmarkStart w:id="13" w:name="_Hlk491708604"/>
      <w:r w:rsidRPr="00B155E0">
        <w:rPr>
          <w:lang w:val="fr-FR" w:eastAsia="fr-FR"/>
        </w:rPr>
        <w:t>Règlement</w:t>
      </w:r>
      <w:r w:rsidRPr="00B155E0">
        <w:rPr>
          <w:b/>
          <w:lang w:val="fr-FR" w:eastAsia="fr-FR"/>
        </w:rPr>
        <w:t>s</w:t>
      </w:r>
      <w:r w:rsidRPr="00B155E0">
        <w:rPr>
          <w:lang w:val="fr-FR" w:eastAsia="fr-FR"/>
        </w:rPr>
        <w:t> n</w:t>
      </w:r>
      <w:r w:rsidRPr="00B155E0">
        <w:rPr>
          <w:vertAlign w:val="superscript"/>
          <w:lang w:val="fr-FR" w:eastAsia="fr-FR"/>
        </w:rPr>
        <w:t>o</w:t>
      </w:r>
      <w:r w:rsidRPr="00B155E0">
        <w:rPr>
          <w:b/>
          <w:vertAlign w:val="superscript"/>
          <w:lang w:val="fr-FR" w:eastAsia="fr-FR"/>
        </w:rPr>
        <w:t>s</w:t>
      </w:r>
      <w:r w:rsidRPr="00B155E0">
        <w:rPr>
          <w:lang w:val="fr-FR" w:eastAsia="fr-FR"/>
        </w:rPr>
        <w:t> 7</w:t>
      </w:r>
      <w:r w:rsidRPr="00B155E0">
        <w:rPr>
          <w:lang w:val="fr-FR"/>
        </w:rPr>
        <w:t xml:space="preserve"> </w:t>
      </w:r>
      <w:r w:rsidRPr="00B155E0">
        <w:rPr>
          <w:b/>
          <w:lang w:val="fr-FR"/>
        </w:rPr>
        <w:t>ou [LSD]</w:t>
      </w:r>
      <w:bookmarkEnd w:id="12"/>
      <w:r w:rsidRPr="00B155E0">
        <w:rPr>
          <w:lang w:val="fr-FR"/>
        </w:rPr>
        <w:t>)</w:t>
      </w:r>
      <w:bookmarkEnd w:id="13"/>
      <w:r>
        <w:rPr>
          <w:lang w:val="fr-FR"/>
        </w:rPr>
        <w:t> »</w:t>
      </w:r>
      <w:r w:rsidR="003C2CF6">
        <w:rPr>
          <w:lang w:val="fr-FR"/>
        </w:rPr>
        <w:t>.</w:t>
      </w:r>
    </w:p>
    <w:p w:rsidR="00B32AD9" w:rsidRPr="00B155E0" w:rsidRDefault="00B32AD9" w:rsidP="00B32AD9">
      <w:pPr>
        <w:pStyle w:val="SingleTxtG"/>
        <w:rPr>
          <w:i/>
          <w:lang w:val="fr-FR"/>
        </w:rPr>
      </w:pPr>
      <w:r w:rsidRPr="00B155E0">
        <w:rPr>
          <w:i/>
          <w:lang w:val="fr-FR"/>
        </w:rPr>
        <w:t>Paragraphe 6.8</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6.8</w:t>
      </w:r>
      <w:r w:rsidRPr="00B155E0">
        <w:rPr>
          <w:lang w:val="fr-FR"/>
        </w:rPr>
        <w:tab/>
      </w:r>
      <w:r w:rsidRPr="00B155E0">
        <w:rPr>
          <w:lang w:val="fr-FR" w:eastAsia="fr-FR"/>
        </w:rPr>
        <w:t>Dispositif d</w:t>
      </w:r>
      <w:r>
        <w:rPr>
          <w:lang w:val="fr-FR" w:eastAsia="fr-FR"/>
        </w:rPr>
        <w:t>’</w:t>
      </w:r>
      <w:r w:rsidRPr="00B155E0">
        <w:rPr>
          <w:lang w:val="fr-FR" w:eastAsia="fr-FR"/>
        </w:rPr>
        <w:t>éclairage de la plaque d</w:t>
      </w:r>
      <w:r>
        <w:rPr>
          <w:lang w:val="fr-FR" w:eastAsia="fr-FR"/>
        </w:rPr>
        <w:t>’</w:t>
      </w:r>
      <w:r w:rsidRPr="00B155E0">
        <w:rPr>
          <w:lang w:val="fr-FR" w:eastAsia="fr-FR"/>
        </w:rPr>
        <w:t>immatriculation arrière (Règlement</w:t>
      </w:r>
      <w:r w:rsidRPr="00B155E0">
        <w:rPr>
          <w:b/>
          <w:lang w:val="fr-FR" w:eastAsia="fr-FR"/>
        </w:rPr>
        <w:t>s</w:t>
      </w:r>
      <w:r w:rsidR="003C2CF6">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4</w:t>
      </w:r>
      <w:r w:rsidRPr="00B155E0">
        <w:rPr>
          <w:lang w:val="fr-FR"/>
        </w:rPr>
        <w:t xml:space="preserve"> </w:t>
      </w:r>
      <w:r w:rsidRPr="00B155E0">
        <w:rPr>
          <w:b/>
          <w:lang w:val="fr-FR"/>
        </w:rPr>
        <w:t>ou [LSD]</w:t>
      </w:r>
      <w:r w:rsidRPr="00B155E0">
        <w:rPr>
          <w:lang w:val="fr-FR"/>
        </w:rPr>
        <w:t>)</w:t>
      </w:r>
      <w:r>
        <w:rPr>
          <w:lang w:val="fr-FR"/>
        </w:rPr>
        <w:t> »</w:t>
      </w:r>
      <w:r w:rsidR="003C2CF6">
        <w:rPr>
          <w:lang w:val="fr-FR"/>
        </w:rPr>
        <w:t>.</w:t>
      </w:r>
    </w:p>
    <w:p w:rsidR="00B32AD9" w:rsidRPr="00B155E0" w:rsidRDefault="00B32AD9" w:rsidP="00B32AD9">
      <w:pPr>
        <w:pStyle w:val="SingleTxtG"/>
        <w:rPr>
          <w:i/>
          <w:lang w:val="fr-FR"/>
        </w:rPr>
      </w:pPr>
      <w:r w:rsidRPr="00B155E0">
        <w:rPr>
          <w:i/>
          <w:lang w:val="fr-FR"/>
        </w:rPr>
        <w:t>Paragraphe 6.9</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6.9</w:t>
      </w:r>
      <w:r w:rsidRPr="00B155E0">
        <w:rPr>
          <w:lang w:val="fr-FR"/>
        </w:rPr>
        <w:tab/>
        <w:t>Feu de position avant (</w:t>
      </w:r>
      <w:r w:rsidRPr="00B155E0">
        <w:rPr>
          <w:lang w:val="fr-FR" w:eastAsia="fr-FR"/>
        </w:rPr>
        <w:t>Règlement</w:t>
      </w:r>
      <w:r w:rsidRPr="00B155E0">
        <w:rPr>
          <w:b/>
          <w:lang w:val="fr-FR" w:eastAsia="fr-FR"/>
        </w:rPr>
        <w:t>s</w:t>
      </w:r>
      <w:r w:rsidR="003C2CF6">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7</w:t>
      </w:r>
      <w:r w:rsidRPr="00B155E0">
        <w:rPr>
          <w:lang w:val="fr-FR"/>
        </w:rPr>
        <w:t xml:space="preserve"> </w:t>
      </w:r>
      <w:r w:rsidRPr="00B155E0">
        <w:rPr>
          <w:b/>
          <w:lang w:val="fr-FR"/>
        </w:rPr>
        <w:t>ou [LSD]</w:t>
      </w:r>
      <w:r w:rsidRPr="00B155E0">
        <w:rPr>
          <w:lang w:val="fr-FR"/>
        </w:rPr>
        <w:t>)</w:t>
      </w:r>
      <w:r>
        <w:rPr>
          <w:lang w:val="fr-FR"/>
        </w:rPr>
        <w:t> »</w:t>
      </w:r>
      <w:r w:rsidR="003C2CF6">
        <w:rPr>
          <w:lang w:val="fr-FR"/>
        </w:rPr>
        <w:t>.</w:t>
      </w:r>
    </w:p>
    <w:p w:rsidR="00B32AD9" w:rsidRPr="00B155E0" w:rsidRDefault="00B32AD9" w:rsidP="00B32AD9">
      <w:pPr>
        <w:pStyle w:val="SingleTxtG"/>
        <w:rPr>
          <w:i/>
          <w:lang w:val="fr-FR"/>
        </w:rPr>
      </w:pPr>
      <w:r w:rsidRPr="00B155E0">
        <w:rPr>
          <w:i/>
          <w:lang w:val="fr-FR"/>
        </w:rPr>
        <w:t>Paragraphe 6.10</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6.10</w:t>
      </w:r>
      <w:r w:rsidRPr="00B155E0">
        <w:rPr>
          <w:lang w:val="fr-FR"/>
        </w:rPr>
        <w:tab/>
        <w:t>Feu de position arrière (</w:t>
      </w:r>
      <w:r w:rsidRPr="00B155E0">
        <w:rPr>
          <w:lang w:val="fr-FR" w:eastAsia="fr-FR"/>
        </w:rPr>
        <w:t>Règlement</w:t>
      </w:r>
      <w:r w:rsidRPr="00B155E0">
        <w:rPr>
          <w:b/>
          <w:lang w:val="fr-FR" w:eastAsia="fr-FR"/>
        </w:rPr>
        <w:t>s</w:t>
      </w:r>
      <w:r w:rsidR="003C2CF6">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7</w:t>
      </w:r>
      <w:r w:rsidRPr="00B155E0">
        <w:rPr>
          <w:lang w:val="fr-FR"/>
        </w:rPr>
        <w:t xml:space="preserve"> </w:t>
      </w:r>
      <w:r w:rsidRPr="00B155E0">
        <w:rPr>
          <w:b/>
          <w:lang w:val="fr-FR"/>
        </w:rPr>
        <w:t>ou [LSD]</w:t>
      </w:r>
      <w:r w:rsidRPr="00B155E0">
        <w:rPr>
          <w:lang w:val="fr-FR"/>
        </w:rPr>
        <w:t>)</w:t>
      </w:r>
      <w:r>
        <w:rPr>
          <w:lang w:val="fr-FR"/>
        </w:rPr>
        <w:t> »</w:t>
      </w:r>
      <w:r w:rsidR="003C2CF6">
        <w:rPr>
          <w:lang w:val="fr-FR"/>
        </w:rPr>
        <w:t>.</w:t>
      </w:r>
    </w:p>
    <w:p w:rsidR="00B32AD9" w:rsidRPr="00B155E0" w:rsidRDefault="00B32AD9" w:rsidP="003C2CF6">
      <w:pPr>
        <w:pStyle w:val="SingleTxtG"/>
        <w:keepNext/>
        <w:rPr>
          <w:i/>
          <w:lang w:val="fr-FR"/>
        </w:rPr>
      </w:pPr>
      <w:r w:rsidRPr="00B155E0">
        <w:rPr>
          <w:i/>
          <w:lang w:val="fr-FR"/>
        </w:rPr>
        <w:t>Paragraphe 6.11</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6.11</w:t>
      </w:r>
      <w:r w:rsidRPr="00B155E0">
        <w:rPr>
          <w:lang w:val="fr-FR"/>
        </w:rPr>
        <w:tab/>
        <w:t>F</w:t>
      </w:r>
      <w:r w:rsidRPr="00B155E0">
        <w:rPr>
          <w:lang w:val="fr-FR" w:eastAsia="fr-FR"/>
        </w:rPr>
        <w:t xml:space="preserve">eu de brouillard arrière </w:t>
      </w:r>
      <w:r w:rsidRPr="00B155E0">
        <w:rPr>
          <w:lang w:val="fr-FR"/>
        </w:rPr>
        <w:t>(</w:t>
      </w:r>
      <w:r w:rsidRPr="00B155E0">
        <w:rPr>
          <w:lang w:val="fr-FR" w:eastAsia="fr-FR"/>
        </w:rPr>
        <w:t>Règlement</w:t>
      </w:r>
      <w:r w:rsidRPr="00B155E0">
        <w:rPr>
          <w:b/>
          <w:lang w:val="fr-FR" w:eastAsia="fr-FR"/>
        </w:rPr>
        <w:t>s</w:t>
      </w:r>
      <w:r w:rsidR="003C2CF6">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38</w:t>
      </w:r>
      <w:r w:rsidRPr="00B155E0">
        <w:rPr>
          <w:lang w:val="fr-FR"/>
        </w:rPr>
        <w:t xml:space="preserve"> </w:t>
      </w:r>
      <w:r w:rsidRPr="00B155E0">
        <w:rPr>
          <w:b/>
          <w:lang w:val="fr-FR"/>
        </w:rPr>
        <w:t>ou [LSD]</w:t>
      </w:r>
      <w:r w:rsidRPr="00B155E0">
        <w:rPr>
          <w:lang w:val="fr-FR"/>
        </w:rPr>
        <w:t>)</w:t>
      </w:r>
      <w:r>
        <w:rPr>
          <w:lang w:val="fr-FR"/>
        </w:rPr>
        <w:t> »</w:t>
      </w:r>
      <w:r w:rsidR="003C2CF6">
        <w:rPr>
          <w:lang w:val="fr-FR"/>
        </w:rPr>
        <w:t>.</w:t>
      </w:r>
    </w:p>
    <w:p w:rsidR="00B32AD9" w:rsidRPr="00B155E0" w:rsidRDefault="00B32AD9" w:rsidP="00B32AD9">
      <w:pPr>
        <w:pStyle w:val="SingleTxtG"/>
        <w:keepNext/>
        <w:keepLines/>
        <w:rPr>
          <w:i/>
          <w:lang w:val="fr-FR"/>
        </w:rPr>
      </w:pPr>
      <w:r w:rsidRPr="00B155E0">
        <w:rPr>
          <w:i/>
          <w:lang w:val="fr-FR"/>
        </w:rPr>
        <w:lastRenderedPageBreak/>
        <w:t>Paragraphe 6.12</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6.12</w:t>
      </w:r>
      <w:r w:rsidRPr="00B155E0">
        <w:rPr>
          <w:lang w:val="fr-FR"/>
        </w:rPr>
        <w:tab/>
        <w:t>F</w:t>
      </w:r>
      <w:r w:rsidRPr="00B155E0">
        <w:rPr>
          <w:lang w:val="fr-FR" w:eastAsia="fr-FR"/>
        </w:rPr>
        <w:t xml:space="preserve">eu de stationnement </w:t>
      </w:r>
      <w:r w:rsidRPr="00B155E0">
        <w:rPr>
          <w:lang w:val="fr-FR"/>
        </w:rPr>
        <w:t>(</w:t>
      </w:r>
      <w:r w:rsidRPr="00B155E0">
        <w:rPr>
          <w:lang w:val="fr-FR" w:eastAsia="fr-FR"/>
        </w:rPr>
        <w:t>Règlement</w:t>
      </w:r>
      <w:r w:rsidRPr="00B155E0">
        <w:rPr>
          <w:b/>
          <w:lang w:val="fr-FR" w:eastAsia="fr-FR"/>
        </w:rPr>
        <w:t>s</w:t>
      </w:r>
      <w:r w:rsidR="003C2CF6">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77</w:t>
      </w:r>
      <w:r w:rsidRPr="00B155E0">
        <w:rPr>
          <w:b/>
          <w:lang w:val="fr-FR" w:eastAsia="fr-FR"/>
        </w:rPr>
        <w:t>,</w:t>
      </w:r>
      <w:r w:rsidRPr="00B155E0">
        <w:rPr>
          <w:lang w:val="fr-FR" w:eastAsia="fr-FR"/>
        </w:rPr>
        <w:t xml:space="preserve"> </w:t>
      </w:r>
      <w:r w:rsidRPr="00B155E0">
        <w:rPr>
          <w:strike/>
          <w:lang w:val="fr-FR" w:eastAsia="fr-FR"/>
        </w:rPr>
        <w:t>ou</w:t>
      </w:r>
      <w:r w:rsidRPr="00B155E0">
        <w:rPr>
          <w:lang w:val="fr-FR" w:eastAsia="fr-FR"/>
        </w:rPr>
        <w:t xml:space="preserve"> 7 </w:t>
      </w:r>
      <w:r w:rsidRPr="00B155E0">
        <w:rPr>
          <w:b/>
          <w:lang w:val="fr-FR"/>
        </w:rPr>
        <w:t>or [LSD]</w:t>
      </w:r>
      <w:r w:rsidRPr="00B155E0">
        <w:rPr>
          <w:lang w:val="fr-FR"/>
        </w:rPr>
        <w:t>)</w:t>
      </w:r>
      <w:r>
        <w:rPr>
          <w:lang w:val="fr-FR"/>
        </w:rPr>
        <w:t> »</w:t>
      </w:r>
      <w:r w:rsidR="003C2CF6">
        <w:rPr>
          <w:lang w:val="fr-FR"/>
        </w:rPr>
        <w:t>.</w:t>
      </w:r>
    </w:p>
    <w:p w:rsidR="00B32AD9" w:rsidRPr="00B155E0" w:rsidRDefault="00B32AD9" w:rsidP="00B32AD9">
      <w:pPr>
        <w:pStyle w:val="SingleTxtG"/>
        <w:rPr>
          <w:i/>
          <w:lang w:val="fr-FR"/>
        </w:rPr>
      </w:pPr>
      <w:r w:rsidRPr="00B155E0">
        <w:rPr>
          <w:i/>
          <w:lang w:val="fr-FR"/>
        </w:rPr>
        <w:t>Paragraphe 6.13</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6.13</w:t>
      </w:r>
      <w:r w:rsidRPr="00B155E0">
        <w:rPr>
          <w:lang w:val="fr-FR"/>
        </w:rPr>
        <w:tab/>
        <w:t>F</w:t>
      </w:r>
      <w:r w:rsidRPr="00B155E0">
        <w:rPr>
          <w:lang w:val="fr-FR" w:eastAsia="fr-FR"/>
        </w:rPr>
        <w:t>eu d</w:t>
      </w:r>
      <w:r>
        <w:rPr>
          <w:lang w:val="fr-FR" w:eastAsia="fr-FR"/>
        </w:rPr>
        <w:t>’</w:t>
      </w:r>
      <w:r w:rsidRPr="00B155E0">
        <w:rPr>
          <w:lang w:val="fr-FR" w:eastAsia="fr-FR"/>
        </w:rPr>
        <w:t>encombrement (feu de gabarit)</w:t>
      </w:r>
      <w:r w:rsidRPr="00B155E0">
        <w:rPr>
          <w:lang w:val="fr-FR"/>
        </w:rPr>
        <w:t xml:space="preserve"> (</w:t>
      </w:r>
      <w:bookmarkStart w:id="14" w:name="_Hlk491719230"/>
      <w:r w:rsidRPr="00B155E0">
        <w:rPr>
          <w:lang w:val="fr-FR" w:eastAsia="fr-FR"/>
        </w:rPr>
        <w:t>Règlement</w:t>
      </w:r>
      <w:r w:rsidRPr="00B155E0">
        <w:rPr>
          <w:b/>
          <w:lang w:val="fr-FR" w:eastAsia="fr-FR"/>
        </w:rPr>
        <w:t>s</w:t>
      </w:r>
      <w:r w:rsidR="003C2CF6">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7</w:t>
      </w:r>
      <w:r w:rsidRPr="00B155E0">
        <w:rPr>
          <w:lang w:val="fr-FR"/>
        </w:rPr>
        <w:t xml:space="preserve"> </w:t>
      </w:r>
      <w:r w:rsidRPr="00B155E0">
        <w:rPr>
          <w:b/>
          <w:lang w:val="fr-FR"/>
        </w:rPr>
        <w:t>ou [LSD]</w:t>
      </w:r>
      <w:bookmarkEnd w:id="14"/>
      <w:r w:rsidRPr="00B155E0">
        <w:rPr>
          <w:lang w:val="fr-FR"/>
        </w:rPr>
        <w:t>)</w:t>
      </w:r>
      <w:r>
        <w:rPr>
          <w:lang w:val="fr-FR"/>
        </w:rPr>
        <w:t> »</w:t>
      </w:r>
      <w:r w:rsidR="003C2CF6">
        <w:rPr>
          <w:lang w:val="fr-FR"/>
        </w:rPr>
        <w:t>.</w:t>
      </w:r>
    </w:p>
    <w:p w:rsidR="00B32AD9" w:rsidRPr="00B155E0" w:rsidRDefault="00B32AD9" w:rsidP="00B32AD9">
      <w:pPr>
        <w:pStyle w:val="SingleTxtG"/>
        <w:spacing w:after="100" w:line="220" w:lineRule="atLeast"/>
        <w:ind w:left="2268" w:hanging="1134"/>
        <w:rPr>
          <w:i/>
          <w:lang w:val="fr-FR"/>
        </w:rPr>
      </w:pPr>
      <w:r w:rsidRPr="00B155E0">
        <w:rPr>
          <w:i/>
          <w:lang w:val="fr-FR"/>
        </w:rPr>
        <w:t>Paragraphe 6.14</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6.14</w:t>
      </w:r>
      <w:r w:rsidRPr="00B155E0">
        <w:rPr>
          <w:lang w:val="fr-FR"/>
        </w:rPr>
        <w:tab/>
        <w:t>C</w:t>
      </w:r>
      <w:r w:rsidRPr="00B155E0">
        <w:rPr>
          <w:lang w:val="fr-FR" w:eastAsia="fr-FR"/>
        </w:rPr>
        <w:t xml:space="preserve">atadioptre arrière, non triangulaire </w:t>
      </w:r>
      <w:r w:rsidRPr="00B155E0">
        <w:rPr>
          <w:lang w:val="fr-FR"/>
        </w:rPr>
        <w:t>(</w:t>
      </w:r>
      <w:bookmarkStart w:id="15" w:name="_Hlk491719360"/>
      <w:r w:rsidRPr="00B155E0">
        <w:rPr>
          <w:lang w:val="fr-FR" w:eastAsia="fr-FR"/>
        </w:rPr>
        <w:t>Règlement</w:t>
      </w:r>
      <w:r w:rsidRPr="00B155E0">
        <w:rPr>
          <w:b/>
          <w:lang w:val="fr-FR" w:eastAsia="fr-FR"/>
        </w:rPr>
        <w:t>s</w:t>
      </w:r>
      <w:r w:rsidR="003C2CF6">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bookmarkEnd w:id="15"/>
      <w:r w:rsidRPr="00B155E0">
        <w:rPr>
          <w:lang w:val="fr-FR"/>
        </w:rPr>
        <w:t>)</w:t>
      </w:r>
      <w:r>
        <w:rPr>
          <w:lang w:val="fr-FR"/>
        </w:rPr>
        <w:t> »</w:t>
      </w:r>
      <w:r w:rsidR="003C2CF6">
        <w:rPr>
          <w:lang w:val="fr-FR"/>
        </w:rPr>
        <w:t>.</w:t>
      </w:r>
    </w:p>
    <w:p w:rsidR="00B32AD9" w:rsidRPr="00B155E0" w:rsidRDefault="00B32AD9" w:rsidP="00B32AD9">
      <w:pPr>
        <w:pStyle w:val="SingleTxtG"/>
        <w:rPr>
          <w:i/>
          <w:lang w:val="fr-FR"/>
        </w:rPr>
      </w:pPr>
      <w:r w:rsidRPr="00B155E0">
        <w:rPr>
          <w:i/>
          <w:lang w:val="fr-FR"/>
        </w:rPr>
        <w:t>Paragraphe 6.14.2</w:t>
      </w:r>
      <w:r w:rsidRPr="00B155E0">
        <w:rPr>
          <w:lang w:val="fr-FR"/>
        </w:rPr>
        <w:t>, modifier comme suit :</w:t>
      </w:r>
    </w:p>
    <w:p w:rsidR="00B32AD9" w:rsidRPr="00B155E0" w:rsidRDefault="00B32AD9" w:rsidP="00B32AD9">
      <w:pPr>
        <w:pStyle w:val="SingleTxtG"/>
        <w:spacing w:after="100" w:line="220" w:lineRule="atLeast"/>
        <w:ind w:left="2268" w:hanging="1134"/>
        <w:rPr>
          <w:lang w:val="fr-FR"/>
        </w:rPr>
      </w:pPr>
      <w:r>
        <w:rPr>
          <w:lang w:val="fr-FR"/>
        </w:rPr>
        <w:t>« </w:t>
      </w:r>
      <w:r w:rsidRPr="00B155E0">
        <w:rPr>
          <w:lang w:val="fr-FR"/>
        </w:rPr>
        <w:t>6.14.2</w:t>
      </w:r>
      <w:r w:rsidRPr="00B155E0">
        <w:rPr>
          <w:lang w:val="fr-FR"/>
        </w:rPr>
        <w:tab/>
        <w:t>Nombre</w:t>
      </w:r>
    </w:p>
    <w:p w:rsidR="00B32AD9" w:rsidRPr="00B155E0" w:rsidRDefault="00B32AD9" w:rsidP="00B32AD9">
      <w:pPr>
        <w:pStyle w:val="SingleTxtG"/>
        <w:ind w:left="2268"/>
        <w:rPr>
          <w:lang w:val="fr-FR"/>
        </w:rPr>
      </w:pPr>
      <w:r w:rsidRPr="00B155E0">
        <w:rPr>
          <w:lang w:val="fr-FR" w:eastAsia="fr-FR"/>
        </w:rPr>
        <w:t>Deux, dont les performances doivent être conformes aux prescriptions concernant les catadioptres de la classe IA ou IB, énoncées dans le</w:t>
      </w:r>
      <w:r w:rsidRPr="00B155E0">
        <w:rPr>
          <w:b/>
          <w:lang w:val="fr-FR" w:eastAsia="fr-FR"/>
        </w:rPr>
        <w:t>s</w:t>
      </w:r>
      <w:r w:rsidRPr="00B155E0">
        <w:rPr>
          <w:lang w:val="fr-FR" w:eastAsia="fr-FR"/>
        </w:rPr>
        <w:t xml:space="preserve"> Règlement</w:t>
      </w:r>
      <w:r w:rsidRPr="00B155E0">
        <w:rPr>
          <w:b/>
          <w:lang w:val="fr-FR" w:eastAsia="fr-FR"/>
        </w:rPr>
        <w:t>s</w:t>
      </w:r>
      <w:r w:rsidR="00EE5E54">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r w:rsidRPr="00B155E0">
        <w:rPr>
          <w:lang w:val="fr-FR" w:eastAsia="fr-FR"/>
        </w:rPr>
        <w:t>. Les dispositifs et matériaux réfléchissants supplémentaires (</w:t>
      </w:r>
      <w:r w:rsidR="00855E9B">
        <w:rPr>
          <w:lang w:val="fr-FR" w:eastAsia="fr-FR"/>
        </w:rPr>
        <w:t xml:space="preserve">y </w:t>
      </w:r>
      <w:r w:rsidRPr="00B155E0">
        <w:rPr>
          <w:lang w:val="fr-FR" w:eastAsia="fr-FR"/>
        </w:rPr>
        <w:t>compris deux catadioptres ne répondant pas au paragraphe</w:t>
      </w:r>
      <w:r w:rsidR="00EE5E54">
        <w:rPr>
          <w:lang w:val="fr-FR" w:eastAsia="fr-FR"/>
        </w:rPr>
        <w:t xml:space="preserve"> </w:t>
      </w:r>
      <w:r w:rsidRPr="00B155E0">
        <w:rPr>
          <w:lang w:val="fr-FR" w:eastAsia="fr-FR"/>
        </w:rPr>
        <w:t>6.14.4 ci</w:t>
      </w:r>
      <w:r w:rsidRPr="00B155E0">
        <w:rPr>
          <w:lang w:val="fr-FR" w:eastAsia="fr-FR"/>
        </w:rPr>
        <w:noBreakHyphen/>
        <w:t>dessous), sont autorisés à condition qu</w:t>
      </w:r>
      <w:r>
        <w:rPr>
          <w:lang w:val="fr-FR" w:eastAsia="fr-FR"/>
        </w:rPr>
        <w:t>’</w:t>
      </w:r>
      <w:r w:rsidRPr="00B155E0">
        <w:rPr>
          <w:lang w:val="fr-FR" w:eastAsia="fr-FR"/>
        </w:rPr>
        <w:t>ils ne nuisent pas à l</w:t>
      </w:r>
      <w:r>
        <w:rPr>
          <w:lang w:val="fr-FR" w:eastAsia="fr-FR"/>
        </w:rPr>
        <w:t>’</w:t>
      </w:r>
      <w:r w:rsidRPr="00B155E0">
        <w:rPr>
          <w:lang w:val="fr-FR" w:eastAsia="fr-FR"/>
        </w:rPr>
        <w:t>efficacité des dispositifs obligatoires d</w:t>
      </w:r>
      <w:r>
        <w:rPr>
          <w:lang w:val="fr-FR" w:eastAsia="fr-FR"/>
        </w:rPr>
        <w:t>’</w:t>
      </w:r>
      <w:r w:rsidRPr="00B155E0">
        <w:rPr>
          <w:lang w:val="fr-FR" w:eastAsia="fr-FR"/>
        </w:rPr>
        <w:t>éclairage et de signalisation lumineuse</w:t>
      </w:r>
      <w:r w:rsidRPr="00B155E0">
        <w:rPr>
          <w:lang w:val="fr-FR"/>
        </w:rPr>
        <w:t>.</w:t>
      </w:r>
      <w:r>
        <w:rPr>
          <w:rFonts w:eastAsia="MS Mincho"/>
          <w:lang w:val="fr-FR"/>
        </w:rPr>
        <w:t> ».</w:t>
      </w:r>
    </w:p>
    <w:p w:rsidR="00B32AD9" w:rsidRPr="00B155E0" w:rsidRDefault="00B32AD9" w:rsidP="00B32AD9">
      <w:pPr>
        <w:pStyle w:val="SingleTxtG"/>
        <w:spacing w:after="100" w:line="220" w:lineRule="atLeast"/>
        <w:ind w:left="2268" w:hanging="1134"/>
        <w:rPr>
          <w:i/>
          <w:lang w:val="fr-FR"/>
        </w:rPr>
      </w:pPr>
      <w:r w:rsidRPr="00B155E0">
        <w:rPr>
          <w:i/>
          <w:lang w:val="fr-FR"/>
        </w:rPr>
        <w:t>Paragraphe 6.15</w:t>
      </w:r>
      <w:r w:rsidRPr="00B155E0">
        <w:rPr>
          <w:lang w:val="fr-FR"/>
        </w:rPr>
        <w:t>, modifier comme suit :</w:t>
      </w:r>
    </w:p>
    <w:p w:rsidR="00B32AD9" w:rsidRPr="00B155E0" w:rsidRDefault="00B32AD9" w:rsidP="00B32AD9">
      <w:pPr>
        <w:pStyle w:val="SingleTxtG"/>
        <w:spacing w:after="100" w:line="220" w:lineRule="atLeast"/>
        <w:ind w:left="2268" w:hanging="1134"/>
        <w:rPr>
          <w:lang w:val="fr-FR"/>
        </w:rPr>
      </w:pPr>
      <w:r>
        <w:rPr>
          <w:lang w:val="fr-FR"/>
        </w:rPr>
        <w:t>« </w:t>
      </w:r>
      <w:r w:rsidRPr="00B155E0">
        <w:rPr>
          <w:lang w:val="fr-FR"/>
        </w:rPr>
        <w:t>6.15</w:t>
      </w:r>
      <w:r w:rsidRPr="00B155E0">
        <w:rPr>
          <w:lang w:val="fr-FR"/>
        </w:rPr>
        <w:tab/>
        <w:t>Catadioptre arrière, triangulaire (</w:t>
      </w:r>
      <w:bookmarkStart w:id="16" w:name="_Hlk491719502"/>
      <w:r w:rsidRPr="00B155E0">
        <w:rPr>
          <w:lang w:val="fr-FR" w:eastAsia="fr-FR"/>
        </w:rPr>
        <w:t>Règlement</w:t>
      </w:r>
      <w:r w:rsidRPr="00B155E0">
        <w:rPr>
          <w:b/>
          <w:lang w:val="fr-FR" w:eastAsia="fr-FR"/>
        </w:rPr>
        <w:t>s</w:t>
      </w:r>
      <w:r w:rsidR="00EE5E54">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bookmarkEnd w:id="16"/>
      <w:r w:rsidRPr="00B155E0">
        <w:rPr>
          <w:lang w:val="fr-FR"/>
        </w:rPr>
        <w:t>)</w:t>
      </w:r>
      <w:r>
        <w:rPr>
          <w:lang w:val="fr-FR"/>
        </w:rPr>
        <w:t> »</w:t>
      </w:r>
      <w:r w:rsidR="00EE5E54">
        <w:rPr>
          <w:lang w:val="fr-FR"/>
        </w:rPr>
        <w:t>.</w:t>
      </w:r>
    </w:p>
    <w:p w:rsidR="00B32AD9" w:rsidRPr="00B155E0" w:rsidRDefault="00B32AD9" w:rsidP="00B32AD9">
      <w:pPr>
        <w:pStyle w:val="SingleTxtG"/>
        <w:rPr>
          <w:i/>
          <w:lang w:val="fr-FR"/>
        </w:rPr>
      </w:pPr>
      <w:r w:rsidRPr="00B155E0">
        <w:rPr>
          <w:i/>
          <w:lang w:val="fr-FR"/>
        </w:rPr>
        <w:t>Paragraphe 6.15.2</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6.15.2</w:t>
      </w:r>
      <w:r w:rsidRPr="00B155E0">
        <w:rPr>
          <w:lang w:val="fr-FR"/>
        </w:rPr>
        <w:tab/>
        <w:t>Nombre</w:t>
      </w:r>
    </w:p>
    <w:p w:rsidR="00B32AD9" w:rsidRPr="00B155E0" w:rsidRDefault="00B32AD9" w:rsidP="00B32AD9">
      <w:pPr>
        <w:pStyle w:val="SingleTxtG"/>
        <w:ind w:left="2268"/>
        <w:rPr>
          <w:lang w:val="fr-FR"/>
        </w:rPr>
      </w:pPr>
      <w:r w:rsidRPr="00B155E0">
        <w:rPr>
          <w:lang w:val="fr-FR" w:eastAsia="fr-FR"/>
        </w:rPr>
        <w:t>Deux, dont les performances doivent être conformes aux prescriptions concernant les catadioptres de la classe IIIA ou</w:t>
      </w:r>
      <w:r>
        <w:rPr>
          <w:lang w:val="fr-FR" w:eastAsia="fr-FR"/>
        </w:rPr>
        <w:t> </w:t>
      </w:r>
      <w:r w:rsidRPr="00B155E0">
        <w:rPr>
          <w:lang w:val="fr-FR" w:eastAsia="fr-FR"/>
        </w:rPr>
        <w:t>IIIB, énoncées dans le</w:t>
      </w:r>
      <w:r w:rsidRPr="00B155E0">
        <w:rPr>
          <w:b/>
          <w:lang w:val="fr-FR" w:eastAsia="fr-FR"/>
        </w:rPr>
        <w:t>s</w:t>
      </w:r>
      <w:r w:rsidRPr="00B155E0">
        <w:rPr>
          <w:lang w:val="fr-FR" w:eastAsia="fr-FR"/>
        </w:rPr>
        <w:t xml:space="preserve"> </w:t>
      </w:r>
      <w:bookmarkStart w:id="17" w:name="_Hlk491719593"/>
      <w:r w:rsidRPr="00B155E0">
        <w:rPr>
          <w:lang w:val="fr-FR" w:eastAsia="fr-FR"/>
        </w:rPr>
        <w:t>Règlement</w:t>
      </w:r>
      <w:r w:rsidRPr="00B155E0">
        <w:rPr>
          <w:b/>
          <w:lang w:val="fr-FR" w:eastAsia="fr-FR"/>
        </w:rPr>
        <w:t>s</w:t>
      </w:r>
      <w:r w:rsidR="00EE5E54">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bookmarkEnd w:id="17"/>
      <w:r w:rsidRPr="00B155E0">
        <w:rPr>
          <w:lang w:val="fr-FR" w:eastAsia="fr-FR"/>
        </w:rPr>
        <w:t>. Les dispositifs et matériaux réfléchissants supplémentaires (</w:t>
      </w:r>
      <w:r w:rsidR="00855E9B">
        <w:rPr>
          <w:lang w:val="fr-FR" w:eastAsia="fr-FR"/>
        </w:rPr>
        <w:t xml:space="preserve">y </w:t>
      </w:r>
      <w:r w:rsidRPr="00B155E0">
        <w:rPr>
          <w:lang w:val="fr-FR" w:eastAsia="fr-FR"/>
        </w:rPr>
        <w:t>compris deux catadioptres ne répondant pas au paragraphe</w:t>
      </w:r>
      <w:r w:rsidR="00EE5E54">
        <w:rPr>
          <w:lang w:val="fr-FR" w:eastAsia="fr-FR"/>
        </w:rPr>
        <w:t xml:space="preserve"> </w:t>
      </w:r>
      <w:r w:rsidRPr="00B155E0">
        <w:rPr>
          <w:lang w:val="fr-FR" w:eastAsia="fr-FR"/>
        </w:rPr>
        <w:t>6.15.4 ci</w:t>
      </w:r>
      <w:r w:rsidRPr="00B155E0">
        <w:rPr>
          <w:lang w:val="fr-FR" w:eastAsia="fr-FR"/>
        </w:rPr>
        <w:noBreakHyphen/>
        <w:t>dessous), sont autorisés à condition qu</w:t>
      </w:r>
      <w:r>
        <w:rPr>
          <w:lang w:val="fr-FR" w:eastAsia="fr-FR"/>
        </w:rPr>
        <w:t>’</w:t>
      </w:r>
      <w:r w:rsidRPr="00B155E0">
        <w:rPr>
          <w:lang w:val="fr-FR" w:eastAsia="fr-FR"/>
        </w:rPr>
        <w:t>ils ne nuisent pas à l</w:t>
      </w:r>
      <w:r>
        <w:rPr>
          <w:lang w:val="fr-FR" w:eastAsia="fr-FR"/>
        </w:rPr>
        <w:t>’</w:t>
      </w:r>
      <w:r w:rsidRPr="00B155E0">
        <w:rPr>
          <w:lang w:val="fr-FR" w:eastAsia="fr-FR"/>
        </w:rPr>
        <w:t>efficacité des dispositifs obligatoires d</w:t>
      </w:r>
      <w:r>
        <w:rPr>
          <w:lang w:val="fr-FR" w:eastAsia="fr-FR"/>
        </w:rPr>
        <w:t>’</w:t>
      </w:r>
      <w:r w:rsidRPr="00B155E0">
        <w:rPr>
          <w:lang w:val="fr-FR" w:eastAsia="fr-FR"/>
        </w:rPr>
        <w:t>éclairage et de signalisation lumineuse</w:t>
      </w:r>
      <w:r w:rsidRPr="00B155E0">
        <w:rPr>
          <w:lang w:val="fr-FR"/>
        </w:rPr>
        <w:t>.</w:t>
      </w:r>
      <w:r>
        <w:rPr>
          <w:lang w:val="fr-FR"/>
        </w:rPr>
        <w:t> ».</w:t>
      </w:r>
    </w:p>
    <w:p w:rsidR="00B32AD9" w:rsidRPr="00B155E0" w:rsidRDefault="00B32AD9" w:rsidP="00B32AD9">
      <w:pPr>
        <w:pStyle w:val="SingleTxtG"/>
        <w:rPr>
          <w:i/>
          <w:lang w:val="fr-FR"/>
        </w:rPr>
      </w:pPr>
      <w:r w:rsidRPr="00B155E0">
        <w:rPr>
          <w:i/>
          <w:lang w:val="fr-FR"/>
        </w:rPr>
        <w:t>Paragraphe 6.16</w:t>
      </w:r>
      <w:r w:rsidRPr="00B155E0">
        <w:rPr>
          <w:lang w:val="fr-FR"/>
        </w:rPr>
        <w:t>, modifier comme suit :</w:t>
      </w:r>
    </w:p>
    <w:p w:rsidR="00B32AD9" w:rsidRPr="00B155E0" w:rsidRDefault="00B32AD9" w:rsidP="00B32AD9">
      <w:pPr>
        <w:pStyle w:val="SingleTxtG"/>
        <w:spacing w:after="100" w:line="220" w:lineRule="atLeast"/>
        <w:ind w:left="2268" w:hanging="1134"/>
        <w:rPr>
          <w:lang w:val="fr-FR"/>
        </w:rPr>
      </w:pPr>
      <w:r>
        <w:rPr>
          <w:lang w:val="fr-FR"/>
        </w:rPr>
        <w:t>« </w:t>
      </w:r>
      <w:r w:rsidRPr="00B155E0">
        <w:rPr>
          <w:lang w:val="fr-FR"/>
        </w:rPr>
        <w:t>6.16</w:t>
      </w:r>
      <w:r w:rsidRPr="00B155E0">
        <w:rPr>
          <w:lang w:val="fr-FR"/>
        </w:rPr>
        <w:tab/>
        <w:t>Catadioptre avant, non triangulaires (</w:t>
      </w:r>
      <w:bookmarkStart w:id="18" w:name="_Hlk491719671"/>
      <w:r w:rsidRPr="00B155E0">
        <w:rPr>
          <w:lang w:val="fr-FR" w:eastAsia="fr-FR"/>
        </w:rPr>
        <w:t>Règlement</w:t>
      </w:r>
      <w:r w:rsidRPr="00B155E0">
        <w:rPr>
          <w:b/>
          <w:lang w:val="fr-FR" w:eastAsia="fr-FR"/>
        </w:rPr>
        <w:t>s</w:t>
      </w:r>
      <w:r w:rsidR="00EE5E54">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bookmarkEnd w:id="18"/>
      <w:r w:rsidRPr="00B155E0">
        <w:rPr>
          <w:lang w:val="fr-FR"/>
        </w:rPr>
        <w:t>)</w:t>
      </w:r>
      <w:r>
        <w:rPr>
          <w:lang w:val="fr-FR"/>
        </w:rPr>
        <w:t> »</w:t>
      </w:r>
      <w:r w:rsidR="00EE5E54">
        <w:rPr>
          <w:lang w:val="fr-FR"/>
        </w:rPr>
        <w:t>.</w:t>
      </w:r>
    </w:p>
    <w:p w:rsidR="00B32AD9" w:rsidRPr="00B155E0" w:rsidRDefault="00B32AD9" w:rsidP="00B32AD9">
      <w:pPr>
        <w:pStyle w:val="SingleTxtG"/>
        <w:rPr>
          <w:i/>
          <w:lang w:val="fr-FR"/>
        </w:rPr>
      </w:pPr>
      <w:r w:rsidRPr="00B155E0">
        <w:rPr>
          <w:i/>
          <w:lang w:val="fr-FR"/>
        </w:rPr>
        <w:t>Paragraphe 6.16.2</w:t>
      </w:r>
      <w:r w:rsidRPr="00B155E0">
        <w:rPr>
          <w:lang w:val="fr-FR"/>
        </w:rPr>
        <w:t>, modifier comme suit :</w:t>
      </w:r>
    </w:p>
    <w:p w:rsidR="00B32AD9" w:rsidRPr="00B155E0" w:rsidRDefault="00B32AD9" w:rsidP="00B32AD9">
      <w:pPr>
        <w:pStyle w:val="SingleTxtG"/>
        <w:spacing w:after="100" w:line="220" w:lineRule="atLeast"/>
        <w:ind w:left="2268" w:hanging="1134"/>
        <w:rPr>
          <w:lang w:val="fr-FR"/>
        </w:rPr>
      </w:pPr>
      <w:r>
        <w:rPr>
          <w:lang w:val="fr-FR"/>
        </w:rPr>
        <w:t>« </w:t>
      </w:r>
      <w:r w:rsidRPr="00B155E0">
        <w:rPr>
          <w:lang w:val="fr-FR"/>
        </w:rPr>
        <w:t>6.16.2</w:t>
      </w:r>
      <w:r w:rsidRPr="00B155E0">
        <w:rPr>
          <w:lang w:val="fr-FR"/>
        </w:rPr>
        <w:tab/>
        <w:t>Nombre</w:t>
      </w:r>
    </w:p>
    <w:p w:rsidR="00B32AD9" w:rsidRPr="00B155E0" w:rsidRDefault="00B32AD9" w:rsidP="00B32AD9">
      <w:pPr>
        <w:pStyle w:val="SingleTxtG"/>
        <w:ind w:left="2268"/>
        <w:rPr>
          <w:lang w:val="fr-FR"/>
        </w:rPr>
      </w:pPr>
      <w:r w:rsidRPr="00B155E0">
        <w:rPr>
          <w:lang w:val="fr-FR" w:eastAsia="fr-FR"/>
        </w:rPr>
        <w:t>Deux, dont les performances doivent être conformes aux prescriptions concernant les catadioptres de la classe</w:t>
      </w:r>
      <w:r w:rsidR="00EE5E54">
        <w:rPr>
          <w:lang w:val="fr-FR" w:eastAsia="fr-FR"/>
        </w:rPr>
        <w:t xml:space="preserve"> </w:t>
      </w:r>
      <w:r w:rsidRPr="00B155E0">
        <w:rPr>
          <w:lang w:val="fr-FR" w:eastAsia="fr-FR"/>
        </w:rPr>
        <w:t>IA ou</w:t>
      </w:r>
      <w:r w:rsidR="00EE5E54">
        <w:rPr>
          <w:lang w:val="fr-FR" w:eastAsia="fr-FR"/>
        </w:rPr>
        <w:t xml:space="preserve"> </w:t>
      </w:r>
      <w:r w:rsidRPr="00B155E0">
        <w:rPr>
          <w:lang w:val="fr-FR" w:eastAsia="fr-FR"/>
        </w:rPr>
        <w:t xml:space="preserve">IB, énoncées dans </w:t>
      </w:r>
      <w:bookmarkStart w:id="19" w:name="_Hlk491719822"/>
      <w:r w:rsidRPr="00B155E0">
        <w:rPr>
          <w:lang w:val="fr-FR" w:eastAsia="fr-FR"/>
        </w:rPr>
        <w:t>le</w:t>
      </w:r>
      <w:r w:rsidRPr="00B155E0">
        <w:rPr>
          <w:b/>
          <w:lang w:val="fr-FR" w:eastAsia="fr-FR"/>
        </w:rPr>
        <w:t>s</w:t>
      </w:r>
      <w:r w:rsidRPr="00B155E0">
        <w:rPr>
          <w:lang w:val="fr-FR" w:eastAsia="fr-FR"/>
        </w:rPr>
        <w:t xml:space="preserve"> Règlement</w:t>
      </w:r>
      <w:r w:rsidRPr="00B155E0">
        <w:rPr>
          <w:b/>
          <w:lang w:val="fr-FR" w:eastAsia="fr-FR"/>
        </w:rPr>
        <w:t>s</w:t>
      </w:r>
      <w:r w:rsidR="00EE5E54">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bookmarkEnd w:id="19"/>
      <w:r w:rsidRPr="00B155E0">
        <w:rPr>
          <w:lang w:val="fr-FR" w:eastAsia="fr-FR"/>
        </w:rPr>
        <w:t>. Les dispositifs et matériaux réfléchissants supplémentaires (</w:t>
      </w:r>
      <w:r w:rsidR="00855E9B">
        <w:rPr>
          <w:lang w:val="fr-FR" w:eastAsia="fr-FR"/>
        </w:rPr>
        <w:t xml:space="preserve">y </w:t>
      </w:r>
      <w:r w:rsidRPr="00B155E0">
        <w:rPr>
          <w:lang w:val="fr-FR" w:eastAsia="fr-FR"/>
        </w:rPr>
        <w:t>compris deux catadioptres ne répondant pas au paragraphe</w:t>
      </w:r>
      <w:r w:rsidR="00EE5E54">
        <w:rPr>
          <w:lang w:val="fr-FR" w:eastAsia="fr-FR"/>
        </w:rPr>
        <w:t xml:space="preserve"> </w:t>
      </w:r>
      <w:r w:rsidRPr="00B155E0">
        <w:rPr>
          <w:lang w:val="fr-FR" w:eastAsia="fr-FR"/>
        </w:rPr>
        <w:t>6.16.4 ci</w:t>
      </w:r>
      <w:r w:rsidRPr="00B155E0">
        <w:rPr>
          <w:lang w:val="fr-FR" w:eastAsia="fr-FR"/>
        </w:rPr>
        <w:noBreakHyphen/>
        <w:t>dessous), sont autorisés à condition qu</w:t>
      </w:r>
      <w:r>
        <w:rPr>
          <w:lang w:val="fr-FR" w:eastAsia="fr-FR"/>
        </w:rPr>
        <w:t>’</w:t>
      </w:r>
      <w:r w:rsidRPr="00B155E0">
        <w:rPr>
          <w:lang w:val="fr-FR" w:eastAsia="fr-FR"/>
        </w:rPr>
        <w:t>ils ne nuisent pas à l</w:t>
      </w:r>
      <w:r>
        <w:rPr>
          <w:lang w:val="fr-FR" w:eastAsia="fr-FR"/>
        </w:rPr>
        <w:t>’</w:t>
      </w:r>
      <w:r w:rsidRPr="00B155E0">
        <w:rPr>
          <w:lang w:val="fr-FR" w:eastAsia="fr-FR"/>
        </w:rPr>
        <w:t>efficacité des dispositifs obligatoires d</w:t>
      </w:r>
      <w:r>
        <w:rPr>
          <w:lang w:val="fr-FR" w:eastAsia="fr-FR"/>
        </w:rPr>
        <w:t>’</w:t>
      </w:r>
      <w:r w:rsidRPr="00B155E0">
        <w:rPr>
          <w:lang w:val="fr-FR" w:eastAsia="fr-FR"/>
        </w:rPr>
        <w:t>éclairage et de signalisation lumineuse</w:t>
      </w:r>
      <w:r w:rsidRPr="00B155E0">
        <w:rPr>
          <w:lang w:val="fr-FR"/>
        </w:rPr>
        <w:t>.</w:t>
      </w:r>
      <w:r>
        <w:rPr>
          <w:rFonts w:eastAsia="MS Mincho"/>
          <w:lang w:val="fr-FR"/>
        </w:rPr>
        <w:t> ».</w:t>
      </w:r>
    </w:p>
    <w:p w:rsidR="00B32AD9" w:rsidRPr="00B155E0" w:rsidRDefault="00B32AD9" w:rsidP="00B32AD9">
      <w:pPr>
        <w:pStyle w:val="SingleTxtG"/>
        <w:spacing w:after="100" w:line="220" w:lineRule="atLeast"/>
        <w:ind w:left="2268" w:hanging="1134"/>
        <w:rPr>
          <w:i/>
          <w:lang w:val="fr-FR"/>
        </w:rPr>
      </w:pPr>
      <w:r w:rsidRPr="00B155E0">
        <w:rPr>
          <w:i/>
          <w:lang w:val="fr-FR"/>
        </w:rPr>
        <w:t>Paragraphe 6.17</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6.17</w:t>
      </w:r>
      <w:r w:rsidRPr="00B155E0">
        <w:rPr>
          <w:lang w:val="fr-FR"/>
        </w:rPr>
        <w:tab/>
      </w:r>
      <w:r w:rsidRPr="00B155E0">
        <w:rPr>
          <w:lang w:val="fr-FR" w:eastAsia="fr-FR"/>
        </w:rPr>
        <w:t xml:space="preserve">Catadioptre latéral, non triangulaire </w:t>
      </w:r>
      <w:r w:rsidRPr="00B155E0">
        <w:rPr>
          <w:lang w:val="fr-FR"/>
        </w:rPr>
        <w:t>(</w:t>
      </w:r>
      <w:bookmarkStart w:id="20" w:name="_Hlk491719900"/>
      <w:r w:rsidRPr="00B155E0">
        <w:rPr>
          <w:lang w:val="fr-FR" w:eastAsia="fr-FR"/>
        </w:rPr>
        <w:t>Règlement</w:t>
      </w:r>
      <w:r w:rsidRPr="00B155E0">
        <w:rPr>
          <w:b/>
          <w:lang w:val="fr-FR" w:eastAsia="fr-FR"/>
        </w:rPr>
        <w:t>s</w:t>
      </w:r>
      <w:r>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bookmarkEnd w:id="20"/>
      <w:r w:rsidRPr="00B155E0">
        <w:rPr>
          <w:lang w:val="fr-FR"/>
        </w:rPr>
        <w:t>)</w:t>
      </w:r>
      <w:r>
        <w:rPr>
          <w:lang w:val="fr-FR"/>
        </w:rPr>
        <w:t> »</w:t>
      </w:r>
      <w:r w:rsidR="00EE5E54">
        <w:rPr>
          <w:lang w:val="fr-FR"/>
        </w:rPr>
        <w:t>.</w:t>
      </w:r>
    </w:p>
    <w:p w:rsidR="00B32AD9" w:rsidRPr="00B155E0" w:rsidRDefault="00B32AD9" w:rsidP="00B32AD9">
      <w:pPr>
        <w:pStyle w:val="SingleTxtG"/>
        <w:rPr>
          <w:i/>
          <w:lang w:val="fr-FR"/>
        </w:rPr>
      </w:pPr>
      <w:r w:rsidRPr="00B155E0">
        <w:rPr>
          <w:i/>
          <w:lang w:val="fr-FR"/>
        </w:rPr>
        <w:t>Paragraphe 6.17.2</w:t>
      </w:r>
      <w:r w:rsidRPr="00B155E0">
        <w:rPr>
          <w:lang w:val="fr-FR"/>
        </w:rPr>
        <w:t>, modifier comme suit :</w:t>
      </w:r>
    </w:p>
    <w:p w:rsidR="00B32AD9" w:rsidRPr="00B155E0" w:rsidRDefault="00B32AD9" w:rsidP="00B32AD9">
      <w:pPr>
        <w:pStyle w:val="SingleTxtG"/>
        <w:spacing w:after="100" w:line="220" w:lineRule="atLeast"/>
        <w:ind w:left="2268" w:hanging="1134"/>
        <w:rPr>
          <w:lang w:val="fr-FR"/>
        </w:rPr>
      </w:pPr>
      <w:r>
        <w:rPr>
          <w:lang w:val="fr-FR"/>
        </w:rPr>
        <w:t>« </w:t>
      </w:r>
      <w:r w:rsidRPr="00B155E0">
        <w:rPr>
          <w:lang w:val="fr-FR"/>
        </w:rPr>
        <w:t>6.17.2</w:t>
      </w:r>
      <w:r w:rsidRPr="00B155E0">
        <w:rPr>
          <w:lang w:val="fr-FR"/>
        </w:rPr>
        <w:tab/>
        <w:t>Nombre</w:t>
      </w:r>
    </w:p>
    <w:p w:rsidR="00B32AD9" w:rsidRPr="00B155E0" w:rsidRDefault="00B32AD9" w:rsidP="00B32AD9">
      <w:pPr>
        <w:pStyle w:val="SingleTxtG"/>
        <w:ind w:left="2268"/>
        <w:rPr>
          <w:lang w:val="fr-FR"/>
        </w:rPr>
      </w:pPr>
      <w:r w:rsidRPr="00B155E0">
        <w:rPr>
          <w:lang w:val="fr-FR" w:eastAsia="fr-FR"/>
        </w:rPr>
        <w:t>Tel que les prescriptions relatives à l</w:t>
      </w:r>
      <w:r>
        <w:rPr>
          <w:lang w:val="fr-FR" w:eastAsia="fr-FR"/>
        </w:rPr>
        <w:t>’</w:t>
      </w:r>
      <w:r w:rsidRPr="00B155E0">
        <w:rPr>
          <w:lang w:val="fr-FR" w:eastAsia="fr-FR"/>
        </w:rPr>
        <w:t>emplacement en longueur soient respectées. Les performances de ces dispositifs doivent être conformes aux prescriptions concernant les catadioptres de la classe IA ou IB, énoncées dans le</w:t>
      </w:r>
      <w:r w:rsidRPr="00B155E0">
        <w:rPr>
          <w:b/>
          <w:lang w:val="fr-FR" w:eastAsia="fr-FR"/>
        </w:rPr>
        <w:t>s</w:t>
      </w:r>
      <w:r w:rsidRPr="00B155E0">
        <w:rPr>
          <w:lang w:val="fr-FR" w:eastAsia="fr-FR"/>
        </w:rPr>
        <w:t xml:space="preserve"> Règlement</w:t>
      </w:r>
      <w:r w:rsidRPr="00B155E0">
        <w:rPr>
          <w:b/>
          <w:lang w:val="fr-FR" w:eastAsia="fr-FR"/>
        </w:rPr>
        <w:t>s</w:t>
      </w:r>
      <w:r w:rsidR="00EE5E54">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r w:rsidRPr="00B155E0">
        <w:rPr>
          <w:lang w:val="fr-FR" w:eastAsia="fr-FR"/>
        </w:rPr>
        <w:t>. Les dispositifs et matériaux réfléchissants supplémentaires (</w:t>
      </w:r>
      <w:r w:rsidR="00855E9B">
        <w:rPr>
          <w:lang w:val="fr-FR" w:eastAsia="fr-FR"/>
        </w:rPr>
        <w:t xml:space="preserve">y </w:t>
      </w:r>
      <w:r w:rsidRPr="00B155E0">
        <w:rPr>
          <w:lang w:val="fr-FR" w:eastAsia="fr-FR"/>
        </w:rPr>
        <w:t>compris deux catadioptres ne rép</w:t>
      </w:r>
      <w:r>
        <w:rPr>
          <w:lang w:val="fr-FR" w:eastAsia="fr-FR"/>
        </w:rPr>
        <w:t>ondant pas au paragraphe</w:t>
      </w:r>
      <w:r w:rsidR="00EE5E54">
        <w:rPr>
          <w:lang w:val="fr-FR" w:eastAsia="fr-FR"/>
        </w:rPr>
        <w:t xml:space="preserve"> </w:t>
      </w:r>
      <w:r>
        <w:rPr>
          <w:lang w:val="fr-FR" w:eastAsia="fr-FR"/>
        </w:rPr>
        <w:t>6.17.4</w:t>
      </w:r>
      <w:r w:rsidRPr="00B155E0">
        <w:rPr>
          <w:lang w:val="fr-FR" w:eastAsia="fr-FR"/>
        </w:rPr>
        <w:t xml:space="preserve"> ci</w:t>
      </w:r>
      <w:r w:rsidRPr="00B155E0">
        <w:rPr>
          <w:lang w:val="fr-FR" w:eastAsia="fr-FR"/>
        </w:rPr>
        <w:noBreakHyphen/>
        <w:t>dessous), sont autorisés à condition qu</w:t>
      </w:r>
      <w:r>
        <w:rPr>
          <w:lang w:val="fr-FR" w:eastAsia="fr-FR"/>
        </w:rPr>
        <w:t>’</w:t>
      </w:r>
      <w:r w:rsidRPr="00B155E0">
        <w:rPr>
          <w:lang w:val="fr-FR" w:eastAsia="fr-FR"/>
        </w:rPr>
        <w:t>ils ne nuisent pas à l</w:t>
      </w:r>
      <w:r>
        <w:rPr>
          <w:lang w:val="fr-FR" w:eastAsia="fr-FR"/>
        </w:rPr>
        <w:t>’</w:t>
      </w:r>
      <w:r w:rsidRPr="00B155E0">
        <w:rPr>
          <w:lang w:val="fr-FR" w:eastAsia="fr-FR"/>
        </w:rPr>
        <w:t>efficacité des dispositifs obligatoires d</w:t>
      </w:r>
      <w:r>
        <w:rPr>
          <w:lang w:val="fr-FR" w:eastAsia="fr-FR"/>
        </w:rPr>
        <w:t>’</w:t>
      </w:r>
      <w:r w:rsidRPr="00B155E0">
        <w:rPr>
          <w:lang w:val="fr-FR" w:eastAsia="fr-FR"/>
        </w:rPr>
        <w:t>éclairage et de signalisation lumineuse</w:t>
      </w:r>
      <w:r w:rsidRPr="00B155E0">
        <w:rPr>
          <w:lang w:val="fr-FR"/>
        </w:rPr>
        <w:t>.</w:t>
      </w:r>
      <w:r>
        <w:rPr>
          <w:rFonts w:eastAsia="MS Mincho"/>
          <w:lang w:val="fr-FR"/>
        </w:rPr>
        <w:t> ».</w:t>
      </w:r>
    </w:p>
    <w:p w:rsidR="00B32AD9" w:rsidRPr="00B155E0" w:rsidRDefault="00B32AD9" w:rsidP="00B32AD9">
      <w:pPr>
        <w:pStyle w:val="SingleTxtG"/>
        <w:rPr>
          <w:i/>
          <w:lang w:val="fr-FR"/>
        </w:rPr>
      </w:pPr>
      <w:r w:rsidRPr="00B155E0">
        <w:rPr>
          <w:i/>
          <w:lang w:val="fr-FR"/>
        </w:rPr>
        <w:lastRenderedPageBreak/>
        <w:t>Paragraphe 6.18</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6.18</w:t>
      </w:r>
      <w:r w:rsidRPr="00B155E0">
        <w:rPr>
          <w:lang w:val="fr-FR"/>
        </w:rPr>
        <w:tab/>
        <w:t>F</w:t>
      </w:r>
      <w:r w:rsidRPr="00B155E0">
        <w:rPr>
          <w:lang w:val="fr-FR" w:eastAsia="fr-FR"/>
        </w:rPr>
        <w:t xml:space="preserve">eux de position latéraux </w:t>
      </w:r>
      <w:r w:rsidRPr="00B155E0">
        <w:rPr>
          <w:lang w:val="fr-FR"/>
        </w:rPr>
        <w:t>(</w:t>
      </w:r>
      <w:bookmarkStart w:id="21" w:name="_Hlk491719938"/>
      <w:r w:rsidRPr="00B155E0">
        <w:rPr>
          <w:lang w:val="fr-FR" w:eastAsia="fr-FR"/>
        </w:rPr>
        <w:t>Règlement</w:t>
      </w:r>
      <w:r w:rsidRPr="00B155E0">
        <w:rPr>
          <w:b/>
          <w:lang w:val="fr-FR" w:eastAsia="fr-FR"/>
        </w:rPr>
        <w:t>s</w:t>
      </w:r>
      <w:r>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91</w:t>
      </w:r>
      <w:r w:rsidRPr="00B155E0">
        <w:rPr>
          <w:lang w:val="fr-FR"/>
        </w:rPr>
        <w:t xml:space="preserve"> </w:t>
      </w:r>
      <w:r w:rsidRPr="00B155E0">
        <w:rPr>
          <w:b/>
          <w:lang w:val="fr-FR"/>
        </w:rPr>
        <w:t>ou [LSD]</w:t>
      </w:r>
      <w:bookmarkEnd w:id="21"/>
      <w:r w:rsidRPr="00B155E0">
        <w:rPr>
          <w:lang w:val="fr-FR"/>
        </w:rPr>
        <w:t>)</w:t>
      </w:r>
      <w:r>
        <w:rPr>
          <w:lang w:val="fr-FR"/>
        </w:rPr>
        <w:t> »</w:t>
      </w:r>
      <w:r w:rsidR="00EE5E54">
        <w:rPr>
          <w:lang w:val="fr-FR"/>
        </w:rPr>
        <w:t>.</w:t>
      </w:r>
    </w:p>
    <w:p w:rsidR="00B32AD9" w:rsidRPr="00B155E0" w:rsidRDefault="00B32AD9" w:rsidP="00B32AD9">
      <w:pPr>
        <w:pStyle w:val="SingleTxtG"/>
        <w:rPr>
          <w:i/>
          <w:lang w:val="fr-FR"/>
        </w:rPr>
      </w:pPr>
      <w:r w:rsidRPr="00B155E0">
        <w:rPr>
          <w:i/>
          <w:lang w:val="fr-FR"/>
        </w:rPr>
        <w:t>Paragraphe 6.19</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6.19</w:t>
      </w:r>
      <w:r w:rsidRPr="00B155E0">
        <w:rPr>
          <w:lang w:val="fr-FR"/>
        </w:rPr>
        <w:tab/>
        <w:t>F</w:t>
      </w:r>
      <w:r w:rsidRPr="00B155E0">
        <w:rPr>
          <w:lang w:val="fr-FR" w:eastAsia="fr-FR"/>
        </w:rPr>
        <w:t xml:space="preserve">eu de circulation diurne </w:t>
      </w:r>
      <w:r w:rsidRPr="00B155E0">
        <w:rPr>
          <w:lang w:val="fr-FR"/>
        </w:rPr>
        <w:t>(</w:t>
      </w:r>
      <w:bookmarkStart w:id="22" w:name="_Hlk491720051"/>
      <w:r w:rsidRPr="00B155E0">
        <w:rPr>
          <w:lang w:val="fr-FR" w:eastAsia="fr-FR"/>
        </w:rPr>
        <w:t>Règlement</w:t>
      </w:r>
      <w:r w:rsidRPr="00B155E0">
        <w:rPr>
          <w:b/>
          <w:lang w:val="fr-FR" w:eastAsia="fr-FR"/>
        </w:rPr>
        <w:t>s</w:t>
      </w:r>
      <w:r>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87</w:t>
      </w:r>
      <w:r w:rsidRPr="00B155E0">
        <w:rPr>
          <w:lang w:val="fr-FR"/>
        </w:rPr>
        <w:t xml:space="preserve"> </w:t>
      </w:r>
      <w:r w:rsidRPr="00B155E0">
        <w:rPr>
          <w:b/>
          <w:lang w:val="fr-FR"/>
        </w:rPr>
        <w:t>ou [LSD]</w:t>
      </w:r>
      <w:bookmarkEnd w:id="22"/>
      <w:r w:rsidRPr="00B155E0">
        <w:rPr>
          <w:lang w:val="fr-FR"/>
        </w:rPr>
        <w:t>)</w:t>
      </w:r>
      <w:r>
        <w:rPr>
          <w:lang w:val="fr-FR"/>
        </w:rPr>
        <w:t> »</w:t>
      </w:r>
      <w:r w:rsidR="00EE5E54">
        <w:rPr>
          <w:lang w:val="fr-FR"/>
        </w:rPr>
        <w:t>.</w:t>
      </w:r>
    </w:p>
    <w:p w:rsidR="00B32AD9" w:rsidRPr="00B155E0" w:rsidRDefault="00B32AD9" w:rsidP="00B32AD9">
      <w:pPr>
        <w:pStyle w:val="SingleTxtG"/>
        <w:rPr>
          <w:i/>
          <w:lang w:val="fr-FR"/>
        </w:rPr>
      </w:pPr>
      <w:r w:rsidRPr="00B155E0">
        <w:rPr>
          <w:i/>
          <w:lang w:val="fr-FR"/>
        </w:rPr>
        <w:t>Paragraphe 6.20</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6.20</w:t>
      </w:r>
      <w:r w:rsidRPr="00B155E0">
        <w:rPr>
          <w:lang w:val="fr-FR"/>
        </w:rPr>
        <w:tab/>
        <w:t>F</w:t>
      </w:r>
      <w:r w:rsidRPr="00B155E0">
        <w:rPr>
          <w:lang w:val="fr-FR" w:eastAsia="fr-FR"/>
        </w:rPr>
        <w:t>eu d</w:t>
      </w:r>
      <w:r>
        <w:rPr>
          <w:lang w:val="fr-FR" w:eastAsia="fr-FR"/>
        </w:rPr>
        <w:t>’</w:t>
      </w:r>
      <w:r w:rsidRPr="00B155E0">
        <w:rPr>
          <w:lang w:val="fr-FR" w:eastAsia="fr-FR"/>
        </w:rPr>
        <w:t xml:space="preserve">angle </w:t>
      </w:r>
      <w:r w:rsidRPr="00B155E0">
        <w:rPr>
          <w:lang w:val="fr-FR"/>
        </w:rPr>
        <w:t>(</w:t>
      </w:r>
      <w:r w:rsidRPr="00B155E0">
        <w:rPr>
          <w:lang w:val="fr-FR" w:eastAsia="fr-FR"/>
        </w:rPr>
        <w:t>Règlement</w:t>
      </w:r>
      <w:r w:rsidRPr="00B155E0">
        <w:rPr>
          <w:b/>
          <w:lang w:val="fr-FR" w:eastAsia="fr-FR"/>
        </w:rPr>
        <w:t>s</w:t>
      </w:r>
      <w:r>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119</w:t>
      </w:r>
      <w:r w:rsidRPr="00B155E0">
        <w:rPr>
          <w:lang w:val="fr-FR"/>
        </w:rPr>
        <w:t xml:space="preserve"> </w:t>
      </w:r>
      <w:r w:rsidRPr="00B155E0">
        <w:rPr>
          <w:b/>
          <w:lang w:val="fr-FR"/>
        </w:rPr>
        <w:t>ou [RID]</w:t>
      </w:r>
      <w:r w:rsidRPr="00B155E0">
        <w:rPr>
          <w:lang w:val="fr-FR"/>
        </w:rPr>
        <w:t>)</w:t>
      </w:r>
      <w:r>
        <w:rPr>
          <w:lang w:val="fr-FR"/>
        </w:rPr>
        <w:t> »</w:t>
      </w:r>
      <w:r w:rsidR="00EE5E54">
        <w:rPr>
          <w:lang w:val="fr-FR"/>
        </w:rPr>
        <w:t>.</w:t>
      </w:r>
    </w:p>
    <w:p w:rsidR="00B32AD9" w:rsidRPr="00B155E0" w:rsidRDefault="00B32AD9" w:rsidP="00B32AD9">
      <w:pPr>
        <w:pStyle w:val="SingleTxtG"/>
        <w:rPr>
          <w:i/>
          <w:lang w:val="fr-FR"/>
        </w:rPr>
      </w:pPr>
      <w:r w:rsidRPr="00B155E0">
        <w:rPr>
          <w:i/>
          <w:lang w:val="fr-FR"/>
        </w:rPr>
        <w:t>Paragraphe 6.21</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6.21</w:t>
      </w:r>
      <w:r w:rsidRPr="00B155E0">
        <w:rPr>
          <w:lang w:val="fr-FR"/>
        </w:rPr>
        <w:tab/>
        <w:t>M</w:t>
      </w:r>
      <w:r w:rsidRPr="00B155E0">
        <w:rPr>
          <w:lang w:val="fr-FR" w:eastAsia="fr-FR"/>
        </w:rPr>
        <w:t xml:space="preserve">arquages à grande visibilité </w:t>
      </w:r>
      <w:r w:rsidRPr="00B155E0">
        <w:rPr>
          <w:lang w:val="fr-FR"/>
        </w:rPr>
        <w:t>(</w:t>
      </w:r>
      <w:bookmarkStart w:id="23" w:name="_Hlk491720227"/>
      <w:r w:rsidRPr="00B155E0">
        <w:rPr>
          <w:lang w:val="fr-FR" w:eastAsia="fr-FR"/>
        </w:rPr>
        <w:t>Règlement</w:t>
      </w:r>
      <w:r w:rsidRPr="00B155E0">
        <w:rPr>
          <w:b/>
          <w:lang w:val="fr-FR" w:eastAsia="fr-FR"/>
        </w:rPr>
        <w:t>s</w:t>
      </w:r>
      <w:r>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104</w:t>
      </w:r>
      <w:r w:rsidRPr="00B155E0">
        <w:rPr>
          <w:lang w:val="fr-FR"/>
        </w:rPr>
        <w:t xml:space="preserve"> </w:t>
      </w:r>
      <w:r w:rsidRPr="00B155E0">
        <w:rPr>
          <w:b/>
          <w:lang w:val="fr-FR"/>
        </w:rPr>
        <w:t>ou [RDD]</w:t>
      </w:r>
      <w:bookmarkEnd w:id="23"/>
      <w:r w:rsidRPr="00B155E0">
        <w:rPr>
          <w:lang w:val="fr-FR"/>
        </w:rPr>
        <w:t>)</w:t>
      </w:r>
      <w:r>
        <w:rPr>
          <w:lang w:val="fr-FR"/>
        </w:rPr>
        <w:t> »</w:t>
      </w:r>
      <w:r w:rsidR="00EE5E54">
        <w:rPr>
          <w:lang w:val="fr-FR"/>
        </w:rPr>
        <w:t>.</w:t>
      </w:r>
    </w:p>
    <w:p w:rsidR="00B32AD9" w:rsidRPr="00B155E0" w:rsidRDefault="00B32AD9" w:rsidP="00B32AD9">
      <w:pPr>
        <w:pStyle w:val="SingleTxtG"/>
        <w:rPr>
          <w:i/>
          <w:lang w:val="fr-FR"/>
        </w:rPr>
      </w:pPr>
      <w:r w:rsidRPr="00B155E0">
        <w:rPr>
          <w:i/>
          <w:lang w:val="fr-FR"/>
        </w:rPr>
        <w:t>Paragraphe 6.21.1.2.5</w:t>
      </w:r>
      <w:r w:rsidRPr="00B155E0">
        <w:rPr>
          <w:lang w:val="fr-FR"/>
        </w:rPr>
        <w:t>, modifier comme suit :</w:t>
      </w:r>
    </w:p>
    <w:p w:rsidR="00B32AD9" w:rsidRPr="00325FBB" w:rsidRDefault="00B32AD9" w:rsidP="00B32AD9">
      <w:pPr>
        <w:pStyle w:val="SingleTxtG"/>
        <w:ind w:left="2268" w:hanging="1134"/>
        <w:rPr>
          <w:spacing w:val="-1"/>
          <w:lang w:val="fr-FR"/>
        </w:rPr>
      </w:pPr>
      <w:r w:rsidRPr="00325FBB">
        <w:rPr>
          <w:spacing w:val="-1"/>
          <w:lang w:val="fr-FR"/>
        </w:rPr>
        <w:t>« 6.21.1.2.5</w:t>
      </w:r>
      <w:r w:rsidRPr="00325FBB">
        <w:rPr>
          <w:spacing w:val="-1"/>
          <w:lang w:val="fr-FR"/>
        </w:rPr>
        <w:tab/>
      </w:r>
      <w:r w:rsidRPr="00325FBB">
        <w:rPr>
          <w:bCs/>
          <w:iCs/>
          <w:spacing w:val="-1"/>
          <w:lang w:val="fr-FR" w:eastAsia="fr-FR"/>
        </w:rPr>
        <w:t xml:space="preserve">Lorsque </w:t>
      </w:r>
      <w:r w:rsidRPr="00325FBB">
        <w:rPr>
          <w:spacing w:val="-1"/>
          <w:lang w:val="fr-FR" w:eastAsia="fr-FR"/>
        </w:rPr>
        <w:t>le fabricant, après vérification par le service technique, peut prouver à l</w:t>
      </w:r>
      <w:r>
        <w:rPr>
          <w:spacing w:val="-1"/>
          <w:lang w:val="fr-FR" w:eastAsia="fr-FR"/>
        </w:rPr>
        <w:t>’</w:t>
      </w:r>
      <w:r w:rsidRPr="00325FBB">
        <w:rPr>
          <w:spacing w:val="-1"/>
          <w:lang w:val="fr-FR" w:eastAsia="fr-FR"/>
        </w:rPr>
        <w:t>autorité d</w:t>
      </w:r>
      <w:r>
        <w:rPr>
          <w:spacing w:val="-1"/>
          <w:lang w:val="fr-FR" w:eastAsia="fr-FR"/>
        </w:rPr>
        <w:t>’</w:t>
      </w:r>
      <w:r w:rsidRPr="00325FBB">
        <w:rPr>
          <w:spacing w:val="-1"/>
          <w:lang w:val="fr-FR" w:eastAsia="fr-FR"/>
        </w:rPr>
        <w:t>homologation de type qu</w:t>
      </w:r>
      <w:r>
        <w:rPr>
          <w:spacing w:val="-1"/>
          <w:lang w:val="fr-FR" w:eastAsia="fr-FR"/>
        </w:rPr>
        <w:t>’</w:t>
      </w:r>
      <w:r w:rsidRPr="00325FBB">
        <w:rPr>
          <w:spacing w:val="-1"/>
          <w:lang w:val="fr-FR" w:eastAsia="fr-FR"/>
        </w:rPr>
        <w:t>il est impossible de se conformer aux prescriptions énoncées aux paragraphes</w:t>
      </w:r>
      <w:r w:rsidR="00EE5E54">
        <w:rPr>
          <w:spacing w:val="-1"/>
          <w:lang w:val="fr-FR" w:eastAsia="fr-FR"/>
        </w:rPr>
        <w:t xml:space="preserve"> </w:t>
      </w:r>
      <w:r w:rsidRPr="00325FBB">
        <w:rPr>
          <w:spacing w:val="-1"/>
          <w:lang w:val="fr-FR" w:eastAsia="fr-FR"/>
        </w:rPr>
        <w:t>6.21.2 à 6.21.7.5 ci</w:t>
      </w:r>
      <w:r w:rsidRPr="00325FBB">
        <w:rPr>
          <w:spacing w:val="-1"/>
          <w:lang w:val="fr-FR" w:eastAsia="fr-FR"/>
        </w:rPr>
        <w:noBreakHyphen/>
        <w:t>dessous, en raison d</w:t>
      </w:r>
      <w:r>
        <w:rPr>
          <w:spacing w:val="-1"/>
          <w:lang w:val="fr-FR" w:eastAsia="fr-FR"/>
        </w:rPr>
        <w:t>’</w:t>
      </w:r>
      <w:r w:rsidRPr="00325FBB">
        <w:rPr>
          <w:spacing w:val="-1"/>
          <w:lang w:val="fr-FR" w:eastAsia="fr-FR"/>
        </w:rPr>
        <w:t>exigences opérationnelles susceptibles d</w:t>
      </w:r>
      <w:r>
        <w:rPr>
          <w:spacing w:val="-1"/>
          <w:lang w:val="fr-FR" w:eastAsia="fr-FR"/>
        </w:rPr>
        <w:t>’</w:t>
      </w:r>
      <w:r w:rsidRPr="00325FBB">
        <w:rPr>
          <w:spacing w:val="-1"/>
          <w:lang w:val="fr-FR" w:eastAsia="fr-FR"/>
        </w:rPr>
        <w:t>imposer au véhicule une forme, une structure ou une conception spéciales, on peut se contenter du respect partiel de ces prescriptions. Cela dépend du nombre de prescriptions devant, si possible, être satisfaites et de l</w:t>
      </w:r>
      <w:r>
        <w:rPr>
          <w:spacing w:val="-1"/>
          <w:lang w:val="fr-FR" w:eastAsia="fr-FR"/>
        </w:rPr>
        <w:t>’</w:t>
      </w:r>
      <w:r w:rsidRPr="00325FBB">
        <w:rPr>
          <w:spacing w:val="-1"/>
          <w:lang w:val="fr-FR" w:eastAsia="fr-FR"/>
        </w:rPr>
        <w:t>application des marquages à grande visibilité qui satisfont en partie aux prescriptions les plus strictes concernant la structure du véhicule. On peut notamment mettre en place, lorsque la structure le permet, des plaques ou des supports supplémentaires constitués d</w:t>
      </w:r>
      <w:r>
        <w:rPr>
          <w:spacing w:val="-1"/>
          <w:lang w:val="fr-FR" w:eastAsia="fr-FR"/>
        </w:rPr>
        <w:t>’</w:t>
      </w:r>
      <w:r w:rsidRPr="00325FBB">
        <w:rPr>
          <w:spacing w:val="-1"/>
          <w:lang w:val="fr-FR" w:eastAsia="fr-FR"/>
        </w:rPr>
        <w:t xml:space="preserve">un matériau </w:t>
      </w:r>
      <w:r w:rsidRPr="00325FBB">
        <w:rPr>
          <w:lang w:val="fr-FR" w:eastAsia="fr-FR"/>
        </w:rPr>
        <w:t>conforme au</w:t>
      </w:r>
      <w:r w:rsidRPr="00325FBB">
        <w:rPr>
          <w:b/>
          <w:lang w:val="fr-FR" w:eastAsia="fr-FR"/>
        </w:rPr>
        <w:t>x</w:t>
      </w:r>
      <w:r w:rsidRPr="00325FBB">
        <w:rPr>
          <w:lang w:val="fr-FR" w:eastAsia="fr-FR"/>
        </w:rPr>
        <w:t xml:space="preserve"> </w:t>
      </w:r>
      <w:bookmarkStart w:id="24" w:name="_Hlk491720293"/>
      <w:r w:rsidRPr="00325FBB">
        <w:rPr>
          <w:lang w:val="fr-FR" w:eastAsia="fr-FR"/>
        </w:rPr>
        <w:t>Règlement</w:t>
      </w:r>
      <w:r w:rsidRPr="00325FBB">
        <w:rPr>
          <w:b/>
          <w:lang w:val="fr-FR" w:eastAsia="fr-FR"/>
        </w:rPr>
        <w:t>s</w:t>
      </w:r>
      <w:r w:rsidRPr="00325FBB">
        <w:rPr>
          <w:lang w:val="fr-FR" w:eastAsia="fr-FR"/>
        </w:rPr>
        <w:t xml:space="preserve"> n</w:t>
      </w:r>
      <w:r w:rsidRPr="00325FBB">
        <w:rPr>
          <w:vertAlign w:val="superscript"/>
          <w:lang w:val="fr-FR" w:eastAsia="fr-FR"/>
        </w:rPr>
        <w:t>o</w:t>
      </w:r>
      <w:r w:rsidRPr="00325FBB">
        <w:rPr>
          <w:b/>
          <w:vertAlign w:val="superscript"/>
          <w:lang w:val="fr-FR" w:eastAsia="fr-FR"/>
        </w:rPr>
        <w:t>s</w:t>
      </w:r>
      <w:r w:rsidRPr="00325FBB">
        <w:rPr>
          <w:lang w:val="fr-FR" w:eastAsia="fr-FR"/>
        </w:rPr>
        <w:t> 104</w:t>
      </w:r>
      <w:r w:rsidRPr="00325FBB">
        <w:rPr>
          <w:lang w:val="fr-FR"/>
        </w:rPr>
        <w:t xml:space="preserve"> </w:t>
      </w:r>
      <w:r w:rsidRPr="00325FBB">
        <w:rPr>
          <w:b/>
          <w:lang w:val="fr-FR"/>
        </w:rPr>
        <w:t>ou [RDD]</w:t>
      </w:r>
      <w:bookmarkEnd w:id="24"/>
      <w:r w:rsidRPr="00325FBB">
        <w:rPr>
          <w:lang w:val="fr-FR" w:eastAsia="fr-FR"/>
        </w:rPr>
        <w:t>, afin que la signalisation soit claire et uniforme et réponde à l</w:t>
      </w:r>
      <w:r>
        <w:rPr>
          <w:lang w:val="fr-FR" w:eastAsia="fr-FR"/>
        </w:rPr>
        <w:t>’</w:t>
      </w:r>
      <w:r w:rsidRPr="00325FBB">
        <w:rPr>
          <w:lang w:val="fr-FR" w:eastAsia="fr-FR"/>
        </w:rPr>
        <w:t>objectif de grande visibilité</w:t>
      </w:r>
      <w:r w:rsidRPr="00325FBB">
        <w:rPr>
          <w:lang w:val="fr-FR"/>
        </w:rPr>
        <w:t>.</w:t>
      </w:r>
    </w:p>
    <w:p w:rsidR="00B32AD9" w:rsidRPr="00B155E0" w:rsidRDefault="00B32AD9" w:rsidP="00B32AD9">
      <w:pPr>
        <w:pStyle w:val="SingleTxtG"/>
        <w:ind w:left="2268"/>
        <w:rPr>
          <w:lang w:val="fr-FR"/>
        </w:rPr>
      </w:pPr>
      <w:r w:rsidRPr="00B155E0">
        <w:rPr>
          <w:lang w:val="fr-FR" w:eastAsia="fr-FR"/>
        </w:rPr>
        <w:t xml:space="preserve">Lorsque le respect partiel est jugé acceptable, les dispositifs rétroréfléchissants tels que les catadioptres de la classe IVA </w:t>
      </w:r>
      <w:bookmarkStart w:id="25" w:name="_Hlk491720344"/>
      <w:r w:rsidRPr="00B155E0">
        <w:rPr>
          <w:strike/>
          <w:lang w:val="fr-FR" w:eastAsia="fr-FR"/>
        </w:rPr>
        <w:t>du</w:t>
      </w:r>
      <w:r w:rsidRPr="00B155E0">
        <w:rPr>
          <w:lang w:val="fr-FR" w:eastAsia="fr-FR"/>
        </w:rPr>
        <w:t xml:space="preserve"> </w:t>
      </w:r>
      <w:r w:rsidRPr="00B155E0">
        <w:rPr>
          <w:b/>
          <w:lang w:val="fr-FR" w:eastAsia="fr-FR"/>
        </w:rPr>
        <w:t>des</w:t>
      </w:r>
      <w:r w:rsidRPr="00B155E0">
        <w:rPr>
          <w:lang w:val="fr-FR" w:eastAsia="fr-FR"/>
        </w:rPr>
        <w:t xml:space="preserve"> Règlement</w:t>
      </w:r>
      <w:r w:rsidRPr="00B155E0">
        <w:rPr>
          <w:b/>
          <w:lang w:val="fr-FR" w:eastAsia="fr-FR"/>
        </w:rPr>
        <w:t>s</w:t>
      </w:r>
      <w:r w:rsidR="001216DB">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r w:rsidRPr="00B155E0">
        <w:rPr>
          <w:lang w:val="fr-FR"/>
        </w:rPr>
        <w:t xml:space="preserve"> </w:t>
      </w:r>
      <w:bookmarkEnd w:id="25"/>
      <w:r w:rsidRPr="00B155E0">
        <w:rPr>
          <w:lang w:val="fr-FR" w:eastAsia="fr-FR"/>
        </w:rPr>
        <w:t>ou les supports constitués d</w:t>
      </w:r>
      <w:r>
        <w:rPr>
          <w:lang w:val="fr-FR" w:eastAsia="fr-FR"/>
        </w:rPr>
        <w:t>’un matériau rétroréfléchissant</w:t>
      </w:r>
      <w:r w:rsidRPr="00B155E0">
        <w:rPr>
          <w:lang w:val="fr-FR" w:eastAsia="fr-FR"/>
        </w:rPr>
        <w:t xml:space="preserve"> conforme aux prescriptions photométriques de la classe C </w:t>
      </w:r>
      <w:bookmarkStart w:id="26" w:name="_Hlk491720496"/>
      <w:r w:rsidRPr="00B155E0">
        <w:rPr>
          <w:strike/>
          <w:lang w:val="fr-FR" w:eastAsia="fr-FR"/>
        </w:rPr>
        <w:t>du</w:t>
      </w:r>
      <w:r w:rsidRPr="00B155E0">
        <w:rPr>
          <w:lang w:val="fr-FR" w:eastAsia="fr-FR"/>
        </w:rPr>
        <w:t xml:space="preserve"> </w:t>
      </w:r>
      <w:r w:rsidRPr="00B155E0">
        <w:rPr>
          <w:b/>
          <w:lang w:val="fr-FR" w:eastAsia="fr-FR"/>
        </w:rPr>
        <w:t>des</w:t>
      </w:r>
      <w:r w:rsidRPr="00B155E0">
        <w:rPr>
          <w:lang w:val="fr-FR" w:eastAsia="fr-FR"/>
        </w:rPr>
        <w:t xml:space="preserve"> Règlement</w:t>
      </w:r>
      <w:r w:rsidRPr="00B155E0">
        <w:rPr>
          <w:b/>
          <w:lang w:val="fr-FR" w:eastAsia="fr-FR"/>
        </w:rPr>
        <w:t>s</w:t>
      </w:r>
      <w:r>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104</w:t>
      </w:r>
      <w:r w:rsidRPr="00B155E0">
        <w:rPr>
          <w:lang w:val="fr-FR"/>
        </w:rPr>
        <w:t xml:space="preserve"> </w:t>
      </w:r>
      <w:r w:rsidRPr="00B155E0">
        <w:rPr>
          <w:b/>
          <w:lang w:val="fr-FR"/>
        </w:rPr>
        <w:t>ou [RDD]</w:t>
      </w:r>
      <w:r w:rsidRPr="00B155E0">
        <w:rPr>
          <w:lang w:val="fr-FR"/>
        </w:rPr>
        <w:t xml:space="preserve"> </w:t>
      </w:r>
      <w:bookmarkEnd w:id="26"/>
      <w:r w:rsidRPr="00B155E0">
        <w:rPr>
          <w:lang w:val="fr-FR" w:eastAsia="fr-FR"/>
        </w:rPr>
        <w:t>peuvent en partie remplacer les marquages à grande visibilité requis. Dans ce cas, il convient d</w:t>
      </w:r>
      <w:r>
        <w:rPr>
          <w:lang w:val="fr-FR" w:eastAsia="fr-FR"/>
        </w:rPr>
        <w:t>’</w:t>
      </w:r>
      <w:r w:rsidRPr="00B155E0">
        <w:rPr>
          <w:lang w:val="fr-FR" w:eastAsia="fr-FR"/>
        </w:rPr>
        <w:t>installer de tels dispositifs rétroréfléchissants tous les 1</w:t>
      </w:r>
      <w:r w:rsidR="001216DB">
        <w:rPr>
          <w:lang w:val="fr-FR" w:eastAsia="fr-FR"/>
        </w:rPr>
        <w:t> </w:t>
      </w:r>
      <w:r w:rsidRPr="00B155E0">
        <w:rPr>
          <w:lang w:val="fr-FR" w:eastAsia="fr-FR"/>
        </w:rPr>
        <w:t>500</w:t>
      </w:r>
      <w:r w:rsidR="001216DB">
        <w:rPr>
          <w:lang w:val="fr-FR" w:eastAsia="fr-FR"/>
        </w:rPr>
        <w:t xml:space="preserve"> </w:t>
      </w:r>
      <w:r w:rsidRPr="00B155E0">
        <w:rPr>
          <w:lang w:val="fr-FR" w:eastAsia="fr-FR"/>
        </w:rPr>
        <w:t>mm</w:t>
      </w:r>
      <w:r w:rsidRPr="00B155E0">
        <w:rPr>
          <w:lang w:val="fr-FR"/>
        </w:rPr>
        <w:t>.</w:t>
      </w:r>
    </w:p>
    <w:p w:rsidR="00B32AD9" w:rsidRPr="00B155E0" w:rsidRDefault="00B32AD9" w:rsidP="00B32AD9">
      <w:pPr>
        <w:pStyle w:val="SingleTxtG"/>
        <w:ind w:left="2268"/>
        <w:rPr>
          <w:lang w:val="fr-FR"/>
        </w:rPr>
      </w:pPr>
      <w:r w:rsidRPr="00B155E0">
        <w:rPr>
          <w:lang w:val="fr-FR" w:eastAsia="fr-FR"/>
        </w:rPr>
        <w:t>Les renseignements nécessaires doivent être consignés sur la fiche de communication</w:t>
      </w:r>
      <w:r w:rsidRPr="00B155E0">
        <w:rPr>
          <w:lang w:val="fr-FR"/>
        </w:rPr>
        <w:t>.</w:t>
      </w:r>
      <w:r>
        <w:rPr>
          <w:rFonts w:eastAsia="MS Mincho"/>
          <w:lang w:val="fr-FR"/>
        </w:rPr>
        <w:t> ».</w:t>
      </w:r>
    </w:p>
    <w:p w:rsidR="00B32AD9" w:rsidRPr="00B155E0" w:rsidRDefault="00B32AD9" w:rsidP="00B32AD9">
      <w:pPr>
        <w:pStyle w:val="SingleTxtG"/>
        <w:rPr>
          <w:i/>
          <w:lang w:val="fr-FR"/>
        </w:rPr>
      </w:pPr>
      <w:r w:rsidRPr="00B155E0">
        <w:rPr>
          <w:i/>
          <w:lang w:val="fr-FR"/>
        </w:rPr>
        <w:t>Paragraphe 6.21.4.2.1.1</w:t>
      </w:r>
      <w:r w:rsidRPr="00B155E0">
        <w:rPr>
          <w:lang w:val="fr-FR"/>
        </w:rPr>
        <w:t>, modifier comme suit :</w:t>
      </w:r>
    </w:p>
    <w:p w:rsidR="00B32AD9" w:rsidRPr="00B155E0" w:rsidRDefault="00B32AD9" w:rsidP="00B32AD9">
      <w:pPr>
        <w:pStyle w:val="SingleTxtG"/>
        <w:ind w:left="2268" w:hanging="1134"/>
        <w:rPr>
          <w:lang w:val="fr-FR"/>
        </w:rPr>
      </w:pPr>
      <w:r w:rsidRPr="00EA597E">
        <w:rPr>
          <w:spacing w:val="-2"/>
          <w:lang w:val="fr-FR"/>
        </w:rPr>
        <w:t>« 6.21.4.2.1.1</w:t>
      </w:r>
      <w:r w:rsidRPr="00B155E0">
        <w:rPr>
          <w:lang w:val="fr-FR"/>
        </w:rPr>
        <w:tab/>
        <w:t>Pour les véhicules à moteur, de la longueur du véhicule ou, dans le cas des tracteurs de semi-remorques, de la longueur de la cabine ;</w:t>
      </w:r>
    </w:p>
    <w:p w:rsidR="00B32AD9" w:rsidRPr="00B155E0" w:rsidRDefault="00B32AD9" w:rsidP="00B32AD9">
      <w:pPr>
        <w:pStyle w:val="SingleTxtG"/>
        <w:ind w:left="2268"/>
        <w:rPr>
          <w:lang w:val="fr-FR"/>
        </w:rPr>
      </w:pPr>
      <w:r w:rsidRPr="00B155E0">
        <w:rPr>
          <w:lang w:val="fr-FR"/>
        </w:rPr>
        <w:t>Il est cependant permis d</w:t>
      </w:r>
      <w:r>
        <w:rPr>
          <w:lang w:val="fr-FR"/>
        </w:rPr>
        <w:t>’</w:t>
      </w:r>
      <w:r w:rsidRPr="00B155E0">
        <w:rPr>
          <w:lang w:val="fr-FR"/>
        </w:rPr>
        <w:t>avoir recours à un autre mode de marquage à moins de 2</w:t>
      </w:r>
      <w:r w:rsidR="001216DB">
        <w:rPr>
          <w:lang w:val="fr-FR"/>
        </w:rPr>
        <w:t> </w:t>
      </w:r>
      <w:r w:rsidRPr="00B155E0">
        <w:rPr>
          <w:lang w:val="fr-FR"/>
        </w:rPr>
        <w:t>400</w:t>
      </w:r>
      <w:r w:rsidR="001216DB">
        <w:rPr>
          <w:lang w:val="fr-FR"/>
        </w:rPr>
        <w:t xml:space="preserve"> </w:t>
      </w:r>
      <w:r w:rsidRPr="00B155E0">
        <w:rPr>
          <w:lang w:val="fr-FR"/>
        </w:rPr>
        <w:t>mm de l</w:t>
      </w:r>
      <w:r>
        <w:rPr>
          <w:lang w:val="fr-FR"/>
        </w:rPr>
        <w:t>’</w:t>
      </w:r>
      <w:r w:rsidRPr="00B155E0">
        <w:rPr>
          <w:lang w:val="fr-FR"/>
        </w:rPr>
        <w:t>extrémité avant du véhicule à moteur lorsqu</w:t>
      </w:r>
      <w:r>
        <w:rPr>
          <w:lang w:val="fr-FR"/>
        </w:rPr>
        <w:t>’</w:t>
      </w:r>
      <w:r w:rsidRPr="00B155E0">
        <w:rPr>
          <w:lang w:val="fr-FR"/>
        </w:rPr>
        <w:t xml:space="preserve">une série de catadioptres de la classe IVA </w:t>
      </w:r>
      <w:r w:rsidRPr="00B155E0">
        <w:rPr>
          <w:strike/>
          <w:lang w:val="fr-FR" w:eastAsia="fr-FR"/>
        </w:rPr>
        <w:t>du</w:t>
      </w:r>
      <w:r w:rsidRPr="00B155E0">
        <w:rPr>
          <w:lang w:val="fr-FR" w:eastAsia="fr-FR"/>
        </w:rPr>
        <w:t xml:space="preserve"> </w:t>
      </w:r>
      <w:r w:rsidRPr="00B155E0">
        <w:rPr>
          <w:b/>
          <w:lang w:val="fr-FR" w:eastAsia="fr-FR"/>
        </w:rPr>
        <w:t>des</w:t>
      </w:r>
      <w:r w:rsidRPr="00B155E0">
        <w:rPr>
          <w:lang w:val="fr-FR" w:eastAsia="fr-FR"/>
        </w:rPr>
        <w:t xml:space="preserve"> </w:t>
      </w:r>
      <w:bookmarkStart w:id="27" w:name="_Hlk491720925"/>
      <w:r w:rsidRPr="00B155E0">
        <w:rPr>
          <w:lang w:val="fr-FR" w:eastAsia="fr-FR"/>
        </w:rPr>
        <w:t>Règlement</w:t>
      </w:r>
      <w:r w:rsidRPr="00B155E0">
        <w:rPr>
          <w:b/>
          <w:lang w:val="fr-FR" w:eastAsia="fr-FR"/>
        </w:rPr>
        <w:t>s</w:t>
      </w:r>
      <w:r>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3</w:t>
      </w:r>
      <w:r w:rsidRPr="00B155E0">
        <w:rPr>
          <w:lang w:val="fr-FR"/>
        </w:rPr>
        <w:t xml:space="preserve"> </w:t>
      </w:r>
      <w:r w:rsidRPr="00B155E0">
        <w:rPr>
          <w:b/>
          <w:lang w:val="fr-FR"/>
        </w:rPr>
        <w:t>ou [RDD]</w:t>
      </w:r>
      <w:bookmarkEnd w:id="27"/>
      <w:r w:rsidRPr="00B155E0">
        <w:rPr>
          <w:lang w:val="fr-FR"/>
        </w:rPr>
        <w:t xml:space="preserve"> ou de la classe C </w:t>
      </w:r>
      <w:r w:rsidRPr="00B155E0">
        <w:rPr>
          <w:strike/>
          <w:lang w:val="fr-FR" w:eastAsia="fr-FR"/>
        </w:rPr>
        <w:t>du</w:t>
      </w:r>
      <w:r w:rsidRPr="00B155E0">
        <w:rPr>
          <w:lang w:val="fr-FR" w:eastAsia="fr-FR"/>
        </w:rPr>
        <w:t xml:space="preserve"> </w:t>
      </w:r>
      <w:r w:rsidRPr="00B155E0">
        <w:rPr>
          <w:b/>
          <w:lang w:val="fr-FR" w:eastAsia="fr-FR"/>
        </w:rPr>
        <w:t>des</w:t>
      </w:r>
      <w:r w:rsidRPr="00B155E0">
        <w:rPr>
          <w:lang w:val="fr-FR" w:eastAsia="fr-FR"/>
        </w:rPr>
        <w:t xml:space="preserve"> Règlement</w:t>
      </w:r>
      <w:r w:rsidRPr="00B155E0">
        <w:rPr>
          <w:b/>
          <w:lang w:val="fr-FR" w:eastAsia="fr-FR"/>
        </w:rPr>
        <w:t>s</w:t>
      </w:r>
      <w:r w:rsidR="001216DB">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104</w:t>
      </w:r>
      <w:r w:rsidRPr="00B155E0">
        <w:rPr>
          <w:lang w:val="fr-FR"/>
        </w:rPr>
        <w:t xml:space="preserve"> </w:t>
      </w:r>
      <w:r w:rsidRPr="00B155E0">
        <w:rPr>
          <w:b/>
          <w:lang w:val="fr-FR"/>
        </w:rPr>
        <w:t>ou [RDD]</w:t>
      </w:r>
      <w:r w:rsidRPr="00B155E0">
        <w:rPr>
          <w:lang w:val="fr-FR"/>
        </w:rPr>
        <w:t xml:space="preserve"> est installée en suivant les prescriptions en matière de marquage à grande visibilité de la manière suivante :</w:t>
      </w:r>
    </w:p>
    <w:p w:rsidR="00B32AD9" w:rsidRPr="00B155E0" w:rsidRDefault="00B32AD9" w:rsidP="00B32AD9">
      <w:pPr>
        <w:pStyle w:val="SingleTxtG"/>
        <w:ind w:left="2268"/>
        <w:rPr>
          <w:lang w:val="fr-FR"/>
        </w:rPr>
      </w:pPr>
      <w:r w:rsidRPr="00B155E0">
        <w:rPr>
          <w:lang w:val="fr-FR"/>
        </w:rPr>
        <w:t>a)</w:t>
      </w:r>
      <w:r w:rsidRPr="00B155E0">
        <w:rPr>
          <w:lang w:val="fr-FR"/>
        </w:rPr>
        <w:tab/>
        <w:t>La taille du catadioptre est d</w:t>
      </w:r>
      <w:r>
        <w:rPr>
          <w:lang w:val="fr-FR"/>
        </w:rPr>
        <w:t>’</w:t>
      </w:r>
      <w:r w:rsidRPr="00B155E0">
        <w:rPr>
          <w:lang w:val="fr-FR"/>
        </w:rPr>
        <w:t>au moins 25 cm</w:t>
      </w:r>
      <w:r w:rsidRPr="00B155E0">
        <w:rPr>
          <w:vertAlign w:val="superscript"/>
          <w:lang w:val="fr-FR"/>
        </w:rPr>
        <w:t>2</w:t>
      </w:r>
      <w:r w:rsidRPr="00B155E0">
        <w:rPr>
          <w:lang w:val="fr-FR"/>
        </w:rPr>
        <w:t> ;</w:t>
      </w:r>
    </w:p>
    <w:p w:rsidR="00B32AD9" w:rsidRPr="00B155E0" w:rsidRDefault="00B32AD9" w:rsidP="00B32AD9">
      <w:pPr>
        <w:pStyle w:val="SingleTxtG"/>
        <w:ind w:left="2835" w:hanging="567"/>
        <w:rPr>
          <w:bCs/>
          <w:lang w:val="fr-FR"/>
        </w:rPr>
      </w:pPr>
      <w:r w:rsidRPr="00B155E0">
        <w:rPr>
          <w:bCs/>
          <w:lang w:val="fr-FR"/>
        </w:rPr>
        <w:t>b)</w:t>
      </w:r>
      <w:r w:rsidRPr="00B155E0">
        <w:rPr>
          <w:bCs/>
          <w:lang w:val="fr-FR"/>
        </w:rPr>
        <w:tab/>
        <w:t xml:space="preserve">Un catadioptre est installé à une distance ne dépassant pas 600 mm de </w:t>
      </w:r>
      <w:r w:rsidRPr="00B155E0">
        <w:rPr>
          <w:lang w:val="fr-FR"/>
        </w:rPr>
        <w:t>l</w:t>
      </w:r>
      <w:r>
        <w:rPr>
          <w:lang w:val="fr-FR"/>
        </w:rPr>
        <w:t>’</w:t>
      </w:r>
      <w:r w:rsidRPr="00B155E0">
        <w:rPr>
          <w:lang w:val="fr-FR"/>
        </w:rPr>
        <w:t>extrémité avant du véhicule</w:t>
      </w:r>
      <w:r w:rsidRPr="00B155E0">
        <w:rPr>
          <w:bCs/>
          <w:lang w:val="fr-FR"/>
        </w:rPr>
        <w:t> ;</w:t>
      </w:r>
    </w:p>
    <w:p w:rsidR="00B32AD9" w:rsidRPr="00B155E0" w:rsidRDefault="00B32AD9" w:rsidP="00B32AD9">
      <w:pPr>
        <w:pStyle w:val="SingleTxtG"/>
        <w:ind w:left="2835" w:hanging="567"/>
        <w:rPr>
          <w:bCs/>
          <w:lang w:val="fr-FR"/>
        </w:rPr>
      </w:pPr>
      <w:r w:rsidRPr="00B155E0">
        <w:rPr>
          <w:bCs/>
          <w:lang w:val="fr-FR"/>
        </w:rPr>
        <w:t>c)</w:t>
      </w:r>
      <w:r w:rsidRPr="00B155E0">
        <w:rPr>
          <w:bCs/>
          <w:lang w:val="fr-FR"/>
        </w:rPr>
        <w:tab/>
        <w:t>Les catadioptres supplémentaires ne sont pas distants de plus de</w:t>
      </w:r>
      <w:r w:rsidR="001A05A5">
        <w:rPr>
          <w:bCs/>
          <w:lang w:val="fr-FR"/>
        </w:rPr>
        <w:t xml:space="preserve"> </w:t>
      </w:r>
      <w:r w:rsidRPr="00B155E0">
        <w:rPr>
          <w:bCs/>
          <w:lang w:val="fr-FR"/>
        </w:rPr>
        <w:t>600 mm ;</w:t>
      </w:r>
    </w:p>
    <w:p w:rsidR="00B32AD9" w:rsidRPr="00B155E0" w:rsidRDefault="00B32AD9" w:rsidP="00B32AD9">
      <w:pPr>
        <w:pStyle w:val="SingleTxtG"/>
        <w:ind w:left="2835" w:hanging="567"/>
        <w:rPr>
          <w:bCs/>
          <w:lang w:val="fr-FR"/>
        </w:rPr>
      </w:pPr>
      <w:r w:rsidRPr="00B155E0">
        <w:rPr>
          <w:bCs/>
          <w:lang w:val="fr-FR"/>
        </w:rPr>
        <w:t>d)</w:t>
      </w:r>
      <w:r w:rsidRPr="00B155E0">
        <w:rPr>
          <w:bCs/>
          <w:lang w:val="fr-FR"/>
        </w:rPr>
        <w:tab/>
        <w:t xml:space="preserve">La distance entre le dernier catadioptre et le début du </w:t>
      </w:r>
      <w:r w:rsidRPr="00B155E0">
        <w:rPr>
          <w:lang w:val="fr-FR"/>
        </w:rPr>
        <w:t>marquage à</w:t>
      </w:r>
      <w:r w:rsidR="001A05A5">
        <w:rPr>
          <w:lang w:val="fr-FR"/>
        </w:rPr>
        <w:t xml:space="preserve"> </w:t>
      </w:r>
      <w:r w:rsidRPr="00B155E0">
        <w:rPr>
          <w:lang w:val="fr-FR"/>
        </w:rPr>
        <w:t xml:space="preserve">grande visibilité ne dépasse pas </w:t>
      </w:r>
      <w:r w:rsidRPr="00B155E0">
        <w:rPr>
          <w:bCs/>
          <w:lang w:val="fr-FR"/>
        </w:rPr>
        <w:t>600 mm.</w:t>
      </w:r>
      <w:r>
        <w:rPr>
          <w:bCs/>
          <w:lang w:val="fr-FR"/>
        </w:rPr>
        <w:t> ».</w:t>
      </w:r>
    </w:p>
    <w:p w:rsidR="00B32AD9" w:rsidRPr="00CA58EB" w:rsidRDefault="00B32AD9" w:rsidP="00B32AD9">
      <w:pPr>
        <w:pStyle w:val="SingleTxtG"/>
        <w:keepNext/>
        <w:keepLines/>
        <w:rPr>
          <w:i/>
          <w:lang w:val="fr-FR"/>
        </w:rPr>
      </w:pPr>
      <w:r w:rsidRPr="00CA58EB">
        <w:rPr>
          <w:i/>
          <w:lang w:val="fr-FR"/>
        </w:rPr>
        <w:lastRenderedPageBreak/>
        <w:t>Paragraphe 6.21.7.4</w:t>
      </w:r>
      <w:r w:rsidRPr="00CA58EB">
        <w:rPr>
          <w:lang w:val="fr-FR"/>
        </w:rPr>
        <w:t>, modifier comme suit :</w:t>
      </w:r>
    </w:p>
    <w:p w:rsidR="00B32AD9" w:rsidRPr="00B155E0" w:rsidRDefault="00B32AD9" w:rsidP="00B32AD9">
      <w:pPr>
        <w:pStyle w:val="SingleTxtG"/>
        <w:keepNext/>
        <w:keepLines/>
        <w:ind w:left="2268" w:hanging="1134"/>
        <w:rPr>
          <w:lang w:val="fr-FR"/>
        </w:rPr>
      </w:pPr>
      <w:r w:rsidRPr="00CA58EB">
        <w:rPr>
          <w:lang w:val="fr-FR"/>
        </w:rPr>
        <w:t>« 6.21.7.4</w:t>
      </w:r>
      <w:r w:rsidRPr="00CA58EB">
        <w:rPr>
          <w:lang w:val="fr-FR"/>
        </w:rPr>
        <w:tab/>
      </w:r>
      <w:r w:rsidRPr="00CA58EB">
        <w:rPr>
          <w:lang w:val="fr-FR" w:eastAsia="fr-FR"/>
        </w:rPr>
        <w:t>Lorsque des plaques d’identification arrière conformes à la série</w:t>
      </w:r>
      <w:r w:rsidR="00CA58EB">
        <w:rPr>
          <w:lang w:val="fr-FR" w:eastAsia="fr-FR"/>
        </w:rPr>
        <w:t xml:space="preserve"> </w:t>
      </w:r>
      <w:r w:rsidRPr="00CA58EB">
        <w:rPr>
          <w:lang w:val="fr-FR" w:eastAsia="fr-FR"/>
        </w:rPr>
        <w:t xml:space="preserve">01 d’amendements au </w:t>
      </w:r>
      <w:bookmarkStart w:id="28" w:name="_Hlk491720668"/>
      <w:r w:rsidRPr="00CA58EB">
        <w:rPr>
          <w:lang w:val="fr-FR" w:eastAsia="fr-FR"/>
        </w:rPr>
        <w:t>Règlement</w:t>
      </w:r>
      <w:r w:rsidR="00CA58EB">
        <w:rPr>
          <w:lang w:val="fr-FR" w:eastAsia="fr-FR"/>
        </w:rPr>
        <w:t xml:space="preserve"> </w:t>
      </w:r>
      <w:r w:rsidRPr="00CA58EB">
        <w:rPr>
          <w:lang w:val="fr-FR" w:eastAsia="fr-FR"/>
        </w:rPr>
        <w:t>n</w:t>
      </w:r>
      <w:r w:rsidRPr="00CA58EB">
        <w:rPr>
          <w:vertAlign w:val="superscript"/>
          <w:lang w:val="fr-FR" w:eastAsia="fr-FR"/>
        </w:rPr>
        <w:t>o</w:t>
      </w:r>
      <w:r w:rsidRPr="00CA58EB">
        <w:rPr>
          <w:lang w:val="fr-FR" w:eastAsia="fr-FR"/>
        </w:rPr>
        <w:t> </w:t>
      </w:r>
      <w:bookmarkEnd w:id="28"/>
      <w:r w:rsidRPr="00CA58EB">
        <w:rPr>
          <w:lang w:val="fr-FR" w:eastAsia="fr-FR"/>
        </w:rPr>
        <w:t xml:space="preserve">70 </w:t>
      </w:r>
      <w:r w:rsidRPr="00CA58EB">
        <w:rPr>
          <w:b/>
          <w:lang w:val="fr-FR" w:eastAsia="fr-FR"/>
        </w:rPr>
        <w:t>ou au Règlement n</w:t>
      </w:r>
      <w:r w:rsidRPr="00CA58EB">
        <w:rPr>
          <w:b/>
          <w:vertAlign w:val="superscript"/>
          <w:lang w:val="fr-FR" w:eastAsia="fr-FR"/>
        </w:rPr>
        <w:t>o</w:t>
      </w:r>
      <w:r w:rsidRPr="00CA58EB">
        <w:rPr>
          <w:b/>
          <w:lang w:val="fr-FR" w:eastAsia="fr-FR"/>
        </w:rPr>
        <w:t> [RDD]</w:t>
      </w:r>
      <w:r w:rsidRPr="00CA58EB">
        <w:rPr>
          <w:lang w:val="fr-FR" w:eastAsia="fr-FR"/>
        </w:rPr>
        <w:t xml:space="preserve"> sont installées, elles peuvent être considérées, à la discrétion du constructeur, comme faisant partie du marquage à grande visibilité arrière, aux fins du calcul de la longueur du marquage à grande visibilité et de sa proximité avec le côté du véhicule</w:t>
      </w:r>
      <w:r w:rsidRPr="00CA58EB">
        <w:rPr>
          <w:lang w:val="fr-FR"/>
        </w:rPr>
        <w:t>. ».</w:t>
      </w:r>
    </w:p>
    <w:p w:rsidR="00B32AD9" w:rsidRPr="00B155E0" w:rsidRDefault="00B32AD9" w:rsidP="00B32AD9">
      <w:pPr>
        <w:pStyle w:val="SingleTxtG"/>
        <w:rPr>
          <w:i/>
          <w:lang w:val="fr-FR"/>
        </w:rPr>
      </w:pPr>
      <w:r w:rsidRPr="00B155E0">
        <w:rPr>
          <w:i/>
          <w:lang w:val="fr-FR"/>
        </w:rPr>
        <w:t>Paragraphe 6.22</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6.22</w:t>
      </w:r>
      <w:r w:rsidRPr="00B155E0">
        <w:rPr>
          <w:lang w:val="fr-FR"/>
        </w:rPr>
        <w:tab/>
        <w:t>S</w:t>
      </w:r>
      <w:r w:rsidRPr="00B155E0">
        <w:rPr>
          <w:lang w:val="fr-FR" w:eastAsia="fr-FR"/>
        </w:rPr>
        <w:t>ystème d</w:t>
      </w:r>
      <w:r>
        <w:rPr>
          <w:lang w:val="fr-FR" w:eastAsia="fr-FR"/>
        </w:rPr>
        <w:t>’</w:t>
      </w:r>
      <w:r w:rsidRPr="00B155E0">
        <w:rPr>
          <w:lang w:val="fr-FR" w:eastAsia="fr-FR"/>
        </w:rPr>
        <w:t>éclairage avant adaptatif</w:t>
      </w:r>
      <w:r w:rsidRPr="00B155E0">
        <w:rPr>
          <w:lang w:val="fr-FR"/>
        </w:rPr>
        <w:t xml:space="preserve"> (AFS) (</w:t>
      </w:r>
      <w:bookmarkStart w:id="29" w:name="_Hlk491722183"/>
      <w:r w:rsidRPr="00B155E0">
        <w:rPr>
          <w:lang w:val="fr-FR" w:eastAsia="fr-FR"/>
        </w:rPr>
        <w:t>Règlement</w:t>
      </w:r>
      <w:r w:rsidRPr="00B155E0">
        <w:rPr>
          <w:b/>
          <w:lang w:val="fr-FR" w:eastAsia="fr-FR"/>
        </w:rPr>
        <w:t>s</w:t>
      </w:r>
      <w:r w:rsidR="00CA58EB">
        <w:rPr>
          <w:lang w:val="fr-FR" w:eastAsia="fr-FR"/>
        </w:rPr>
        <w:t xml:space="preserve"> </w:t>
      </w:r>
      <w:r w:rsidRPr="00B155E0">
        <w:rPr>
          <w:lang w:val="fr-FR" w:eastAsia="fr-FR"/>
        </w:rPr>
        <w:t>n</w:t>
      </w:r>
      <w:r w:rsidRPr="00B155E0">
        <w:rPr>
          <w:vertAlign w:val="superscript"/>
          <w:lang w:val="fr-FR" w:eastAsia="fr-FR"/>
        </w:rPr>
        <w:t>o</w:t>
      </w:r>
      <w:r w:rsidRPr="00B155E0">
        <w:rPr>
          <w:b/>
          <w:vertAlign w:val="superscript"/>
          <w:lang w:val="fr-FR" w:eastAsia="fr-FR"/>
        </w:rPr>
        <w:t>s</w:t>
      </w:r>
      <w:r w:rsidRPr="00B155E0">
        <w:rPr>
          <w:lang w:val="fr-FR" w:eastAsia="fr-FR"/>
        </w:rPr>
        <w:t> 123</w:t>
      </w:r>
      <w:r w:rsidRPr="00B155E0">
        <w:rPr>
          <w:lang w:val="fr-FR"/>
        </w:rPr>
        <w:t xml:space="preserve"> </w:t>
      </w:r>
      <w:r w:rsidRPr="00B155E0">
        <w:rPr>
          <w:b/>
          <w:lang w:val="fr-FR"/>
        </w:rPr>
        <w:t>ou [RID]</w:t>
      </w:r>
      <w:bookmarkEnd w:id="29"/>
      <w:r w:rsidRPr="00B155E0">
        <w:rPr>
          <w:lang w:val="fr-FR"/>
        </w:rPr>
        <w:t>)</w:t>
      </w:r>
    </w:p>
    <w:p w:rsidR="00B32AD9" w:rsidRPr="00B155E0" w:rsidRDefault="00B32AD9" w:rsidP="00B32AD9">
      <w:pPr>
        <w:pStyle w:val="SingleTxtG"/>
        <w:ind w:left="2268"/>
        <w:rPr>
          <w:lang w:val="fr-FR"/>
        </w:rPr>
      </w:pPr>
      <w:r w:rsidRPr="00B155E0">
        <w:rPr>
          <w:lang w:val="fr-FR" w:eastAsia="fr-FR"/>
        </w:rPr>
        <w:t>Sauf mention contraire ci-après, les prescriptions relatives aux feux de route (par. 6.1) et aux feux de croisement (par. 6.2) figurant dans le présent Règlement s</w:t>
      </w:r>
      <w:r>
        <w:rPr>
          <w:lang w:val="fr-FR" w:eastAsia="fr-FR"/>
        </w:rPr>
        <w:t>’</w:t>
      </w:r>
      <w:r w:rsidRPr="00B155E0">
        <w:rPr>
          <w:lang w:val="fr-FR" w:eastAsia="fr-FR"/>
        </w:rPr>
        <w:t>appliquent aux parties correspondantes de l</w:t>
      </w:r>
      <w:r>
        <w:rPr>
          <w:lang w:val="fr-FR" w:eastAsia="fr-FR"/>
        </w:rPr>
        <w:t>’</w:t>
      </w:r>
      <w:r w:rsidRPr="00B155E0">
        <w:rPr>
          <w:lang w:val="fr-FR" w:eastAsia="fr-FR"/>
        </w:rPr>
        <w:t>AFS</w:t>
      </w:r>
      <w:r w:rsidRPr="00B155E0">
        <w:rPr>
          <w:lang w:val="fr-FR"/>
        </w:rPr>
        <w:t>.</w:t>
      </w:r>
      <w:r>
        <w:rPr>
          <w:rFonts w:eastAsia="MS Mincho"/>
          <w:lang w:val="fr-FR"/>
        </w:rPr>
        <w:t> ».</w:t>
      </w:r>
    </w:p>
    <w:p w:rsidR="00B32AD9" w:rsidRPr="00B155E0" w:rsidRDefault="00B32AD9" w:rsidP="00B32AD9">
      <w:pPr>
        <w:pStyle w:val="SingleTxtG"/>
        <w:rPr>
          <w:i/>
          <w:lang w:val="fr-FR"/>
        </w:rPr>
      </w:pPr>
      <w:r w:rsidRPr="00B155E0">
        <w:rPr>
          <w:i/>
          <w:lang w:val="fr-FR"/>
        </w:rPr>
        <w:t>Paragraphe 6.22.6.1.2.1</w:t>
      </w:r>
      <w:r w:rsidRPr="00B155E0">
        <w:rPr>
          <w:lang w:val="fr-FR"/>
        </w:rPr>
        <w:t>, modifier comme suit :</w:t>
      </w:r>
    </w:p>
    <w:p w:rsidR="00B32AD9" w:rsidRPr="00325FBB" w:rsidRDefault="00B32AD9" w:rsidP="00B32AD9">
      <w:pPr>
        <w:pStyle w:val="SingleTxtG"/>
        <w:ind w:left="2268" w:hanging="1134"/>
        <w:rPr>
          <w:lang w:val="fr-FR"/>
        </w:rPr>
      </w:pPr>
      <w:r w:rsidRPr="00325FBB">
        <w:rPr>
          <w:spacing w:val="-3"/>
          <w:lang w:val="fr-FR"/>
        </w:rPr>
        <w:t>« 6.22.6.1.2.1</w:t>
      </w:r>
      <w:r w:rsidRPr="00325FBB">
        <w:rPr>
          <w:lang w:val="fr-FR"/>
        </w:rPr>
        <w:tab/>
      </w:r>
      <w:r w:rsidRPr="00325FBB">
        <w:rPr>
          <w:lang w:val="fr-FR" w:eastAsia="fr-FR"/>
        </w:rPr>
        <w:t>Lorsque le faisceau de croisement est constitué de plusieurs faisceaux provenant de plusieurs unités d</w:t>
      </w:r>
      <w:r>
        <w:rPr>
          <w:lang w:val="fr-FR" w:eastAsia="fr-FR"/>
        </w:rPr>
        <w:t>’</w:t>
      </w:r>
      <w:r w:rsidRPr="00325FBB">
        <w:rPr>
          <w:lang w:val="fr-FR" w:eastAsia="fr-FR"/>
        </w:rPr>
        <w:t>éclairage, les dispositions du paragraphe</w:t>
      </w:r>
      <w:r w:rsidR="00CA58EB">
        <w:rPr>
          <w:lang w:val="fr-FR" w:eastAsia="fr-FR"/>
        </w:rPr>
        <w:t xml:space="preserve"> </w:t>
      </w:r>
      <w:r w:rsidRPr="00325FBB">
        <w:rPr>
          <w:lang w:val="fr-FR" w:eastAsia="fr-FR"/>
        </w:rPr>
        <w:t>6.22.6.1.2 ci-dessus s</w:t>
      </w:r>
      <w:r>
        <w:rPr>
          <w:lang w:val="fr-FR" w:eastAsia="fr-FR"/>
        </w:rPr>
        <w:t>’</w:t>
      </w:r>
      <w:r w:rsidRPr="00325FBB">
        <w:rPr>
          <w:lang w:val="fr-FR" w:eastAsia="fr-FR"/>
        </w:rPr>
        <w:t>appliquent à la coupure (si elle existe) de chacun des faisceaux, qui sont conçus pour être projetés dans la zone angulaire, comme indiqué au point</w:t>
      </w:r>
      <w:r w:rsidR="00CA58EB">
        <w:rPr>
          <w:lang w:val="fr-FR" w:eastAsia="fr-FR"/>
        </w:rPr>
        <w:t xml:space="preserve"> </w:t>
      </w:r>
      <w:r w:rsidRPr="00325FBB">
        <w:rPr>
          <w:lang w:val="fr-FR" w:eastAsia="fr-FR"/>
        </w:rPr>
        <w:t>9.4 de la fiche de communication conforme au modèle décrit à l</w:t>
      </w:r>
      <w:r>
        <w:rPr>
          <w:lang w:val="fr-FR" w:eastAsia="fr-FR"/>
        </w:rPr>
        <w:t>’</w:t>
      </w:r>
      <w:r w:rsidRPr="00325FBB">
        <w:rPr>
          <w:lang w:val="fr-FR" w:eastAsia="fr-FR"/>
        </w:rPr>
        <w:t>annexe</w:t>
      </w:r>
      <w:r w:rsidR="00CA58EB">
        <w:rPr>
          <w:lang w:val="fr-FR" w:eastAsia="fr-FR"/>
        </w:rPr>
        <w:t xml:space="preserve"> </w:t>
      </w:r>
      <w:r w:rsidRPr="00325FBB">
        <w:rPr>
          <w:lang w:val="fr-FR" w:eastAsia="fr-FR"/>
        </w:rPr>
        <w:t xml:space="preserve">1 </w:t>
      </w:r>
      <w:r w:rsidRPr="00325FBB">
        <w:rPr>
          <w:strike/>
          <w:lang w:val="fr-FR" w:eastAsia="fr-FR"/>
        </w:rPr>
        <w:t>du</w:t>
      </w:r>
      <w:r w:rsidRPr="00325FBB">
        <w:rPr>
          <w:lang w:val="fr-FR" w:eastAsia="fr-FR"/>
        </w:rPr>
        <w:t xml:space="preserve"> </w:t>
      </w:r>
      <w:r w:rsidRPr="00325FBB">
        <w:rPr>
          <w:b/>
          <w:lang w:val="fr-FR" w:eastAsia="fr-FR"/>
        </w:rPr>
        <w:t>des</w:t>
      </w:r>
      <w:r w:rsidRPr="00325FBB">
        <w:rPr>
          <w:lang w:val="fr-FR" w:eastAsia="fr-FR"/>
        </w:rPr>
        <w:t xml:space="preserve"> Règlement</w:t>
      </w:r>
      <w:r w:rsidRPr="00325FBB">
        <w:rPr>
          <w:b/>
          <w:lang w:val="fr-FR" w:eastAsia="fr-FR"/>
        </w:rPr>
        <w:t>s</w:t>
      </w:r>
      <w:r w:rsidRPr="00325FBB">
        <w:rPr>
          <w:lang w:val="fr-FR" w:eastAsia="fr-FR"/>
        </w:rPr>
        <w:t xml:space="preserve"> n</w:t>
      </w:r>
      <w:r w:rsidRPr="00325FBB">
        <w:rPr>
          <w:vertAlign w:val="superscript"/>
          <w:lang w:val="fr-FR" w:eastAsia="fr-FR"/>
        </w:rPr>
        <w:t>o</w:t>
      </w:r>
      <w:r w:rsidRPr="00325FBB">
        <w:rPr>
          <w:b/>
          <w:vertAlign w:val="superscript"/>
          <w:lang w:val="fr-FR" w:eastAsia="fr-FR"/>
        </w:rPr>
        <w:t>s</w:t>
      </w:r>
      <w:r w:rsidRPr="00325FBB">
        <w:rPr>
          <w:lang w:val="fr-FR" w:eastAsia="fr-FR"/>
        </w:rPr>
        <w:t> 123</w:t>
      </w:r>
      <w:r w:rsidRPr="00325FBB">
        <w:rPr>
          <w:lang w:val="fr-FR"/>
        </w:rPr>
        <w:t xml:space="preserve"> </w:t>
      </w:r>
      <w:r>
        <w:rPr>
          <w:b/>
          <w:lang w:val="fr-FR"/>
        </w:rPr>
        <w:t>ou </w:t>
      </w:r>
      <w:r w:rsidRPr="00325FBB">
        <w:rPr>
          <w:b/>
          <w:lang w:val="fr-FR"/>
        </w:rPr>
        <w:t>[RID]</w:t>
      </w:r>
      <w:r w:rsidRPr="00325FBB">
        <w:rPr>
          <w:lang w:val="fr-FR"/>
        </w:rPr>
        <w:t>. ».</w:t>
      </w:r>
    </w:p>
    <w:p w:rsidR="00B32AD9" w:rsidRPr="00B155E0" w:rsidRDefault="00B32AD9" w:rsidP="00B32AD9">
      <w:pPr>
        <w:pStyle w:val="SingleTxtG"/>
        <w:rPr>
          <w:i/>
          <w:lang w:val="fr-FR"/>
        </w:rPr>
      </w:pPr>
      <w:r w:rsidRPr="00B155E0">
        <w:rPr>
          <w:i/>
          <w:lang w:val="fr-FR"/>
        </w:rPr>
        <w:t>Paragraphe 6.22.6.3</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6.22.6.3</w:t>
      </w:r>
      <w:r w:rsidRPr="00B155E0">
        <w:rPr>
          <w:lang w:val="fr-FR"/>
        </w:rPr>
        <w:tab/>
      </w:r>
      <w:r w:rsidRPr="00B155E0">
        <w:rPr>
          <w:lang w:val="fr-FR" w:eastAsia="fr-FR"/>
        </w:rPr>
        <w:t>Orientation horizontale</w:t>
      </w:r>
      <w:r w:rsidRPr="00B155E0">
        <w:rPr>
          <w:lang w:val="fr-FR"/>
        </w:rPr>
        <w:t> :</w:t>
      </w:r>
    </w:p>
    <w:p w:rsidR="00B32AD9" w:rsidRPr="00B155E0" w:rsidRDefault="00B32AD9" w:rsidP="00B32AD9">
      <w:pPr>
        <w:pStyle w:val="SingleTxtG"/>
        <w:ind w:left="2268"/>
        <w:rPr>
          <w:lang w:val="fr-FR"/>
        </w:rPr>
      </w:pPr>
      <w:r w:rsidRPr="00B155E0">
        <w:rPr>
          <w:lang w:val="fr-FR" w:eastAsia="fr-FR"/>
        </w:rPr>
        <w:t>Pour chaque unité d</w:t>
      </w:r>
      <w:r>
        <w:rPr>
          <w:lang w:val="fr-FR" w:eastAsia="fr-FR"/>
        </w:rPr>
        <w:t>’</w:t>
      </w:r>
      <w:r w:rsidRPr="00B155E0">
        <w:rPr>
          <w:lang w:val="fr-FR" w:eastAsia="fr-FR"/>
        </w:rPr>
        <w:t>éclairage, le coude de la coupure, si elle existe, doit coïncider, lorsqu</w:t>
      </w:r>
      <w:r>
        <w:rPr>
          <w:lang w:val="fr-FR" w:eastAsia="fr-FR"/>
        </w:rPr>
        <w:t>’</w:t>
      </w:r>
      <w:r w:rsidRPr="00B155E0">
        <w:rPr>
          <w:lang w:val="fr-FR" w:eastAsia="fr-FR"/>
        </w:rPr>
        <w:t>il est projeté sur l</w:t>
      </w:r>
      <w:r>
        <w:rPr>
          <w:lang w:val="fr-FR" w:eastAsia="fr-FR"/>
        </w:rPr>
        <w:t>’</w:t>
      </w:r>
      <w:r w:rsidRPr="00B155E0">
        <w:rPr>
          <w:lang w:val="fr-FR" w:eastAsia="fr-FR"/>
        </w:rPr>
        <w:t>écran, avec la ligne verticale passant par l</w:t>
      </w:r>
      <w:r>
        <w:rPr>
          <w:lang w:val="fr-FR" w:eastAsia="fr-FR"/>
        </w:rPr>
        <w:t>’</w:t>
      </w:r>
      <w:r w:rsidRPr="00B155E0">
        <w:rPr>
          <w:lang w:val="fr-FR" w:eastAsia="fr-FR"/>
        </w:rPr>
        <w:t>axe de référence de ladite unité d</w:t>
      </w:r>
      <w:r>
        <w:rPr>
          <w:lang w:val="fr-FR" w:eastAsia="fr-FR"/>
        </w:rPr>
        <w:t>’</w:t>
      </w:r>
      <w:r w:rsidRPr="00B155E0">
        <w:rPr>
          <w:lang w:val="fr-FR" w:eastAsia="fr-FR"/>
        </w:rPr>
        <w:t>éclairage. Une tolérance de 0,5 degré vers le côté du sens de la circulation est admise. Les autres unités d</w:t>
      </w:r>
      <w:r>
        <w:rPr>
          <w:lang w:val="fr-FR" w:eastAsia="fr-FR"/>
        </w:rPr>
        <w:t>’</w:t>
      </w:r>
      <w:r w:rsidRPr="00B155E0">
        <w:rPr>
          <w:lang w:val="fr-FR" w:eastAsia="fr-FR"/>
        </w:rPr>
        <w:t>éclairage doivent être réglées conformément à l</w:t>
      </w:r>
      <w:r>
        <w:rPr>
          <w:lang w:val="fr-FR" w:eastAsia="fr-FR"/>
        </w:rPr>
        <w:t>’</w:t>
      </w:r>
      <w:r w:rsidRPr="00B155E0">
        <w:rPr>
          <w:lang w:val="fr-FR" w:eastAsia="fr-FR"/>
        </w:rPr>
        <w:t xml:space="preserve">indication du demandeur, comme indiqué </w:t>
      </w:r>
      <w:bookmarkStart w:id="30" w:name="_Hlk491721305"/>
      <w:r w:rsidRPr="00B155E0">
        <w:rPr>
          <w:lang w:val="fr-FR" w:eastAsia="fr-FR"/>
        </w:rPr>
        <w:t>à l</w:t>
      </w:r>
      <w:r>
        <w:rPr>
          <w:lang w:val="fr-FR" w:eastAsia="fr-FR"/>
        </w:rPr>
        <w:t>’</w:t>
      </w:r>
      <w:r w:rsidRPr="00B155E0">
        <w:rPr>
          <w:lang w:val="fr-FR" w:eastAsia="fr-FR"/>
        </w:rPr>
        <w:t>annexe</w:t>
      </w:r>
      <w:r w:rsidR="00CA58EB">
        <w:rPr>
          <w:lang w:val="fr-FR" w:eastAsia="fr-FR"/>
        </w:rPr>
        <w:t xml:space="preserve"> </w:t>
      </w:r>
      <w:r w:rsidRPr="00B155E0">
        <w:rPr>
          <w:lang w:val="fr-FR" w:eastAsia="fr-FR"/>
        </w:rPr>
        <w:t>10 du Règlement</w:t>
      </w:r>
      <w:r>
        <w:rPr>
          <w:lang w:val="fr-FR" w:eastAsia="fr-FR"/>
        </w:rPr>
        <w:t xml:space="preserve"> </w:t>
      </w:r>
      <w:r w:rsidRPr="00B155E0">
        <w:rPr>
          <w:lang w:val="fr-FR" w:eastAsia="fr-FR"/>
        </w:rPr>
        <w:t>n</w:t>
      </w:r>
      <w:r w:rsidRPr="00B155E0">
        <w:rPr>
          <w:vertAlign w:val="superscript"/>
          <w:lang w:val="fr-FR" w:eastAsia="fr-FR"/>
        </w:rPr>
        <w:t>o</w:t>
      </w:r>
      <w:r w:rsidRPr="00B155E0">
        <w:rPr>
          <w:lang w:val="fr-FR" w:eastAsia="fr-FR"/>
        </w:rPr>
        <w:t> </w:t>
      </w:r>
      <w:bookmarkEnd w:id="30"/>
      <w:r w:rsidRPr="00B155E0">
        <w:rPr>
          <w:lang w:val="fr-FR" w:eastAsia="fr-FR"/>
        </w:rPr>
        <w:t xml:space="preserve">123 </w:t>
      </w:r>
      <w:r w:rsidRPr="00B155E0">
        <w:rPr>
          <w:b/>
          <w:lang w:val="fr-FR"/>
        </w:rPr>
        <w:t>ou à l</w:t>
      </w:r>
      <w:r>
        <w:rPr>
          <w:b/>
          <w:lang w:val="fr-FR"/>
        </w:rPr>
        <w:t>’</w:t>
      </w:r>
      <w:r w:rsidRPr="00B155E0">
        <w:rPr>
          <w:b/>
          <w:lang w:val="fr-FR"/>
        </w:rPr>
        <w:t>annexe</w:t>
      </w:r>
      <w:r w:rsidR="00CA58EB">
        <w:rPr>
          <w:b/>
          <w:lang w:val="fr-FR"/>
        </w:rPr>
        <w:t xml:space="preserve"> </w:t>
      </w:r>
      <w:r w:rsidRPr="00B155E0">
        <w:rPr>
          <w:b/>
          <w:lang w:val="fr-FR"/>
        </w:rPr>
        <w:t>1</w:t>
      </w:r>
      <w:r>
        <w:rPr>
          <w:b/>
          <w:lang w:val="fr-FR"/>
        </w:rPr>
        <w:t>4</w:t>
      </w:r>
      <w:r w:rsidRPr="00B155E0">
        <w:rPr>
          <w:b/>
          <w:lang w:val="fr-FR"/>
        </w:rPr>
        <w:t xml:space="preserve"> du Règlement n</w:t>
      </w:r>
      <w:r w:rsidRPr="00B155E0">
        <w:rPr>
          <w:b/>
          <w:vertAlign w:val="superscript"/>
          <w:lang w:val="fr-FR"/>
        </w:rPr>
        <w:t>o</w:t>
      </w:r>
      <w:r w:rsidRPr="00B155E0">
        <w:rPr>
          <w:b/>
          <w:lang w:val="fr-FR"/>
        </w:rPr>
        <w:t> [RID]</w:t>
      </w:r>
      <w:r w:rsidRPr="00B155E0">
        <w:rPr>
          <w:rFonts w:eastAsia="MS Mincho"/>
          <w:lang w:val="fr-FR"/>
        </w:rPr>
        <w:t>.</w:t>
      </w:r>
      <w:r>
        <w:rPr>
          <w:rFonts w:eastAsia="MS Mincho"/>
          <w:lang w:val="fr-FR"/>
        </w:rPr>
        <w:t> ».</w:t>
      </w:r>
    </w:p>
    <w:p w:rsidR="00B32AD9" w:rsidRPr="00B155E0" w:rsidRDefault="00B32AD9" w:rsidP="00B32AD9">
      <w:pPr>
        <w:pStyle w:val="SingleTxtG"/>
        <w:rPr>
          <w:i/>
          <w:lang w:val="fr-FR"/>
        </w:rPr>
      </w:pPr>
      <w:r w:rsidRPr="00B155E0">
        <w:rPr>
          <w:i/>
          <w:lang w:val="fr-FR"/>
        </w:rPr>
        <w:t>Paragraphe 6.22.7.4.3</w:t>
      </w:r>
      <w:r w:rsidRPr="00B155E0">
        <w:rPr>
          <w:lang w:val="fr-FR"/>
        </w:rPr>
        <w:t>, modifier comme suit :</w:t>
      </w:r>
    </w:p>
    <w:p w:rsidR="00B32AD9" w:rsidRPr="00B155E0" w:rsidRDefault="00B32AD9" w:rsidP="00B32AD9">
      <w:pPr>
        <w:tabs>
          <w:tab w:val="left" w:pos="2268"/>
        </w:tabs>
        <w:spacing w:after="120"/>
        <w:ind w:left="2835" w:right="1134" w:hanging="1701"/>
        <w:jc w:val="both"/>
        <w:rPr>
          <w:lang w:val="fr-FR"/>
        </w:rPr>
      </w:pPr>
      <w:r>
        <w:rPr>
          <w:lang w:val="fr-FR"/>
        </w:rPr>
        <w:t>« </w:t>
      </w:r>
      <w:r w:rsidRPr="00B155E0">
        <w:rPr>
          <w:lang w:val="fr-FR"/>
        </w:rPr>
        <w:t>6.22.7.4.3</w:t>
      </w:r>
      <w:r w:rsidRPr="00B155E0">
        <w:rPr>
          <w:lang w:val="fr-FR"/>
        </w:rPr>
        <w:tab/>
        <w:t>b)</w:t>
      </w:r>
      <w:r w:rsidRPr="00B155E0">
        <w:rPr>
          <w:lang w:val="fr-FR"/>
        </w:rPr>
        <w:tab/>
      </w:r>
      <w:r w:rsidRPr="00B155E0">
        <w:rPr>
          <w:lang w:val="fr-FR" w:eastAsia="fr-FR"/>
        </w:rPr>
        <w:t>Lorsqu</w:t>
      </w:r>
      <w:r>
        <w:rPr>
          <w:lang w:val="fr-FR" w:eastAsia="fr-FR"/>
        </w:rPr>
        <w:t>’</w:t>
      </w:r>
      <w:r w:rsidRPr="00B155E0">
        <w:rPr>
          <w:lang w:val="fr-FR" w:eastAsia="fr-FR"/>
        </w:rPr>
        <w:t>un mode de la classe</w:t>
      </w:r>
      <w:r w:rsidR="00CA58EB">
        <w:rPr>
          <w:lang w:val="fr-FR" w:eastAsia="fr-FR"/>
        </w:rPr>
        <w:t xml:space="preserve"> </w:t>
      </w:r>
      <w:r w:rsidRPr="00B155E0">
        <w:rPr>
          <w:lang w:val="fr-FR" w:eastAsia="fr-FR"/>
        </w:rPr>
        <w:t>E du faisceau de croisement est conforme, d</w:t>
      </w:r>
      <w:r>
        <w:rPr>
          <w:lang w:val="fr-FR" w:eastAsia="fr-FR"/>
        </w:rPr>
        <w:t>’</w:t>
      </w:r>
      <w:r w:rsidRPr="00B155E0">
        <w:rPr>
          <w:lang w:val="fr-FR" w:eastAsia="fr-FR"/>
        </w:rPr>
        <w:t>après les documents d</w:t>
      </w:r>
      <w:r>
        <w:rPr>
          <w:lang w:val="fr-FR" w:eastAsia="fr-FR"/>
        </w:rPr>
        <w:t>’</w:t>
      </w:r>
      <w:r w:rsidRPr="00B155E0">
        <w:rPr>
          <w:lang w:val="fr-FR" w:eastAsia="fr-FR"/>
        </w:rPr>
        <w:t>homologation ou la fiche de communication du système, à un ensemble de données du tableau 6 de l</w:t>
      </w:r>
      <w:r>
        <w:rPr>
          <w:lang w:val="fr-FR" w:eastAsia="fr-FR"/>
        </w:rPr>
        <w:t>’</w:t>
      </w:r>
      <w:r w:rsidRPr="00B155E0">
        <w:rPr>
          <w:lang w:val="fr-FR" w:eastAsia="fr-FR"/>
        </w:rPr>
        <w:t>annexe</w:t>
      </w:r>
      <w:r w:rsidR="00CA58EB">
        <w:rPr>
          <w:lang w:val="fr-FR" w:eastAsia="fr-FR"/>
        </w:rPr>
        <w:t xml:space="preserve"> </w:t>
      </w:r>
      <w:r w:rsidRPr="00B155E0">
        <w:rPr>
          <w:lang w:val="fr-FR" w:eastAsia="fr-FR"/>
        </w:rPr>
        <w:t>3 du Règlement n</w:t>
      </w:r>
      <w:r w:rsidRPr="00B155E0">
        <w:rPr>
          <w:vertAlign w:val="superscript"/>
          <w:lang w:val="fr-FR" w:eastAsia="fr-FR"/>
        </w:rPr>
        <w:t>o</w:t>
      </w:r>
      <w:r w:rsidRPr="00B155E0">
        <w:rPr>
          <w:lang w:val="fr-FR" w:eastAsia="fr-FR"/>
        </w:rPr>
        <w:t xml:space="preserve"> 123 </w:t>
      </w:r>
      <w:r w:rsidRPr="00B155E0">
        <w:rPr>
          <w:b/>
          <w:lang w:val="fr-FR" w:eastAsia="fr-FR"/>
        </w:rPr>
        <w:t>ou du tableau</w:t>
      </w:r>
      <w:r w:rsidR="00CA58EB">
        <w:rPr>
          <w:b/>
          <w:lang w:val="fr-FR" w:eastAsia="fr-FR"/>
        </w:rPr>
        <w:t xml:space="preserve"> </w:t>
      </w:r>
      <w:r w:rsidRPr="00B155E0">
        <w:rPr>
          <w:b/>
          <w:lang w:val="fr-FR" w:eastAsia="fr-FR"/>
        </w:rPr>
        <w:t>14 du Règlement n</w:t>
      </w:r>
      <w:r w:rsidRPr="00B155E0">
        <w:rPr>
          <w:b/>
          <w:vertAlign w:val="superscript"/>
          <w:lang w:val="fr-FR" w:eastAsia="fr-FR"/>
        </w:rPr>
        <w:t>o</w:t>
      </w:r>
      <w:r w:rsidRPr="00B155E0">
        <w:rPr>
          <w:b/>
          <w:lang w:val="fr-FR" w:eastAsia="fr-FR"/>
        </w:rPr>
        <w:t> [RID]</w:t>
      </w:r>
      <w:r w:rsidRPr="00B155E0">
        <w:rPr>
          <w:lang w:val="fr-FR"/>
        </w:rPr>
        <w:t>.</w:t>
      </w:r>
    </w:p>
    <w:p w:rsidR="00B32AD9" w:rsidRPr="00B155E0" w:rsidRDefault="00B32AD9" w:rsidP="00B32AD9">
      <w:pPr>
        <w:pStyle w:val="SingleTxtG"/>
        <w:ind w:left="2268"/>
        <w:rPr>
          <w:lang w:val="fr-FR"/>
        </w:rPr>
      </w:pPr>
      <w:r w:rsidRPr="00B155E0">
        <w:rPr>
          <w:lang w:val="fr-FR" w:eastAsia="fr-FR"/>
        </w:rPr>
        <w:t>Ensemble de données</w:t>
      </w:r>
      <w:r w:rsidR="002B77AC">
        <w:rPr>
          <w:lang w:val="fr-FR" w:eastAsia="fr-FR"/>
        </w:rPr>
        <w:t xml:space="preserve"> </w:t>
      </w:r>
      <w:r w:rsidRPr="00B155E0">
        <w:rPr>
          <w:lang w:val="fr-FR" w:eastAsia="fr-FR"/>
        </w:rPr>
        <w:t>E1 : vitesse du véhicule supérieure à 100 km/h (application du signal</w:t>
      </w:r>
      <w:r w:rsidR="002B77AC">
        <w:rPr>
          <w:lang w:val="fr-FR" w:eastAsia="fr-FR"/>
        </w:rPr>
        <w:t xml:space="preserve"> </w:t>
      </w:r>
      <w:r w:rsidRPr="00B155E0">
        <w:rPr>
          <w:lang w:val="fr-FR" w:eastAsia="fr-FR"/>
        </w:rPr>
        <w:t>E1) ;</w:t>
      </w:r>
    </w:p>
    <w:p w:rsidR="00B32AD9" w:rsidRPr="00B155E0" w:rsidRDefault="00B32AD9" w:rsidP="00B32AD9">
      <w:pPr>
        <w:pStyle w:val="SingleTxtG"/>
        <w:ind w:left="2268"/>
        <w:rPr>
          <w:lang w:val="fr-FR"/>
        </w:rPr>
      </w:pPr>
      <w:r w:rsidRPr="00B155E0">
        <w:rPr>
          <w:lang w:val="fr-FR"/>
        </w:rPr>
        <w:tab/>
      </w:r>
      <w:r w:rsidRPr="00B155E0">
        <w:rPr>
          <w:lang w:val="fr-FR" w:eastAsia="fr-FR"/>
        </w:rPr>
        <w:t>Ensemble de données</w:t>
      </w:r>
      <w:r w:rsidR="002B77AC">
        <w:rPr>
          <w:lang w:val="fr-FR" w:eastAsia="fr-FR"/>
        </w:rPr>
        <w:t xml:space="preserve"> </w:t>
      </w:r>
      <w:r w:rsidRPr="00B155E0">
        <w:rPr>
          <w:lang w:val="fr-FR" w:eastAsia="fr-FR"/>
        </w:rPr>
        <w:t>E2 : vitesse du véhicule supérieure à 90 km/h (application du signal</w:t>
      </w:r>
      <w:r w:rsidR="002B77AC">
        <w:rPr>
          <w:lang w:val="fr-FR" w:eastAsia="fr-FR"/>
        </w:rPr>
        <w:t xml:space="preserve"> </w:t>
      </w:r>
      <w:r w:rsidRPr="00B155E0">
        <w:rPr>
          <w:lang w:val="fr-FR" w:eastAsia="fr-FR"/>
        </w:rPr>
        <w:t>E2) ;</w:t>
      </w:r>
    </w:p>
    <w:p w:rsidR="00B32AD9" w:rsidRPr="00B155E0" w:rsidRDefault="00B32AD9" w:rsidP="00B32AD9">
      <w:pPr>
        <w:pStyle w:val="SingleTxtG"/>
        <w:ind w:left="2268"/>
        <w:rPr>
          <w:lang w:val="fr-FR"/>
        </w:rPr>
      </w:pPr>
      <w:r w:rsidRPr="00B155E0">
        <w:rPr>
          <w:lang w:val="fr-FR"/>
        </w:rPr>
        <w:tab/>
      </w:r>
      <w:r w:rsidRPr="00B155E0">
        <w:rPr>
          <w:lang w:val="fr-FR" w:eastAsia="fr-FR"/>
        </w:rPr>
        <w:t>Ensemble de données</w:t>
      </w:r>
      <w:r w:rsidR="002B77AC">
        <w:rPr>
          <w:lang w:val="fr-FR" w:eastAsia="fr-FR"/>
        </w:rPr>
        <w:t xml:space="preserve"> </w:t>
      </w:r>
      <w:r w:rsidRPr="00B155E0">
        <w:rPr>
          <w:lang w:val="fr-FR" w:eastAsia="fr-FR"/>
        </w:rPr>
        <w:t>E3 : vitesse du véhicule supérieure à 80 km/h (application du signal E3)</w:t>
      </w:r>
      <w:r w:rsidRPr="00B155E0">
        <w:rPr>
          <w:lang w:val="fr-FR"/>
        </w:rPr>
        <w:t>.</w:t>
      </w:r>
      <w:r>
        <w:rPr>
          <w:rFonts w:eastAsia="MS Mincho"/>
          <w:lang w:val="fr-FR"/>
        </w:rPr>
        <w:t> ».</w:t>
      </w:r>
    </w:p>
    <w:p w:rsidR="00B32AD9" w:rsidRPr="00B155E0" w:rsidRDefault="00B32AD9" w:rsidP="00B32AD9">
      <w:pPr>
        <w:pStyle w:val="SingleTxtG"/>
        <w:rPr>
          <w:i/>
          <w:lang w:val="fr-FR"/>
        </w:rPr>
      </w:pPr>
      <w:r w:rsidRPr="00B155E0">
        <w:rPr>
          <w:i/>
          <w:lang w:val="fr-FR"/>
        </w:rPr>
        <w:t>Paragraphe 6.22.8.2</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6.22.8.2</w:t>
      </w:r>
      <w:r w:rsidRPr="00B155E0">
        <w:rPr>
          <w:lang w:val="fr-FR"/>
        </w:rPr>
        <w:tab/>
      </w:r>
      <w:r w:rsidRPr="00B155E0">
        <w:rPr>
          <w:lang w:val="fr-FR" w:eastAsia="fr-FR"/>
        </w:rPr>
        <w:t>L</w:t>
      </w:r>
      <w:r>
        <w:rPr>
          <w:lang w:val="fr-FR" w:eastAsia="fr-FR"/>
        </w:rPr>
        <w:t>’</w:t>
      </w:r>
      <w:r w:rsidRPr="00B155E0">
        <w:rPr>
          <w:lang w:val="fr-FR" w:eastAsia="fr-FR"/>
        </w:rPr>
        <w:t>AFS doit obligatoirement être muni d</w:t>
      </w:r>
      <w:r>
        <w:rPr>
          <w:lang w:val="fr-FR" w:eastAsia="fr-FR"/>
        </w:rPr>
        <w:t>’</w:t>
      </w:r>
      <w:r w:rsidRPr="00B155E0">
        <w:rPr>
          <w:lang w:val="fr-FR" w:eastAsia="fr-FR"/>
        </w:rPr>
        <w:t>un témoin visuel de panne non clignotant. Ce témoin doit être activé chaque fois qu</w:t>
      </w:r>
      <w:r>
        <w:rPr>
          <w:lang w:val="fr-FR" w:eastAsia="fr-FR"/>
        </w:rPr>
        <w:t>’</w:t>
      </w:r>
      <w:r w:rsidRPr="00B155E0">
        <w:rPr>
          <w:lang w:val="fr-FR" w:eastAsia="fr-FR"/>
        </w:rPr>
        <w:t xml:space="preserve">une défaillance est détectée sur les signaux de commande </w:t>
      </w:r>
      <w:r>
        <w:rPr>
          <w:lang w:val="fr-FR" w:eastAsia="fr-FR"/>
        </w:rPr>
        <w:t>de l’</w:t>
      </w:r>
      <w:r w:rsidRPr="00B155E0">
        <w:rPr>
          <w:lang w:val="fr-FR" w:eastAsia="fr-FR"/>
        </w:rPr>
        <w:t>AFS ou lorsqu</w:t>
      </w:r>
      <w:r>
        <w:rPr>
          <w:lang w:val="fr-FR" w:eastAsia="fr-FR"/>
        </w:rPr>
        <w:t>’</w:t>
      </w:r>
      <w:r w:rsidRPr="00B155E0">
        <w:rPr>
          <w:lang w:val="fr-FR" w:eastAsia="fr-FR"/>
        </w:rPr>
        <w:t xml:space="preserve">un signal de défaillance est reçu conformément </w:t>
      </w:r>
      <w:bookmarkStart w:id="31" w:name="_Hlk491721690"/>
      <w:r w:rsidRPr="00B155E0">
        <w:rPr>
          <w:lang w:val="fr-FR" w:eastAsia="fr-FR"/>
        </w:rPr>
        <w:t>au paragraphe</w:t>
      </w:r>
      <w:r w:rsidR="002B77AC">
        <w:rPr>
          <w:lang w:val="fr-FR" w:eastAsia="fr-FR"/>
        </w:rPr>
        <w:t xml:space="preserve"> </w:t>
      </w:r>
      <w:r w:rsidRPr="00B155E0">
        <w:rPr>
          <w:lang w:val="fr-FR" w:eastAsia="fr-FR"/>
        </w:rPr>
        <w:t>5.9 du Règlement n</w:t>
      </w:r>
      <w:r w:rsidRPr="00B155E0">
        <w:rPr>
          <w:vertAlign w:val="superscript"/>
          <w:lang w:val="fr-FR" w:eastAsia="fr-FR"/>
        </w:rPr>
        <w:t>o</w:t>
      </w:r>
      <w:r w:rsidRPr="00B155E0">
        <w:rPr>
          <w:lang w:val="fr-FR" w:eastAsia="fr-FR"/>
        </w:rPr>
        <w:t> 123</w:t>
      </w:r>
      <w:bookmarkEnd w:id="31"/>
      <w:r w:rsidRPr="00B155E0">
        <w:rPr>
          <w:lang w:val="fr-FR" w:eastAsia="fr-FR"/>
        </w:rPr>
        <w:t xml:space="preserve"> </w:t>
      </w:r>
      <w:bookmarkStart w:id="32" w:name="_Hlk491721801"/>
      <w:r w:rsidRPr="00B155E0">
        <w:rPr>
          <w:b/>
          <w:lang w:val="fr-FR" w:eastAsia="fr-FR"/>
        </w:rPr>
        <w:t>ou</w:t>
      </w:r>
      <w:r w:rsidRPr="00B155E0">
        <w:rPr>
          <w:lang w:val="fr-FR"/>
        </w:rPr>
        <w:t xml:space="preserve"> </w:t>
      </w:r>
      <w:r w:rsidRPr="00B155E0">
        <w:rPr>
          <w:b/>
          <w:lang w:val="fr-FR" w:eastAsia="fr-FR"/>
        </w:rPr>
        <w:t>au paragraphe</w:t>
      </w:r>
      <w:r w:rsidR="002B77AC">
        <w:rPr>
          <w:b/>
          <w:lang w:val="fr-FR" w:eastAsia="fr-FR"/>
        </w:rPr>
        <w:t xml:space="preserve"> </w:t>
      </w:r>
      <w:r w:rsidRPr="00B155E0">
        <w:rPr>
          <w:b/>
          <w:lang w:val="fr-FR" w:eastAsia="fr-FR"/>
        </w:rPr>
        <w:t>4.13 du Règlement n</w:t>
      </w:r>
      <w:r w:rsidRPr="00B155E0">
        <w:rPr>
          <w:b/>
          <w:vertAlign w:val="superscript"/>
          <w:lang w:val="fr-FR" w:eastAsia="fr-FR"/>
        </w:rPr>
        <w:t>o</w:t>
      </w:r>
      <w:r w:rsidRPr="00B155E0">
        <w:rPr>
          <w:b/>
          <w:lang w:val="fr-FR" w:eastAsia="fr-FR"/>
        </w:rPr>
        <w:t> [RID]</w:t>
      </w:r>
      <w:bookmarkEnd w:id="32"/>
      <w:r w:rsidRPr="00B155E0">
        <w:rPr>
          <w:lang w:val="fr-FR" w:eastAsia="fr-FR"/>
        </w:rPr>
        <w:t>. Le témoin doit rester activé aussi longtemps que dure la défaillance. Il peut être désactivé temporairement mais être remis en fonction chaque fois que le dispositif qui met le moteur en marche ou le coupe est activé ou désactivé</w:t>
      </w:r>
      <w:r w:rsidRPr="00B155E0">
        <w:rPr>
          <w:lang w:val="fr-FR"/>
        </w:rPr>
        <w:t>.</w:t>
      </w:r>
      <w:r>
        <w:rPr>
          <w:lang w:val="fr-FR"/>
        </w:rPr>
        <w:t> ».</w:t>
      </w:r>
    </w:p>
    <w:p w:rsidR="00B32AD9" w:rsidRPr="00B155E0" w:rsidRDefault="00B32AD9" w:rsidP="00B32AD9">
      <w:pPr>
        <w:pStyle w:val="SingleTxtG"/>
        <w:keepNext/>
        <w:keepLines/>
        <w:rPr>
          <w:i/>
          <w:lang w:val="fr-FR"/>
        </w:rPr>
      </w:pPr>
      <w:r w:rsidRPr="00B155E0">
        <w:rPr>
          <w:i/>
          <w:lang w:val="fr-FR"/>
        </w:rPr>
        <w:lastRenderedPageBreak/>
        <w:t>Paragraphe 6.22.8.4</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6.22.8.4</w:t>
      </w:r>
      <w:r w:rsidRPr="00B155E0">
        <w:rPr>
          <w:lang w:val="fr-FR"/>
        </w:rPr>
        <w:tab/>
      </w:r>
      <w:r w:rsidRPr="00B155E0">
        <w:rPr>
          <w:lang w:val="fr-FR" w:eastAsia="fr-FR"/>
        </w:rPr>
        <w:t>Un témoin servant à indiquer que le conducteur a placé le système dans l</w:t>
      </w:r>
      <w:r>
        <w:rPr>
          <w:lang w:val="fr-FR" w:eastAsia="fr-FR"/>
        </w:rPr>
        <w:t>’</w:t>
      </w:r>
      <w:r w:rsidRPr="00B155E0">
        <w:rPr>
          <w:lang w:val="fr-FR" w:eastAsia="fr-FR"/>
        </w:rPr>
        <w:t>état prescrit au paragraphe</w:t>
      </w:r>
      <w:r w:rsidR="002B77AC">
        <w:rPr>
          <w:lang w:val="fr-FR" w:eastAsia="fr-FR"/>
        </w:rPr>
        <w:t xml:space="preserve"> </w:t>
      </w:r>
      <w:r w:rsidRPr="00B155E0">
        <w:rPr>
          <w:lang w:val="fr-FR" w:eastAsia="fr-FR"/>
        </w:rPr>
        <w:t>5.8 du Règlement n</w:t>
      </w:r>
      <w:r w:rsidRPr="00B155E0">
        <w:rPr>
          <w:vertAlign w:val="superscript"/>
          <w:lang w:val="fr-FR" w:eastAsia="fr-FR"/>
        </w:rPr>
        <w:t>o</w:t>
      </w:r>
      <w:r w:rsidRPr="00B155E0">
        <w:rPr>
          <w:lang w:val="fr-FR" w:eastAsia="fr-FR"/>
        </w:rPr>
        <w:t xml:space="preserve"> 123 </w:t>
      </w:r>
      <w:r w:rsidRPr="00B155E0">
        <w:rPr>
          <w:b/>
          <w:lang w:val="fr-FR" w:eastAsia="fr-FR"/>
        </w:rPr>
        <w:t>ou</w:t>
      </w:r>
      <w:r w:rsidRPr="00B155E0">
        <w:rPr>
          <w:lang w:val="fr-FR"/>
        </w:rPr>
        <w:t xml:space="preserve"> </w:t>
      </w:r>
      <w:r>
        <w:rPr>
          <w:b/>
          <w:lang w:val="fr-FR" w:eastAsia="fr-FR"/>
        </w:rPr>
        <w:t>au paragraphe</w:t>
      </w:r>
      <w:r w:rsidR="002B77AC">
        <w:rPr>
          <w:b/>
          <w:lang w:val="fr-FR" w:eastAsia="fr-FR"/>
        </w:rPr>
        <w:t xml:space="preserve"> </w:t>
      </w:r>
      <w:r>
        <w:rPr>
          <w:b/>
          <w:lang w:val="fr-FR" w:eastAsia="fr-FR"/>
        </w:rPr>
        <w:t>4.12 du</w:t>
      </w:r>
      <w:r w:rsidR="002B77AC">
        <w:rPr>
          <w:b/>
          <w:lang w:val="fr-FR" w:eastAsia="fr-FR"/>
        </w:rPr>
        <w:t xml:space="preserve"> </w:t>
      </w:r>
      <w:r w:rsidRPr="00B155E0">
        <w:rPr>
          <w:b/>
          <w:lang w:val="fr-FR" w:eastAsia="fr-FR"/>
        </w:rPr>
        <w:t>Règlement n</w:t>
      </w:r>
      <w:r w:rsidRPr="00B155E0">
        <w:rPr>
          <w:b/>
          <w:vertAlign w:val="superscript"/>
          <w:lang w:val="fr-FR" w:eastAsia="fr-FR"/>
        </w:rPr>
        <w:t>o</w:t>
      </w:r>
      <w:r w:rsidRPr="00B155E0">
        <w:rPr>
          <w:b/>
          <w:lang w:val="fr-FR" w:eastAsia="fr-FR"/>
        </w:rPr>
        <w:t> [RID]</w:t>
      </w:r>
      <w:r w:rsidRPr="00B155E0">
        <w:rPr>
          <w:lang w:val="fr-FR" w:eastAsia="fr-FR"/>
        </w:rPr>
        <w:t xml:space="preserve"> est facultatif</w:t>
      </w:r>
      <w:r w:rsidRPr="00B155E0">
        <w:rPr>
          <w:lang w:val="fr-FR"/>
        </w:rPr>
        <w:t>.</w:t>
      </w:r>
      <w:r>
        <w:rPr>
          <w:lang w:val="fr-FR"/>
        </w:rPr>
        <w:t> ».</w:t>
      </w:r>
    </w:p>
    <w:p w:rsidR="00B32AD9" w:rsidRPr="00B155E0" w:rsidRDefault="00B32AD9" w:rsidP="00B32AD9">
      <w:pPr>
        <w:pStyle w:val="SingleTxtG"/>
        <w:rPr>
          <w:i/>
          <w:lang w:val="fr-FR"/>
        </w:rPr>
      </w:pPr>
      <w:r w:rsidRPr="00B155E0">
        <w:rPr>
          <w:i/>
          <w:lang w:val="fr-FR"/>
        </w:rPr>
        <w:t>Paragraphe 6.22.9.1</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6.22.9.1</w:t>
      </w:r>
      <w:r w:rsidRPr="00B155E0">
        <w:rPr>
          <w:lang w:val="fr-FR"/>
        </w:rPr>
        <w:tab/>
      </w:r>
      <w:r w:rsidRPr="00B155E0">
        <w:rPr>
          <w:lang w:val="fr-FR" w:eastAsia="fr-FR"/>
        </w:rPr>
        <w:t>Le montage d</w:t>
      </w:r>
      <w:r>
        <w:rPr>
          <w:lang w:val="fr-FR" w:eastAsia="fr-FR"/>
        </w:rPr>
        <w:t>’</w:t>
      </w:r>
      <w:r w:rsidRPr="00B155E0">
        <w:rPr>
          <w:lang w:val="fr-FR" w:eastAsia="fr-FR"/>
        </w:rPr>
        <w:t>un AFS n</w:t>
      </w:r>
      <w:r>
        <w:rPr>
          <w:lang w:val="fr-FR" w:eastAsia="fr-FR"/>
        </w:rPr>
        <w:t>’</w:t>
      </w:r>
      <w:r w:rsidRPr="00B155E0">
        <w:rPr>
          <w:lang w:val="fr-FR" w:eastAsia="fr-FR"/>
        </w:rPr>
        <w:t>est autorisé que si le véhicule est aussi équipé de dispositifs de nettoyage des projecteurs conformes au Règlement</w:t>
      </w:r>
      <w:r w:rsidR="002B77AC">
        <w:rPr>
          <w:lang w:val="fr-FR" w:eastAsia="fr-FR"/>
        </w:rPr>
        <w:t xml:space="preserve"> </w:t>
      </w:r>
      <w:r w:rsidRPr="00B155E0">
        <w:rPr>
          <w:lang w:val="fr-FR" w:eastAsia="fr-FR"/>
        </w:rPr>
        <w:t>n</w:t>
      </w:r>
      <w:r w:rsidRPr="00B155E0">
        <w:rPr>
          <w:vertAlign w:val="superscript"/>
          <w:lang w:val="fr-FR" w:eastAsia="fr-FR"/>
        </w:rPr>
        <w:t>o</w:t>
      </w:r>
      <w:r w:rsidRPr="00B155E0">
        <w:rPr>
          <w:lang w:val="fr-FR" w:eastAsia="fr-FR"/>
        </w:rPr>
        <w:t> </w:t>
      </w:r>
      <w:r w:rsidRPr="00B155E0">
        <w:rPr>
          <w:lang w:val="fr-FR"/>
        </w:rPr>
        <w:t>45</w:t>
      </w:r>
      <w:r w:rsidRPr="002B77AC">
        <w:rPr>
          <w:sz w:val="18"/>
          <w:szCs w:val="18"/>
          <w:vertAlign w:val="superscript"/>
          <w:lang w:val="fr-FR"/>
        </w:rPr>
        <w:t>18</w:t>
      </w:r>
      <w:r w:rsidRPr="00B155E0">
        <w:rPr>
          <w:lang w:val="fr-FR" w:eastAsia="fr-FR"/>
        </w:rPr>
        <w:t>, au moins sur les unités d</w:t>
      </w:r>
      <w:r>
        <w:rPr>
          <w:lang w:val="fr-FR" w:eastAsia="fr-FR"/>
        </w:rPr>
        <w:t>’</w:t>
      </w:r>
      <w:r w:rsidRPr="00B155E0">
        <w:rPr>
          <w:lang w:val="fr-FR" w:eastAsia="fr-FR"/>
        </w:rPr>
        <w:t xml:space="preserve">éclairage énumérées </w:t>
      </w:r>
      <w:bookmarkStart w:id="33" w:name="_Hlk491721912"/>
      <w:r w:rsidRPr="00B155E0">
        <w:rPr>
          <w:lang w:val="fr-FR" w:eastAsia="fr-FR"/>
        </w:rPr>
        <w:t>au point</w:t>
      </w:r>
      <w:r w:rsidR="002B77AC">
        <w:rPr>
          <w:lang w:val="fr-FR" w:eastAsia="fr-FR"/>
        </w:rPr>
        <w:t xml:space="preserve"> </w:t>
      </w:r>
      <w:r w:rsidRPr="00B155E0">
        <w:rPr>
          <w:lang w:val="fr-FR" w:eastAsia="fr-FR"/>
        </w:rPr>
        <w:t>9.3 de la fiche de communication conforme au modèle de l</w:t>
      </w:r>
      <w:r>
        <w:rPr>
          <w:lang w:val="fr-FR" w:eastAsia="fr-FR"/>
        </w:rPr>
        <w:t>’</w:t>
      </w:r>
      <w:r w:rsidRPr="00B155E0">
        <w:rPr>
          <w:lang w:val="fr-FR" w:eastAsia="fr-FR"/>
        </w:rPr>
        <w:t>annexe</w:t>
      </w:r>
      <w:r w:rsidR="002B77AC">
        <w:rPr>
          <w:lang w:val="fr-FR" w:eastAsia="fr-FR"/>
        </w:rPr>
        <w:t xml:space="preserve"> </w:t>
      </w:r>
      <w:r w:rsidRPr="00B155E0">
        <w:rPr>
          <w:lang w:val="fr-FR" w:eastAsia="fr-FR"/>
        </w:rPr>
        <w:t>1 du Règlement n</w:t>
      </w:r>
      <w:r w:rsidRPr="00B155E0">
        <w:rPr>
          <w:vertAlign w:val="superscript"/>
          <w:lang w:val="fr-FR" w:eastAsia="fr-FR"/>
        </w:rPr>
        <w:t>o</w:t>
      </w:r>
      <w:r w:rsidRPr="00B155E0">
        <w:rPr>
          <w:lang w:val="fr-FR" w:eastAsia="fr-FR"/>
        </w:rPr>
        <w:t> 123</w:t>
      </w:r>
      <w:bookmarkEnd w:id="33"/>
      <w:r w:rsidRPr="00B155E0">
        <w:rPr>
          <w:lang w:val="fr-FR" w:eastAsia="fr-FR"/>
        </w:rPr>
        <w:t xml:space="preserve"> </w:t>
      </w:r>
      <w:r w:rsidRPr="00B155E0">
        <w:rPr>
          <w:b/>
          <w:lang w:val="fr-FR" w:eastAsia="fr-FR"/>
        </w:rPr>
        <w:t>ou au point</w:t>
      </w:r>
      <w:r w:rsidR="002B77AC">
        <w:rPr>
          <w:b/>
          <w:lang w:val="fr-FR" w:eastAsia="fr-FR"/>
        </w:rPr>
        <w:t xml:space="preserve"> </w:t>
      </w:r>
      <w:r w:rsidRPr="00B155E0">
        <w:rPr>
          <w:b/>
          <w:lang w:val="fr-FR" w:eastAsia="fr-FR"/>
        </w:rPr>
        <w:t>9.3.3 de l</w:t>
      </w:r>
      <w:r>
        <w:rPr>
          <w:b/>
          <w:lang w:val="fr-FR" w:eastAsia="fr-FR"/>
        </w:rPr>
        <w:t>’</w:t>
      </w:r>
      <w:r w:rsidRPr="00B155E0">
        <w:rPr>
          <w:b/>
          <w:lang w:val="fr-FR" w:eastAsia="fr-FR"/>
        </w:rPr>
        <w:t>annexe</w:t>
      </w:r>
      <w:r w:rsidR="002B77AC">
        <w:rPr>
          <w:b/>
          <w:lang w:val="fr-FR" w:eastAsia="fr-FR"/>
        </w:rPr>
        <w:t xml:space="preserve"> </w:t>
      </w:r>
      <w:r w:rsidRPr="00B155E0">
        <w:rPr>
          <w:b/>
          <w:lang w:val="fr-FR" w:eastAsia="fr-FR"/>
        </w:rPr>
        <w:t>1 du Règlement n</w:t>
      </w:r>
      <w:r w:rsidRPr="00B155E0">
        <w:rPr>
          <w:b/>
          <w:vertAlign w:val="superscript"/>
          <w:lang w:val="fr-FR" w:eastAsia="fr-FR"/>
        </w:rPr>
        <w:t>o</w:t>
      </w:r>
      <w:r w:rsidRPr="00B155E0">
        <w:rPr>
          <w:b/>
          <w:lang w:val="fr-FR" w:eastAsia="fr-FR"/>
        </w:rPr>
        <w:t> [RID]</w:t>
      </w:r>
      <w:r w:rsidRPr="00B155E0">
        <w:rPr>
          <w:lang w:val="fr-FR" w:eastAsia="fr-FR"/>
        </w:rPr>
        <w:t>, si le flux lumineux normal total des sources lumineuses de ces unités d</w:t>
      </w:r>
      <w:r>
        <w:rPr>
          <w:lang w:val="fr-FR" w:eastAsia="fr-FR"/>
        </w:rPr>
        <w:t>’</w:t>
      </w:r>
      <w:r w:rsidRPr="00B155E0">
        <w:rPr>
          <w:lang w:val="fr-FR" w:eastAsia="fr-FR"/>
        </w:rPr>
        <w:t>éclairage dépasse 2</w:t>
      </w:r>
      <w:r w:rsidR="002B77AC">
        <w:rPr>
          <w:lang w:val="fr-FR" w:eastAsia="fr-FR"/>
        </w:rPr>
        <w:t> </w:t>
      </w:r>
      <w:r w:rsidRPr="00B155E0">
        <w:rPr>
          <w:lang w:val="fr-FR" w:eastAsia="fr-FR"/>
        </w:rPr>
        <w:t>000</w:t>
      </w:r>
      <w:r w:rsidR="002B77AC">
        <w:rPr>
          <w:lang w:val="fr-FR" w:eastAsia="fr-FR"/>
        </w:rPr>
        <w:t xml:space="preserve"> </w:t>
      </w:r>
      <w:r w:rsidRPr="00B155E0">
        <w:rPr>
          <w:lang w:val="fr-FR" w:eastAsia="fr-FR"/>
        </w:rPr>
        <w:t xml:space="preserve">lm par côté, et si ces unités contribuent au faisceau de croisement (élémentaire) </w:t>
      </w:r>
      <w:r>
        <w:rPr>
          <w:lang w:val="fr-FR" w:eastAsia="fr-FR"/>
        </w:rPr>
        <w:t xml:space="preserve">de </w:t>
      </w:r>
      <w:r w:rsidRPr="00B155E0">
        <w:rPr>
          <w:lang w:val="fr-FR" w:eastAsia="fr-FR"/>
        </w:rPr>
        <w:t>classe</w:t>
      </w:r>
      <w:r w:rsidR="002B77AC">
        <w:rPr>
          <w:lang w:val="fr-FR" w:eastAsia="fr-FR"/>
        </w:rPr>
        <w:t xml:space="preserve"> </w:t>
      </w:r>
      <w:r w:rsidRPr="00B155E0">
        <w:rPr>
          <w:lang w:val="fr-FR" w:eastAsia="fr-FR"/>
        </w:rPr>
        <w:t>C</w:t>
      </w:r>
      <w:r w:rsidRPr="00B155E0">
        <w:rPr>
          <w:lang w:val="fr-FR"/>
        </w:rPr>
        <w:t>.</w:t>
      </w:r>
      <w:r>
        <w:rPr>
          <w:lang w:val="fr-FR"/>
        </w:rPr>
        <w:t> ».</w:t>
      </w:r>
    </w:p>
    <w:p w:rsidR="00B32AD9" w:rsidRPr="00B155E0" w:rsidRDefault="00B32AD9" w:rsidP="00B32AD9">
      <w:pPr>
        <w:pStyle w:val="SingleTxtG"/>
        <w:rPr>
          <w:i/>
          <w:lang w:val="fr-FR"/>
        </w:rPr>
      </w:pPr>
      <w:r w:rsidRPr="00B155E0">
        <w:rPr>
          <w:i/>
          <w:lang w:val="fr-FR"/>
        </w:rPr>
        <w:t>Paragraphe 6.22.9.5</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6.22.9.5</w:t>
      </w:r>
      <w:r w:rsidRPr="00B155E0">
        <w:rPr>
          <w:lang w:val="fr-FR"/>
        </w:rPr>
        <w:tab/>
      </w:r>
      <w:r w:rsidRPr="00B155E0">
        <w:rPr>
          <w:lang w:val="fr-FR" w:eastAsia="fr-FR"/>
        </w:rPr>
        <w:t>Les moyens permettant, conformément aux dispositions du paragraphe</w:t>
      </w:r>
      <w:r w:rsidR="00640575">
        <w:rPr>
          <w:lang w:val="fr-FR" w:eastAsia="fr-FR"/>
        </w:rPr>
        <w:t xml:space="preserve"> </w:t>
      </w:r>
      <w:r w:rsidRPr="00B155E0">
        <w:rPr>
          <w:lang w:val="fr-FR" w:eastAsia="fr-FR"/>
        </w:rPr>
        <w:t>5.8 du Règlement n</w:t>
      </w:r>
      <w:r w:rsidRPr="00B155E0">
        <w:rPr>
          <w:vertAlign w:val="superscript"/>
          <w:lang w:val="fr-FR" w:eastAsia="fr-FR"/>
        </w:rPr>
        <w:t>o</w:t>
      </w:r>
      <w:r w:rsidRPr="00B155E0">
        <w:rPr>
          <w:lang w:val="fr-FR" w:eastAsia="fr-FR"/>
        </w:rPr>
        <w:t xml:space="preserve"> 123 </w:t>
      </w:r>
      <w:r w:rsidRPr="00B155E0">
        <w:rPr>
          <w:b/>
          <w:lang w:val="fr-FR" w:eastAsia="fr-FR"/>
        </w:rPr>
        <w:t>ou</w:t>
      </w:r>
      <w:r w:rsidRPr="00B155E0">
        <w:rPr>
          <w:lang w:val="fr-FR"/>
        </w:rPr>
        <w:t xml:space="preserve"> </w:t>
      </w:r>
      <w:r w:rsidRPr="00B155E0">
        <w:rPr>
          <w:b/>
          <w:lang w:val="fr-FR" w:eastAsia="fr-FR"/>
        </w:rPr>
        <w:t>au paragraphe</w:t>
      </w:r>
      <w:r w:rsidR="00640575">
        <w:rPr>
          <w:b/>
          <w:lang w:val="fr-FR" w:eastAsia="fr-FR"/>
        </w:rPr>
        <w:t xml:space="preserve"> </w:t>
      </w:r>
      <w:r w:rsidRPr="00B155E0">
        <w:rPr>
          <w:b/>
          <w:lang w:val="fr-FR" w:eastAsia="fr-FR"/>
        </w:rPr>
        <w:t>4.12 du Règlement n</w:t>
      </w:r>
      <w:r w:rsidRPr="00B155E0">
        <w:rPr>
          <w:b/>
          <w:vertAlign w:val="superscript"/>
          <w:lang w:val="fr-FR" w:eastAsia="fr-FR"/>
        </w:rPr>
        <w:t>o</w:t>
      </w:r>
      <w:r w:rsidRPr="00B155E0">
        <w:rPr>
          <w:b/>
          <w:lang w:val="fr-FR" w:eastAsia="fr-FR"/>
        </w:rPr>
        <w:t> [RID]</w:t>
      </w:r>
      <w:r w:rsidRPr="00B155E0">
        <w:rPr>
          <w:lang w:val="fr-FR" w:eastAsia="fr-FR"/>
        </w:rPr>
        <w:t>, à un véhicule d</w:t>
      </w:r>
      <w:r>
        <w:rPr>
          <w:lang w:val="fr-FR" w:eastAsia="fr-FR"/>
        </w:rPr>
        <w:t>’</w:t>
      </w:r>
      <w:r w:rsidRPr="00B155E0">
        <w:rPr>
          <w:lang w:val="fr-FR" w:eastAsia="fr-FR"/>
        </w:rPr>
        <w:t xml:space="preserve">être </w:t>
      </w:r>
      <w:r>
        <w:rPr>
          <w:lang w:val="fr-FR" w:eastAsia="fr-FR"/>
        </w:rPr>
        <w:t>temporai</w:t>
      </w:r>
      <w:r w:rsidRPr="00B155E0">
        <w:rPr>
          <w:lang w:val="fr-FR" w:eastAsia="fr-FR"/>
        </w:rPr>
        <w:t>rement conduit dans un pays où la circulation se fait du côté opposé à celui pour lequel l</w:t>
      </w:r>
      <w:r>
        <w:rPr>
          <w:lang w:val="fr-FR" w:eastAsia="fr-FR"/>
        </w:rPr>
        <w:t>’</w:t>
      </w:r>
      <w:r w:rsidRPr="00B155E0">
        <w:rPr>
          <w:lang w:val="fr-FR" w:eastAsia="fr-FR"/>
        </w:rPr>
        <w:t>homologation est demandée, doivent être expliqués en détail dans le manuel d</w:t>
      </w:r>
      <w:r>
        <w:rPr>
          <w:lang w:val="fr-FR" w:eastAsia="fr-FR"/>
        </w:rPr>
        <w:t>’</w:t>
      </w:r>
      <w:r w:rsidRPr="00B155E0">
        <w:rPr>
          <w:lang w:val="fr-FR" w:eastAsia="fr-FR"/>
        </w:rPr>
        <w:t xml:space="preserve">utilisation </w:t>
      </w:r>
      <w:r w:rsidR="00640575">
        <w:rPr>
          <w:lang w:val="fr-FR" w:eastAsia="fr-FR"/>
        </w:rPr>
        <w:t xml:space="preserve">du </w:t>
      </w:r>
      <w:r w:rsidRPr="00B155E0">
        <w:rPr>
          <w:lang w:val="fr-FR" w:eastAsia="fr-FR"/>
        </w:rPr>
        <w:t>véhicule</w:t>
      </w:r>
      <w:r w:rsidRPr="00B155E0">
        <w:rPr>
          <w:lang w:val="fr-FR"/>
        </w:rPr>
        <w:t>.</w:t>
      </w:r>
      <w:r>
        <w:rPr>
          <w:lang w:val="fr-FR"/>
        </w:rPr>
        <w:t> ».</w:t>
      </w:r>
    </w:p>
    <w:p w:rsidR="00B32AD9" w:rsidRPr="00B155E0" w:rsidRDefault="00B32AD9" w:rsidP="00B32AD9">
      <w:pPr>
        <w:pStyle w:val="SingleTxtG"/>
        <w:rPr>
          <w:i/>
          <w:lang w:val="fr-FR"/>
        </w:rPr>
      </w:pPr>
      <w:r w:rsidRPr="00B155E0">
        <w:rPr>
          <w:i/>
          <w:lang w:val="fr-FR"/>
        </w:rPr>
        <w:t>Paragraphe 6.26</w:t>
      </w:r>
      <w:r w:rsidRPr="00B155E0">
        <w:rPr>
          <w:lang w:val="fr-FR"/>
        </w:rPr>
        <w:t>, modifier comme suit :</w:t>
      </w:r>
    </w:p>
    <w:p w:rsidR="00B32AD9" w:rsidRPr="00B155E0" w:rsidRDefault="00B32AD9" w:rsidP="00B32AD9">
      <w:pPr>
        <w:pStyle w:val="SingleTxtG"/>
        <w:ind w:left="2268" w:hanging="1134"/>
        <w:rPr>
          <w:lang w:val="fr-FR"/>
        </w:rPr>
      </w:pPr>
      <w:r>
        <w:rPr>
          <w:lang w:val="fr-FR"/>
        </w:rPr>
        <w:t>« </w:t>
      </w:r>
      <w:r w:rsidRPr="00B155E0">
        <w:rPr>
          <w:lang w:val="fr-FR"/>
        </w:rPr>
        <w:t>6.26</w:t>
      </w:r>
      <w:r w:rsidRPr="00B155E0">
        <w:rPr>
          <w:lang w:val="fr-FR"/>
        </w:rPr>
        <w:tab/>
      </w:r>
      <w:r w:rsidRPr="00B155E0">
        <w:rPr>
          <w:bCs/>
          <w:lang w:val="fr-FR"/>
        </w:rPr>
        <w:t>F</w:t>
      </w:r>
      <w:r w:rsidRPr="00B155E0">
        <w:rPr>
          <w:lang w:val="fr-FR"/>
        </w:rPr>
        <w:t>eu de manœuvre (</w:t>
      </w:r>
      <w:r w:rsidRPr="00B155E0">
        <w:rPr>
          <w:lang w:val="fr-FR" w:eastAsia="fr-FR"/>
        </w:rPr>
        <w:t>Règlement</w:t>
      </w:r>
      <w:r w:rsidRPr="00B155E0">
        <w:rPr>
          <w:b/>
          <w:lang w:val="fr-FR" w:eastAsia="fr-FR"/>
        </w:rPr>
        <w:t>s</w:t>
      </w:r>
      <w:r w:rsidRPr="00B155E0">
        <w:rPr>
          <w:lang w:val="fr-FR" w:eastAsia="fr-FR"/>
        </w:rPr>
        <w:t xml:space="preserve"> n</w:t>
      </w:r>
      <w:r w:rsidRPr="00B155E0">
        <w:rPr>
          <w:vertAlign w:val="superscript"/>
          <w:lang w:val="fr-FR" w:eastAsia="fr-FR"/>
        </w:rPr>
        <w:t>o</w:t>
      </w:r>
      <w:r w:rsidRPr="00B155E0">
        <w:rPr>
          <w:b/>
          <w:vertAlign w:val="superscript"/>
          <w:lang w:val="fr-FR" w:eastAsia="fr-FR"/>
        </w:rPr>
        <w:t>s</w:t>
      </w:r>
      <w:r w:rsidRPr="00B155E0">
        <w:rPr>
          <w:lang w:val="fr-FR" w:eastAsia="fr-FR"/>
        </w:rPr>
        <w:t> 23</w:t>
      </w:r>
      <w:r w:rsidRPr="00B155E0">
        <w:rPr>
          <w:lang w:val="fr-FR"/>
        </w:rPr>
        <w:t xml:space="preserve"> </w:t>
      </w:r>
      <w:r w:rsidRPr="00B155E0">
        <w:rPr>
          <w:b/>
          <w:lang w:val="fr-FR"/>
        </w:rPr>
        <w:t>ou [LSD]</w:t>
      </w:r>
      <w:r w:rsidRPr="00B155E0">
        <w:rPr>
          <w:lang w:val="fr-FR"/>
        </w:rPr>
        <w:t>)</w:t>
      </w:r>
      <w:r>
        <w:rPr>
          <w:lang w:val="fr-FR"/>
        </w:rPr>
        <w:t> »</w:t>
      </w:r>
      <w:r w:rsidR="00640575">
        <w:rPr>
          <w:lang w:val="fr-FR"/>
        </w:rPr>
        <w:t>.</w:t>
      </w:r>
    </w:p>
    <w:p w:rsidR="00B32AD9" w:rsidRPr="00B155E0" w:rsidRDefault="00B32AD9" w:rsidP="00B32AD9">
      <w:pPr>
        <w:pStyle w:val="SingleTxtG"/>
        <w:rPr>
          <w:i/>
          <w:lang w:val="fr-FR"/>
        </w:rPr>
      </w:pPr>
      <w:r w:rsidRPr="00B155E0">
        <w:rPr>
          <w:i/>
          <w:lang w:val="fr-FR"/>
        </w:rPr>
        <w:t>Paragraphe 6.26.9.2</w:t>
      </w:r>
      <w:r w:rsidRPr="00B155E0">
        <w:rPr>
          <w:lang w:val="fr-FR"/>
        </w:rPr>
        <w:t>, modifier comme suit :</w:t>
      </w:r>
    </w:p>
    <w:p w:rsidR="00B32AD9" w:rsidRPr="00B155E0" w:rsidRDefault="00B32AD9" w:rsidP="00B32AD9">
      <w:pPr>
        <w:pStyle w:val="SingleTxtG"/>
        <w:ind w:left="2268" w:hanging="1134"/>
        <w:rPr>
          <w:b/>
          <w:lang w:val="fr-FR"/>
        </w:rPr>
      </w:pPr>
      <w:r>
        <w:rPr>
          <w:lang w:val="fr-FR"/>
        </w:rPr>
        <w:t>« </w:t>
      </w:r>
      <w:r w:rsidRPr="00B155E0">
        <w:rPr>
          <w:lang w:val="fr-FR"/>
        </w:rPr>
        <w:t>6.26.9.2</w:t>
      </w:r>
      <w:r w:rsidRPr="00B155E0">
        <w:rPr>
          <w:lang w:val="fr-FR"/>
        </w:rPr>
        <w:tab/>
        <w:t>À la demande du demandeur de l</w:t>
      </w:r>
      <w:r>
        <w:rPr>
          <w:lang w:val="fr-FR"/>
        </w:rPr>
        <w:t>’</w:t>
      </w:r>
      <w:r w:rsidRPr="00B155E0">
        <w:rPr>
          <w:lang w:val="fr-FR"/>
        </w:rPr>
        <w:t>homologation et avec l</w:t>
      </w:r>
      <w:r>
        <w:rPr>
          <w:lang w:val="fr-FR"/>
        </w:rPr>
        <w:t>’</w:t>
      </w:r>
      <w:r w:rsidRPr="00B155E0">
        <w:rPr>
          <w:lang w:val="fr-FR"/>
        </w:rPr>
        <w:t>accord du service technique, le respect des prescriptions du paragraphe</w:t>
      </w:r>
      <w:r w:rsidR="00640575">
        <w:rPr>
          <w:lang w:val="fr-FR"/>
        </w:rPr>
        <w:t xml:space="preserve"> </w:t>
      </w:r>
      <w:r w:rsidRPr="00B155E0">
        <w:rPr>
          <w:lang w:val="fr-FR"/>
        </w:rPr>
        <w:t>6.26.9.1 peut être vérifié sur schéma ou par simulation ou jugé réalisé si les conditions d</w:t>
      </w:r>
      <w:r>
        <w:rPr>
          <w:lang w:val="fr-FR"/>
        </w:rPr>
        <w:t>’</w:t>
      </w:r>
      <w:r w:rsidRPr="00B155E0">
        <w:rPr>
          <w:lang w:val="fr-FR"/>
        </w:rPr>
        <w:t xml:space="preserve">installation satisfont aux prescriptions </w:t>
      </w:r>
      <w:bookmarkStart w:id="34" w:name="_Hlk491722288"/>
      <w:r w:rsidRPr="00B155E0">
        <w:rPr>
          <w:lang w:val="fr-FR"/>
        </w:rPr>
        <w:t>du paragraphe</w:t>
      </w:r>
      <w:r w:rsidR="00640575">
        <w:rPr>
          <w:lang w:val="fr-FR"/>
        </w:rPr>
        <w:t xml:space="preserve"> </w:t>
      </w:r>
      <w:r w:rsidRPr="00B155E0">
        <w:rPr>
          <w:lang w:val="fr-FR"/>
        </w:rPr>
        <w:t>6.2.</w:t>
      </w:r>
      <w:r w:rsidRPr="005F0172">
        <w:rPr>
          <w:strike/>
          <w:lang w:val="fr-FR"/>
        </w:rPr>
        <w:t>3</w:t>
      </w:r>
      <w:r w:rsidRPr="00B155E0">
        <w:rPr>
          <w:b/>
          <w:lang w:val="fr-FR"/>
        </w:rPr>
        <w:t>2</w:t>
      </w:r>
      <w:r w:rsidRPr="00B155E0">
        <w:rPr>
          <w:lang w:val="fr-FR"/>
        </w:rPr>
        <w:t xml:space="preserve"> du Règlement n</w:t>
      </w:r>
      <w:r w:rsidRPr="00B155E0">
        <w:rPr>
          <w:vertAlign w:val="superscript"/>
          <w:lang w:val="fr-FR"/>
        </w:rPr>
        <w:t>o</w:t>
      </w:r>
      <w:r w:rsidRPr="00B155E0">
        <w:rPr>
          <w:lang w:val="fr-FR"/>
        </w:rPr>
        <w:t> 23</w:t>
      </w:r>
      <w:bookmarkEnd w:id="34"/>
      <w:r w:rsidRPr="00B155E0">
        <w:rPr>
          <w:lang w:val="fr-FR"/>
        </w:rPr>
        <w:t xml:space="preserve"> </w:t>
      </w:r>
      <w:r w:rsidRPr="00B155E0">
        <w:rPr>
          <w:b/>
          <w:lang w:val="fr-FR"/>
        </w:rPr>
        <w:t>ou du paragraphe</w:t>
      </w:r>
      <w:r w:rsidR="00640575">
        <w:rPr>
          <w:b/>
          <w:lang w:val="fr-FR"/>
        </w:rPr>
        <w:t xml:space="preserve"> </w:t>
      </w:r>
      <w:r>
        <w:rPr>
          <w:b/>
          <w:lang w:val="fr-FR"/>
        </w:rPr>
        <w:t>5.10.2</w:t>
      </w:r>
      <w:r w:rsidRPr="00B155E0">
        <w:rPr>
          <w:b/>
          <w:lang w:val="fr-FR"/>
        </w:rPr>
        <w:t xml:space="preserve"> du Règlement n</w:t>
      </w:r>
      <w:r w:rsidRPr="00B155E0">
        <w:rPr>
          <w:b/>
          <w:vertAlign w:val="superscript"/>
          <w:lang w:val="fr-FR"/>
        </w:rPr>
        <w:t>o</w:t>
      </w:r>
      <w:r w:rsidRPr="00B155E0">
        <w:rPr>
          <w:b/>
          <w:lang w:val="fr-FR"/>
        </w:rPr>
        <w:t> [LSD]</w:t>
      </w:r>
      <w:r w:rsidRPr="00B155E0">
        <w:rPr>
          <w:lang w:val="fr-FR"/>
        </w:rPr>
        <w:t>, comme noté dans le document d</w:t>
      </w:r>
      <w:r>
        <w:rPr>
          <w:lang w:val="fr-FR"/>
        </w:rPr>
        <w:t>’</w:t>
      </w:r>
      <w:r w:rsidRPr="00B155E0">
        <w:rPr>
          <w:lang w:val="fr-FR"/>
        </w:rPr>
        <w:t>homologation de l</w:t>
      </w:r>
      <w:r>
        <w:rPr>
          <w:lang w:val="fr-FR"/>
        </w:rPr>
        <w:t>’</w:t>
      </w:r>
      <w:r w:rsidRPr="00B155E0">
        <w:rPr>
          <w:lang w:val="fr-FR"/>
        </w:rPr>
        <w:t>annexe</w:t>
      </w:r>
      <w:r w:rsidR="00640575">
        <w:rPr>
          <w:lang w:val="fr-FR"/>
        </w:rPr>
        <w:t xml:space="preserve"> </w:t>
      </w:r>
      <w:r w:rsidRPr="00B155E0">
        <w:rPr>
          <w:lang w:val="fr-FR"/>
        </w:rPr>
        <w:t>1, au paragraphe</w:t>
      </w:r>
      <w:r w:rsidR="00640575">
        <w:rPr>
          <w:lang w:val="fr-FR"/>
        </w:rPr>
        <w:t xml:space="preserve"> </w:t>
      </w:r>
      <w:r w:rsidRPr="00B155E0">
        <w:rPr>
          <w:lang w:val="fr-FR"/>
        </w:rPr>
        <w:t>9.</w:t>
      </w:r>
      <w:r>
        <w:rPr>
          <w:lang w:val="fr-FR"/>
        </w:rPr>
        <w:t> ».</w:t>
      </w:r>
    </w:p>
    <w:p w:rsidR="00B32AD9" w:rsidRPr="00B155E0" w:rsidRDefault="00B32AD9" w:rsidP="00B32AD9">
      <w:pPr>
        <w:pStyle w:val="HChG"/>
        <w:rPr>
          <w:lang w:val="fr-FR"/>
        </w:rPr>
      </w:pPr>
      <w:r w:rsidRPr="00B155E0">
        <w:rPr>
          <w:lang w:val="fr-FR"/>
        </w:rPr>
        <w:tab/>
        <w:t>II</w:t>
      </w:r>
      <w:r>
        <w:rPr>
          <w:lang w:val="fr-FR"/>
        </w:rPr>
        <w:t>.</w:t>
      </w:r>
      <w:r w:rsidRPr="00B155E0">
        <w:rPr>
          <w:lang w:val="fr-FR"/>
        </w:rPr>
        <w:tab/>
        <w:t>Justification</w:t>
      </w:r>
    </w:p>
    <w:p w:rsidR="00B32AD9" w:rsidRPr="00B155E0" w:rsidRDefault="00B32AD9" w:rsidP="00B32AD9">
      <w:pPr>
        <w:pStyle w:val="SingleTxtG"/>
        <w:rPr>
          <w:lang w:val="fr-FR"/>
        </w:rPr>
      </w:pPr>
      <w:r w:rsidRPr="00B155E0">
        <w:rPr>
          <w:lang w:val="fr-FR"/>
        </w:rPr>
        <w:t>1</w:t>
      </w:r>
      <w:r w:rsidR="00DD4489">
        <w:rPr>
          <w:lang w:val="fr-FR"/>
        </w:rPr>
        <w:t>.</w:t>
      </w:r>
      <w:r w:rsidRPr="00B155E0">
        <w:rPr>
          <w:lang w:val="fr-FR"/>
        </w:rPr>
        <w:tab/>
        <w:t>Depuis l</w:t>
      </w:r>
      <w:r>
        <w:rPr>
          <w:lang w:val="fr-FR"/>
        </w:rPr>
        <w:t>’</w:t>
      </w:r>
      <w:r w:rsidRPr="00B155E0">
        <w:rPr>
          <w:lang w:val="fr-FR"/>
        </w:rPr>
        <w:t>entrée en application du rectificatif</w:t>
      </w:r>
      <w:r w:rsidR="00640575">
        <w:rPr>
          <w:lang w:val="fr-FR"/>
        </w:rPr>
        <w:t xml:space="preserve"> </w:t>
      </w:r>
      <w:r w:rsidRPr="00B155E0">
        <w:rPr>
          <w:lang w:val="fr-FR"/>
        </w:rPr>
        <w:t>2 à la révision</w:t>
      </w:r>
      <w:r w:rsidR="00640575">
        <w:rPr>
          <w:lang w:val="fr-FR"/>
        </w:rPr>
        <w:t xml:space="preserve"> </w:t>
      </w:r>
      <w:r w:rsidRPr="00B155E0">
        <w:rPr>
          <w:lang w:val="fr-FR"/>
        </w:rPr>
        <w:t>3 du Règlement n</w:t>
      </w:r>
      <w:r w:rsidRPr="00B155E0">
        <w:rPr>
          <w:vertAlign w:val="superscript"/>
          <w:lang w:val="fr-FR"/>
        </w:rPr>
        <w:t>o</w:t>
      </w:r>
      <w:r w:rsidRPr="00B155E0">
        <w:rPr>
          <w:lang w:val="fr-FR"/>
        </w:rPr>
        <w:t> 48, des références aux Règlements relatifs aux dispositifs d</w:t>
      </w:r>
      <w:r>
        <w:rPr>
          <w:lang w:val="fr-FR"/>
        </w:rPr>
        <w:t>’</w:t>
      </w:r>
      <w:r w:rsidRPr="00B155E0">
        <w:rPr>
          <w:lang w:val="fr-FR"/>
        </w:rPr>
        <w:t>éclairage et de signalisation lumineuse ont été insérées dans ledit Règlement n</w:t>
      </w:r>
      <w:r w:rsidRPr="00B155E0">
        <w:rPr>
          <w:vertAlign w:val="superscript"/>
          <w:lang w:val="fr-FR"/>
        </w:rPr>
        <w:t>o</w:t>
      </w:r>
      <w:r w:rsidRPr="00B155E0">
        <w:rPr>
          <w:lang w:val="fr-FR"/>
        </w:rPr>
        <w:t> 48.</w:t>
      </w:r>
    </w:p>
    <w:p w:rsidR="00B32AD9" w:rsidRDefault="00B32AD9" w:rsidP="00B32AD9">
      <w:pPr>
        <w:pStyle w:val="SingleTxtG"/>
        <w:rPr>
          <w:lang w:val="fr-FR"/>
        </w:rPr>
      </w:pPr>
      <w:r w:rsidRPr="00B155E0">
        <w:rPr>
          <w:lang w:val="fr-FR"/>
        </w:rPr>
        <w:t>2</w:t>
      </w:r>
      <w:r w:rsidR="00DD4489">
        <w:rPr>
          <w:lang w:val="fr-FR"/>
        </w:rPr>
        <w:t>.</w:t>
      </w:r>
      <w:r w:rsidRPr="00B155E0">
        <w:rPr>
          <w:lang w:val="fr-FR"/>
        </w:rPr>
        <w:tab/>
      </w:r>
      <w:r>
        <w:rPr>
          <w:lang w:val="fr-FR"/>
        </w:rPr>
        <w:t>L</w:t>
      </w:r>
      <w:r w:rsidRPr="00B155E0">
        <w:rPr>
          <w:lang w:val="fr-FR"/>
        </w:rPr>
        <w:t xml:space="preserve">es nouveaux Règlements simplifiés </w:t>
      </w:r>
      <w:r>
        <w:rPr>
          <w:lang w:val="fr-FR"/>
        </w:rPr>
        <w:t xml:space="preserve">respectivement </w:t>
      </w:r>
      <w:r w:rsidRPr="00B155E0">
        <w:rPr>
          <w:lang w:val="fr-FR"/>
        </w:rPr>
        <w:t>relatifs aux dispositifs de signalisation lumineuse</w:t>
      </w:r>
      <w:r>
        <w:rPr>
          <w:lang w:val="fr-FR"/>
        </w:rPr>
        <w:t xml:space="preserve"> (LSD)</w:t>
      </w:r>
      <w:r w:rsidRPr="00B155E0">
        <w:rPr>
          <w:lang w:val="fr-FR"/>
        </w:rPr>
        <w:t>, aux dispositifs d</w:t>
      </w:r>
      <w:r>
        <w:rPr>
          <w:lang w:val="fr-FR"/>
        </w:rPr>
        <w:t>’</w:t>
      </w:r>
      <w:r w:rsidRPr="00B155E0">
        <w:rPr>
          <w:lang w:val="fr-FR"/>
        </w:rPr>
        <w:t xml:space="preserve">éclairage de la route </w:t>
      </w:r>
      <w:r>
        <w:rPr>
          <w:lang w:val="fr-FR"/>
        </w:rPr>
        <w:t xml:space="preserve">(RID) </w:t>
      </w:r>
      <w:r w:rsidRPr="00B155E0">
        <w:rPr>
          <w:lang w:val="fr-FR"/>
        </w:rPr>
        <w:t xml:space="preserve">et aux dispositifs catadioptriques </w:t>
      </w:r>
      <w:r>
        <w:rPr>
          <w:lang w:val="fr-FR"/>
        </w:rPr>
        <w:t xml:space="preserve">(RDD) </w:t>
      </w:r>
      <w:r w:rsidRPr="00B155E0">
        <w:rPr>
          <w:lang w:val="fr-FR"/>
        </w:rPr>
        <w:t>produits par le groupe de travail informel</w:t>
      </w:r>
      <w:r w:rsidRPr="00692CEC">
        <w:t xml:space="preserve"> </w:t>
      </w:r>
      <w:r w:rsidRPr="00692CEC">
        <w:rPr>
          <w:lang w:val="fr-FR"/>
        </w:rPr>
        <w:t>chargé de la simplification des Règlements relatifs à l</w:t>
      </w:r>
      <w:r>
        <w:rPr>
          <w:lang w:val="fr-FR"/>
        </w:rPr>
        <w:t>’</w:t>
      </w:r>
      <w:r w:rsidRPr="00692CEC">
        <w:rPr>
          <w:lang w:val="fr-FR"/>
        </w:rPr>
        <w:t>éclairage et à la signalisation lumineuse</w:t>
      </w:r>
      <w:r>
        <w:rPr>
          <w:lang w:val="fr-FR"/>
        </w:rPr>
        <w:t xml:space="preserve"> rendent</w:t>
      </w:r>
      <w:r w:rsidRPr="00B155E0">
        <w:rPr>
          <w:lang w:val="fr-FR"/>
        </w:rPr>
        <w:t xml:space="preserve"> nécessaire d</w:t>
      </w:r>
      <w:r>
        <w:rPr>
          <w:lang w:val="fr-FR"/>
        </w:rPr>
        <w:t>’</w:t>
      </w:r>
      <w:r w:rsidRPr="00B155E0">
        <w:rPr>
          <w:lang w:val="fr-FR"/>
        </w:rPr>
        <w:t>introduire de nouvelles références dans le Règlement n</w:t>
      </w:r>
      <w:r w:rsidRPr="00B155E0">
        <w:rPr>
          <w:vertAlign w:val="superscript"/>
          <w:lang w:val="fr-FR"/>
        </w:rPr>
        <w:t>o</w:t>
      </w:r>
      <w:r w:rsidRPr="00B155E0">
        <w:rPr>
          <w:lang w:val="fr-FR"/>
        </w:rPr>
        <w:t> 48. La présente proposition d</w:t>
      </w:r>
      <w:r>
        <w:rPr>
          <w:lang w:val="fr-FR"/>
        </w:rPr>
        <w:t>’</w:t>
      </w:r>
      <w:r w:rsidRPr="00B155E0">
        <w:rPr>
          <w:lang w:val="fr-FR"/>
        </w:rPr>
        <w:t xml:space="preserve">amendement vise à intégrer ces références complémentaires </w:t>
      </w:r>
      <w:r>
        <w:rPr>
          <w:lang w:val="fr-FR"/>
        </w:rPr>
        <w:t>à la série 06 d’amendements au Règlement n</w:t>
      </w:r>
      <w:r w:rsidRPr="004113B5">
        <w:rPr>
          <w:vertAlign w:val="superscript"/>
          <w:lang w:val="fr-FR"/>
        </w:rPr>
        <w:t>o</w:t>
      </w:r>
      <w:r>
        <w:rPr>
          <w:lang w:val="fr-FR"/>
        </w:rPr>
        <w:t> 48</w:t>
      </w:r>
      <w:r w:rsidRPr="00B155E0">
        <w:rPr>
          <w:lang w:val="fr-FR"/>
        </w:rPr>
        <w:t>.</w:t>
      </w:r>
    </w:p>
    <w:p w:rsidR="00F9573C" w:rsidRPr="00B32AD9" w:rsidRDefault="00B32AD9" w:rsidP="00B32AD9">
      <w:pPr>
        <w:pStyle w:val="SingleTxtG"/>
        <w:spacing w:before="240" w:after="0"/>
        <w:jc w:val="center"/>
        <w:rPr>
          <w:u w:val="single"/>
        </w:rPr>
      </w:pPr>
      <w:r>
        <w:rPr>
          <w:u w:val="single"/>
        </w:rPr>
        <w:tab/>
      </w:r>
      <w:r>
        <w:rPr>
          <w:u w:val="single"/>
        </w:rPr>
        <w:tab/>
      </w:r>
      <w:r>
        <w:rPr>
          <w:u w:val="single"/>
        </w:rPr>
        <w:tab/>
      </w:r>
    </w:p>
    <w:sectPr w:rsidR="00F9573C" w:rsidRPr="00B32AD9" w:rsidSect="00CA351F">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09E" w:rsidRDefault="00FB109E" w:rsidP="00F95C08">
      <w:pPr>
        <w:spacing w:line="240" w:lineRule="auto"/>
      </w:pPr>
    </w:p>
  </w:endnote>
  <w:endnote w:type="continuationSeparator" w:id="0">
    <w:p w:rsidR="00FB109E" w:rsidRPr="00AC3823" w:rsidRDefault="00FB109E" w:rsidP="00AC3823">
      <w:pPr>
        <w:pStyle w:val="Footer"/>
      </w:pPr>
    </w:p>
  </w:endnote>
  <w:endnote w:type="continuationNotice" w:id="1">
    <w:p w:rsidR="00FB109E" w:rsidRDefault="00FB10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Gras">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1F" w:rsidRPr="00CA351F" w:rsidRDefault="00CA351F" w:rsidP="00CA351F">
    <w:pPr>
      <w:pStyle w:val="Footer"/>
      <w:tabs>
        <w:tab w:val="right" w:pos="9638"/>
      </w:tabs>
    </w:pPr>
    <w:r w:rsidRPr="00CA351F">
      <w:rPr>
        <w:b/>
        <w:sz w:val="18"/>
      </w:rPr>
      <w:fldChar w:fldCharType="begin"/>
    </w:r>
    <w:r w:rsidRPr="00CA351F">
      <w:rPr>
        <w:b/>
        <w:sz w:val="18"/>
      </w:rPr>
      <w:instrText xml:space="preserve"> PAGE  \* MERGEFORMAT </w:instrText>
    </w:r>
    <w:r w:rsidRPr="00CA351F">
      <w:rPr>
        <w:b/>
        <w:sz w:val="18"/>
      </w:rPr>
      <w:fldChar w:fldCharType="separate"/>
    </w:r>
    <w:r w:rsidR="00EE2BA6">
      <w:rPr>
        <w:b/>
        <w:noProof/>
        <w:sz w:val="18"/>
      </w:rPr>
      <w:t>4</w:t>
    </w:r>
    <w:r w:rsidRPr="00CA351F">
      <w:rPr>
        <w:b/>
        <w:sz w:val="18"/>
      </w:rPr>
      <w:fldChar w:fldCharType="end"/>
    </w:r>
    <w:r>
      <w:rPr>
        <w:b/>
        <w:sz w:val="18"/>
      </w:rPr>
      <w:tab/>
    </w:r>
    <w:r>
      <w:t>GE.18-01664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1F" w:rsidRPr="00CA351F" w:rsidRDefault="00CA351F" w:rsidP="00CA351F">
    <w:pPr>
      <w:pStyle w:val="Footer"/>
      <w:tabs>
        <w:tab w:val="right" w:pos="9638"/>
      </w:tabs>
      <w:rPr>
        <w:b/>
        <w:sz w:val="18"/>
      </w:rPr>
    </w:pPr>
    <w:r>
      <w:t>GE.18-01664</w:t>
    </w:r>
    <w:r>
      <w:tab/>
    </w:r>
    <w:r w:rsidRPr="00CA351F">
      <w:rPr>
        <w:b/>
        <w:sz w:val="18"/>
      </w:rPr>
      <w:fldChar w:fldCharType="begin"/>
    </w:r>
    <w:r w:rsidRPr="00CA351F">
      <w:rPr>
        <w:b/>
        <w:sz w:val="18"/>
      </w:rPr>
      <w:instrText xml:space="preserve"> PAGE  \* MERGEFORMAT </w:instrText>
    </w:r>
    <w:r w:rsidRPr="00CA351F">
      <w:rPr>
        <w:b/>
        <w:sz w:val="18"/>
      </w:rPr>
      <w:fldChar w:fldCharType="separate"/>
    </w:r>
    <w:r w:rsidR="00EE2BA6">
      <w:rPr>
        <w:b/>
        <w:noProof/>
        <w:sz w:val="18"/>
      </w:rPr>
      <w:t>3</w:t>
    </w:r>
    <w:r w:rsidRPr="00CA351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FA" w:rsidRPr="00CA351F" w:rsidRDefault="00CA351F" w:rsidP="00CA351F">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18-01664  (F)</w:t>
    </w:r>
    <w:r w:rsidR="00A45F4F">
      <w:rPr>
        <w:sz w:val="20"/>
      </w:rPr>
      <w:t xml:space="preserve">    140218    150218</w:t>
    </w:r>
    <w:r>
      <w:rPr>
        <w:sz w:val="20"/>
      </w:rPr>
      <w:br/>
    </w:r>
    <w:r w:rsidRPr="00CA351F">
      <w:rPr>
        <w:rFonts w:ascii="C39T30Lfz" w:hAnsi="C39T30Lfz"/>
        <w:sz w:val="56"/>
      </w:rPr>
      <w:t></w:t>
    </w:r>
    <w:r w:rsidRPr="00CA351F">
      <w:rPr>
        <w:rFonts w:ascii="C39T30Lfz" w:hAnsi="C39T30Lfz"/>
        <w:sz w:val="56"/>
      </w:rPr>
      <w:t></w:t>
    </w:r>
    <w:r w:rsidRPr="00CA351F">
      <w:rPr>
        <w:rFonts w:ascii="C39T30Lfz" w:hAnsi="C39T30Lfz"/>
        <w:sz w:val="56"/>
      </w:rPr>
      <w:t></w:t>
    </w:r>
    <w:r w:rsidRPr="00CA351F">
      <w:rPr>
        <w:rFonts w:ascii="C39T30Lfz" w:hAnsi="C39T30Lfz"/>
        <w:sz w:val="56"/>
      </w:rPr>
      <w:t></w:t>
    </w:r>
    <w:r w:rsidRPr="00CA351F">
      <w:rPr>
        <w:rFonts w:ascii="C39T30Lfz" w:hAnsi="C39T30Lfz"/>
        <w:sz w:val="56"/>
      </w:rPr>
      <w:t></w:t>
    </w:r>
    <w:r w:rsidRPr="00CA351F">
      <w:rPr>
        <w:rFonts w:ascii="C39T30Lfz" w:hAnsi="C39T30Lfz"/>
        <w:sz w:val="56"/>
      </w:rPr>
      <w:t></w:t>
    </w:r>
    <w:r w:rsidRPr="00CA351F">
      <w:rPr>
        <w:rFonts w:ascii="C39T30Lfz" w:hAnsi="C39T30Lfz"/>
        <w:sz w:val="56"/>
      </w:rPr>
      <w:t></w:t>
    </w:r>
    <w:r w:rsidRPr="00CA351F">
      <w:rPr>
        <w:rFonts w:ascii="C39T30Lfz" w:hAnsi="C39T30Lfz"/>
        <w:sz w:val="56"/>
      </w:rPr>
      <w:t></w:t>
    </w:r>
    <w:r w:rsidRPr="00CA351F">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8/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09E" w:rsidRPr="00AC3823" w:rsidRDefault="00FB109E" w:rsidP="00AC3823">
      <w:pPr>
        <w:pStyle w:val="Footer"/>
        <w:tabs>
          <w:tab w:val="right" w:pos="2155"/>
        </w:tabs>
        <w:spacing w:after="80" w:line="240" w:lineRule="atLeast"/>
        <w:ind w:left="680"/>
        <w:rPr>
          <w:u w:val="single"/>
        </w:rPr>
      </w:pPr>
      <w:r>
        <w:rPr>
          <w:u w:val="single"/>
        </w:rPr>
        <w:tab/>
      </w:r>
    </w:p>
  </w:footnote>
  <w:footnote w:type="continuationSeparator" w:id="0">
    <w:p w:rsidR="00FB109E" w:rsidRPr="00AC3823" w:rsidRDefault="00FB109E" w:rsidP="00AC3823">
      <w:pPr>
        <w:pStyle w:val="Footer"/>
        <w:tabs>
          <w:tab w:val="right" w:pos="2155"/>
        </w:tabs>
        <w:spacing w:after="80" w:line="240" w:lineRule="atLeast"/>
        <w:ind w:left="680"/>
        <w:rPr>
          <w:u w:val="single"/>
        </w:rPr>
      </w:pPr>
      <w:r>
        <w:rPr>
          <w:u w:val="single"/>
        </w:rPr>
        <w:tab/>
      </w:r>
    </w:p>
  </w:footnote>
  <w:footnote w:type="continuationNotice" w:id="1">
    <w:p w:rsidR="00FB109E" w:rsidRPr="00AC3823" w:rsidRDefault="00FB109E">
      <w:pPr>
        <w:spacing w:line="240" w:lineRule="auto"/>
        <w:rPr>
          <w:sz w:val="2"/>
          <w:szCs w:val="2"/>
        </w:rPr>
      </w:pPr>
    </w:p>
  </w:footnote>
  <w:footnote w:id="2">
    <w:p w:rsidR="00B32AD9" w:rsidRPr="00695DBC" w:rsidRDefault="00B32AD9" w:rsidP="00B32AD9">
      <w:pPr>
        <w:pStyle w:val="FootnoteText"/>
      </w:pPr>
      <w:r w:rsidRPr="00695DBC">
        <w:rPr>
          <w:rStyle w:val="FootnoteReference"/>
          <w:spacing w:val="-1"/>
        </w:rPr>
        <w:tab/>
      </w:r>
      <w:r w:rsidRPr="00695DBC">
        <w:rPr>
          <w:rStyle w:val="FootnoteReference"/>
          <w:spacing w:val="-1"/>
          <w:sz w:val="20"/>
          <w:vertAlign w:val="baseline"/>
        </w:rPr>
        <w:t>*</w:t>
      </w:r>
      <w:r w:rsidRPr="00695DBC">
        <w:rPr>
          <w:rStyle w:val="FootnoteReference"/>
          <w:spacing w:val="-1"/>
          <w:sz w:val="20"/>
          <w:vertAlign w:val="baseline"/>
        </w:rPr>
        <w:tab/>
      </w:r>
      <w:r w:rsidRPr="00695DBC">
        <w:rPr>
          <w:spacing w:val="-1"/>
          <w:lang w:val="fr-FR"/>
        </w:rPr>
        <w:t>Conformément au programme de travail du Comité des transports intérieurs pour la période 2016-2017</w:t>
      </w:r>
      <w:r>
        <w:rPr>
          <w:lang w:val="fr-FR"/>
        </w:rPr>
        <w:t xml:space="preserve"> (ECE/TRANS/240, par. 105, et ECE/TRANS/2014/26, module 2.4), le Forum mondial a pour mission d’élaborer, d’harmoniser et de mettre à jour les Règlements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1F" w:rsidRPr="00CA351F" w:rsidRDefault="00EE2BA6">
    <w:pPr>
      <w:pStyle w:val="Header"/>
    </w:pPr>
    <w:r>
      <w:fldChar w:fldCharType="begin"/>
    </w:r>
    <w:r>
      <w:instrText xml:space="preserve"> TITLE  \* MERGEFORMAT </w:instrText>
    </w:r>
    <w:r>
      <w:fldChar w:fldCharType="separate"/>
    </w:r>
    <w:r w:rsidR="00011DC4">
      <w:t>ECE/TRANS/WP.29/GRE/2018/6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1F" w:rsidRPr="00CA351F" w:rsidRDefault="00EE2BA6" w:rsidP="00CA351F">
    <w:pPr>
      <w:pStyle w:val="Header"/>
      <w:jc w:val="right"/>
    </w:pPr>
    <w:r>
      <w:fldChar w:fldCharType="begin"/>
    </w:r>
    <w:r>
      <w:instrText xml:space="preserve"> TITLE  \* MERGEFORM</w:instrText>
    </w:r>
    <w:r>
      <w:instrText xml:space="preserve">AT </w:instrText>
    </w:r>
    <w:r>
      <w:fldChar w:fldCharType="separate"/>
    </w:r>
    <w:r w:rsidR="00011DC4">
      <w:t>ECE/TRANS/WP.29/GRE/2018/6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D2641"/>
    <w:multiLevelType w:val="hybridMultilevel"/>
    <w:tmpl w:val="A250525A"/>
    <w:lvl w:ilvl="0" w:tplc="BA34D50A">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2"/>
  </w:num>
  <w:num w:numId="16">
    <w:abstractNumId w:val="11"/>
  </w:num>
  <w:num w:numId="17">
    <w:abstractNumId w:val="10"/>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9E"/>
    <w:rsid w:val="00011DC4"/>
    <w:rsid w:val="00017F94"/>
    <w:rsid w:val="00023842"/>
    <w:rsid w:val="000334F9"/>
    <w:rsid w:val="00045FEB"/>
    <w:rsid w:val="0007796D"/>
    <w:rsid w:val="000B7790"/>
    <w:rsid w:val="00111F2F"/>
    <w:rsid w:val="001216DB"/>
    <w:rsid w:val="0014365E"/>
    <w:rsid w:val="00143C66"/>
    <w:rsid w:val="00176178"/>
    <w:rsid w:val="00183CA3"/>
    <w:rsid w:val="001A05A5"/>
    <w:rsid w:val="001F525A"/>
    <w:rsid w:val="00223272"/>
    <w:rsid w:val="0024779E"/>
    <w:rsid w:val="00257168"/>
    <w:rsid w:val="002744B8"/>
    <w:rsid w:val="002832AC"/>
    <w:rsid w:val="002B77AC"/>
    <w:rsid w:val="002D7C93"/>
    <w:rsid w:val="00305801"/>
    <w:rsid w:val="003916DE"/>
    <w:rsid w:val="003C2CF6"/>
    <w:rsid w:val="00441C3B"/>
    <w:rsid w:val="00446FE5"/>
    <w:rsid w:val="00452396"/>
    <w:rsid w:val="004837D8"/>
    <w:rsid w:val="004E468C"/>
    <w:rsid w:val="005505B7"/>
    <w:rsid w:val="00573BE5"/>
    <w:rsid w:val="0058683F"/>
    <w:rsid w:val="00586ED3"/>
    <w:rsid w:val="00596AA9"/>
    <w:rsid w:val="005F4C83"/>
    <w:rsid w:val="00640575"/>
    <w:rsid w:val="0071601D"/>
    <w:rsid w:val="007630DD"/>
    <w:rsid w:val="00780A45"/>
    <w:rsid w:val="007A62E6"/>
    <w:rsid w:val="007F20FA"/>
    <w:rsid w:val="0080684C"/>
    <w:rsid w:val="00855E9B"/>
    <w:rsid w:val="00871C75"/>
    <w:rsid w:val="008776DC"/>
    <w:rsid w:val="00903719"/>
    <w:rsid w:val="009446C0"/>
    <w:rsid w:val="009705C8"/>
    <w:rsid w:val="009C1CF4"/>
    <w:rsid w:val="009F6B74"/>
    <w:rsid w:val="00A30353"/>
    <w:rsid w:val="00A45F4F"/>
    <w:rsid w:val="00A74A69"/>
    <w:rsid w:val="00A845F5"/>
    <w:rsid w:val="00AC3823"/>
    <w:rsid w:val="00AE323C"/>
    <w:rsid w:val="00AE68F7"/>
    <w:rsid w:val="00AF0CB5"/>
    <w:rsid w:val="00B00181"/>
    <w:rsid w:val="00B00B0D"/>
    <w:rsid w:val="00B32AD9"/>
    <w:rsid w:val="00B765F7"/>
    <w:rsid w:val="00BA0CA9"/>
    <w:rsid w:val="00C02897"/>
    <w:rsid w:val="00C97039"/>
    <w:rsid w:val="00CA351F"/>
    <w:rsid w:val="00CA58EB"/>
    <w:rsid w:val="00D3439C"/>
    <w:rsid w:val="00DB1831"/>
    <w:rsid w:val="00DD3BFD"/>
    <w:rsid w:val="00DD4489"/>
    <w:rsid w:val="00DF6678"/>
    <w:rsid w:val="00E01F2C"/>
    <w:rsid w:val="00E0299A"/>
    <w:rsid w:val="00E85C74"/>
    <w:rsid w:val="00EA6547"/>
    <w:rsid w:val="00EE2BA6"/>
    <w:rsid w:val="00EE5E54"/>
    <w:rsid w:val="00EF2E22"/>
    <w:rsid w:val="00F35BAF"/>
    <w:rsid w:val="00F52730"/>
    <w:rsid w:val="00F660DF"/>
    <w:rsid w:val="00F94664"/>
    <w:rsid w:val="00F9573C"/>
    <w:rsid w:val="00F95C08"/>
    <w:rsid w:val="00FB109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ABC16D-5967-496B-B075-E49A1FC4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2588</Words>
  <Characters>14753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ECE/TRANS/WP.29/GRE/2018/6</vt:lpstr>
      <vt:lpstr>ECE/TRANS/WP.29/GRE/2018/6</vt:lpstr>
    </vt:vector>
  </TitlesOfParts>
  <Company>DCM</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ECE/TRANS/WP.29/GRE/2018/6</dc:title>
  <dc:subject/>
  <dc:creator>Nicolas MORIN</dc:creator>
  <cp:keywords/>
  <cp:lastModifiedBy>Benedicte Boudol</cp:lastModifiedBy>
  <cp:revision>2</cp:revision>
  <cp:lastPrinted>2018-02-15T06:57:00Z</cp:lastPrinted>
  <dcterms:created xsi:type="dcterms:W3CDTF">2018-02-15T09:35:00Z</dcterms:created>
  <dcterms:modified xsi:type="dcterms:W3CDTF">2018-02-15T09:35:00Z</dcterms:modified>
</cp:coreProperties>
</file>