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C027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C0279" w:rsidP="00EC0279">
            <w:pPr>
              <w:jc w:val="right"/>
            </w:pPr>
            <w:r w:rsidRPr="00EC0279">
              <w:rPr>
                <w:sz w:val="40"/>
              </w:rPr>
              <w:t>ECE</w:t>
            </w:r>
            <w:r>
              <w:t>/TRANS/WP.29/GRB/2018/10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C0279" w:rsidP="00C97039">
            <w:pPr>
              <w:spacing w:before="240"/>
            </w:pPr>
            <w:r>
              <w:t>Distr. générale</w:t>
            </w:r>
          </w:p>
          <w:p w:rsidR="00EC0279" w:rsidRDefault="00EC0279" w:rsidP="00EC0279">
            <w:pPr>
              <w:spacing w:line="240" w:lineRule="exact"/>
            </w:pPr>
            <w:r>
              <w:t>28 juin 2018</w:t>
            </w:r>
          </w:p>
          <w:p w:rsidR="00EC0279" w:rsidRDefault="00EC0279" w:rsidP="00EC0279">
            <w:pPr>
              <w:spacing w:line="240" w:lineRule="exact"/>
            </w:pPr>
            <w:r>
              <w:t>Français</w:t>
            </w:r>
          </w:p>
          <w:p w:rsidR="00EC0279" w:rsidRPr="00DB58B5" w:rsidRDefault="00EC0279" w:rsidP="00EC027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455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C0279" w:rsidRDefault="00EC027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4556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C0279" w:rsidRDefault="00EC0279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EC0279" w:rsidRDefault="00EC0279" w:rsidP="00F9573C">
      <w:pPr>
        <w:spacing w:before="120" w:line="240" w:lineRule="exact"/>
        <w:rPr>
          <w:b/>
        </w:rPr>
      </w:pPr>
      <w:r w:rsidRPr="00EC0279">
        <w:rPr>
          <w:b/>
          <w:bCs/>
          <w:lang w:val="fr-FR"/>
        </w:rPr>
        <w:t>Soixante-huitième</w:t>
      </w:r>
      <w:r>
        <w:rPr>
          <w:b/>
        </w:rPr>
        <w:t xml:space="preserve"> session</w:t>
      </w:r>
    </w:p>
    <w:p w:rsidR="00EC0279" w:rsidRDefault="00EC0279" w:rsidP="00F9573C">
      <w:pPr>
        <w:spacing w:line="240" w:lineRule="exact"/>
      </w:pPr>
      <w:r>
        <w:t xml:space="preserve">Genève, </w:t>
      </w:r>
      <w:r w:rsidRPr="00EC0279">
        <w:rPr>
          <w:lang w:val="fr-FR"/>
        </w:rPr>
        <w:t>12-14 septembre 2018</w:t>
      </w:r>
    </w:p>
    <w:p w:rsidR="00EC0279" w:rsidRDefault="00EC0279" w:rsidP="00F9573C">
      <w:pPr>
        <w:spacing w:line="240" w:lineRule="exact"/>
      </w:pPr>
      <w:r>
        <w:t xml:space="preserve">Point </w:t>
      </w:r>
      <w:r>
        <w:rPr>
          <w:lang w:val="fr-FR"/>
        </w:rPr>
        <w:t>4 a)</w:t>
      </w:r>
      <w:r>
        <w:t xml:space="preserve"> de l</w:t>
      </w:r>
      <w:r w:rsidR="0064556E">
        <w:t>’</w:t>
      </w:r>
      <w:r>
        <w:t>ordre du jour provisoire</w:t>
      </w:r>
    </w:p>
    <w:p w:rsidR="00F9573C" w:rsidRDefault="00EC0279" w:rsidP="00EC0279">
      <w:pPr>
        <w:rPr>
          <w:b/>
          <w:bCs/>
          <w:lang w:val="fr-FR"/>
        </w:rPr>
      </w:pPr>
      <w:r w:rsidRPr="00EC0279">
        <w:rPr>
          <w:b/>
          <w:lang w:val="fr-FR"/>
        </w:rPr>
        <w:t>Règlement ONU n</w:t>
      </w:r>
      <w:r w:rsidRPr="00EC0279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EC0279">
        <w:rPr>
          <w:b/>
          <w:lang w:val="fr-FR"/>
        </w:rPr>
        <w:t>51 (Bru</w:t>
      </w:r>
      <w:r>
        <w:rPr>
          <w:b/>
          <w:lang w:val="fr-FR"/>
        </w:rPr>
        <w:t>it des véhicules des catégories M et </w:t>
      </w:r>
      <w:r w:rsidRPr="00EC0279">
        <w:rPr>
          <w:b/>
          <w:lang w:val="fr-FR"/>
        </w:rPr>
        <w:t>N</w:t>
      </w:r>
      <w:r>
        <w:rPr>
          <w:b/>
          <w:lang w:val="fr-FR"/>
        </w:rPr>
        <w:t>) :</w:t>
      </w:r>
      <w:r w:rsidRPr="00EC027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EC0279">
        <w:rPr>
          <w:b/>
          <w:bCs/>
          <w:lang w:val="fr-FR"/>
        </w:rPr>
        <w:t>Extension</w:t>
      </w:r>
    </w:p>
    <w:p w:rsidR="00EC0279" w:rsidRPr="00EC0279" w:rsidRDefault="00EC0279" w:rsidP="00EC027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EC0279">
        <w:rPr>
          <w:lang w:val="fr-FR"/>
        </w:rPr>
        <w:t>Proposition de complément</w:t>
      </w:r>
      <w:r>
        <w:rPr>
          <w:lang w:val="fr-FR"/>
        </w:rPr>
        <w:t> 5 à la série 03 d</w:t>
      </w:r>
      <w:r w:rsidR="0064556E">
        <w:rPr>
          <w:lang w:val="fr-FR"/>
        </w:rPr>
        <w:t>’</w:t>
      </w:r>
      <w:r>
        <w:rPr>
          <w:lang w:val="fr-FR"/>
        </w:rPr>
        <w:t>amendements au </w:t>
      </w:r>
      <w:r w:rsidRPr="00EC0279">
        <w:rPr>
          <w:lang w:val="fr-FR"/>
        </w:rPr>
        <w:t>Règlement ONU n</w:t>
      </w:r>
      <w:r w:rsidRPr="00EC0279">
        <w:rPr>
          <w:vertAlign w:val="superscript"/>
          <w:lang w:val="fr-FR"/>
        </w:rPr>
        <w:t>o</w:t>
      </w:r>
      <w:r w:rsidR="001E1435">
        <w:rPr>
          <w:lang w:val="fr-FR"/>
        </w:rPr>
        <w:t> </w:t>
      </w:r>
      <w:r w:rsidRPr="00EC0279">
        <w:rPr>
          <w:lang w:val="fr-FR"/>
        </w:rPr>
        <w:t xml:space="preserve">51 (Bruit des véhicules </w:t>
      </w:r>
      <w:r>
        <w:rPr>
          <w:lang w:val="fr-FR"/>
        </w:rPr>
        <w:br/>
      </w:r>
      <w:r w:rsidR="001E1435">
        <w:rPr>
          <w:lang w:val="fr-FR"/>
        </w:rPr>
        <w:t>des catégories </w:t>
      </w:r>
      <w:r w:rsidRPr="00EC0279">
        <w:rPr>
          <w:lang w:val="fr-FR"/>
        </w:rPr>
        <w:t>M et</w:t>
      </w:r>
      <w:r w:rsidR="001E1435">
        <w:rPr>
          <w:lang w:val="fr-FR"/>
        </w:rPr>
        <w:t> </w:t>
      </w:r>
      <w:r w:rsidRPr="00EC0279">
        <w:rPr>
          <w:lang w:val="fr-FR"/>
        </w:rPr>
        <w:t>N)</w:t>
      </w:r>
    </w:p>
    <w:p w:rsidR="00EC0279" w:rsidRPr="00EC0279" w:rsidRDefault="00EC0279" w:rsidP="00EC027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EC0279">
        <w:rPr>
          <w:lang w:val="fr-FR"/>
        </w:rPr>
        <w:t>Communication du groupe de travail informel des prescriptions supplémentaires concernant les émissions sonores</w:t>
      </w:r>
      <w:r w:rsidRPr="00EC0279">
        <w:rPr>
          <w:b w:val="0"/>
          <w:sz w:val="20"/>
          <w:lang w:val="fr-FR"/>
        </w:rPr>
        <w:footnoteReference w:customMarkFollows="1" w:id="2"/>
        <w:t>*</w:t>
      </w:r>
    </w:p>
    <w:p w:rsidR="00EC0279" w:rsidRDefault="00EC0279" w:rsidP="00EC0279">
      <w:pPr>
        <w:pStyle w:val="SingleTxtG"/>
        <w:ind w:firstLine="567"/>
        <w:rPr>
          <w:lang w:val="fr-FR"/>
        </w:rPr>
      </w:pPr>
      <w:r w:rsidRPr="00EC0279">
        <w:rPr>
          <w:lang w:val="fr-FR"/>
        </w:rPr>
        <w:t xml:space="preserve">Le texte ci-après, établi par le groupe de travail informel des prescriptions supplémentaires concernant les émissions sonores (PSES), a pour objet de mettre à jour et de réviser </w:t>
      </w:r>
      <w:r>
        <w:rPr>
          <w:lang w:val="fr-FR"/>
        </w:rPr>
        <w:t>le complément 4 à la série </w:t>
      </w:r>
      <w:r w:rsidRPr="00EC0279">
        <w:rPr>
          <w:lang w:val="fr-FR"/>
        </w:rPr>
        <w:t>03 d</w:t>
      </w:r>
      <w:r w:rsidR="0064556E">
        <w:rPr>
          <w:lang w:val="fr-FR"/>
        </w:rPr>
        <w:t>’</w:t>
      </w:r>
      <w:r w:rsidRPr="00EC0279">
        <w:rPr>
          <w:lang w:val="fr-FR"/>
        </w:rPr>
        <w:t>amendements au Règlement ONU n</w:t>
      </w:r>
      <w:r w:rsidRPr="00EC027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C0279">
        <w:rPr>
          <w:lang w:val="fr-FR"/>
        </w:rPr>
        <w:t>51. Les modifications proposées se fondent sur le projet de complément</w:t>
      </w:r>
      <w:r>
        <w:rPr>
          <w:lang w:val="fr-FR"/>
        </w:rPr>
        <w:t> 4 à la série </w:t>
      </w:r>
      <w:r w:rsidRPr="00EC0279">
        <w:rPr>
          <w:lang w:val="fr-FR"/>
        </w:rPr>
        <w:t>03 d</w:t>
      </w:r>
      <w:r w:rsidR="0064556E">
        <w:rPr>
          <w:lang w:val="fr-FR"/>
        </w:rPr>
        <w:t>’</w:t>
      </w:r>
      <w:r w:rsidRPr="00EC0279">
        <w:rPr>
          <w:lang w:val="fr-FR"/>
        </w:rPr>
        <w:t>amendements au Règlement ONU n</w:t>
      </w:r>
      <w:r w:rsidRPr="00EC027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C0279">
        <w:rPr>
          <w:lang w:val="fr-FR"/>
        </w:rPr>
        <w:t>51, qui a été adopté par le Groupe de travail du bruit à sa soixante-septième session (ECE/TRANS/WP.29/GRB/2018/2, document informel GRB-67-17 et ECE/TRANS/WP.29/2018/63). Les modifications qu</w:t>
      </w:r>
      <w:r w:rsidR="0064556E">
        <w:rPr>
          <w:lang w:val="fr-FR"/>
        </w:rPr>
        <w:t>’</w:t>
      </w:r>
      <w:r w:rsidRPr="00EC0279">
        <w:rPr>
          <w:lang w:val="fr-FR"/>
        </w:rPr>
        <w:t>il est proposé d</w:t>
      </w:r>
      <w:r w:rsidR="0064556E">
        <w:rPr>
          <w:lang w:val="fr-FR"/>
        </w:rPr>
        <w:t>’</w:t>
      </w:r>
      <w:r w:rsidRPr="00EC0279">
        <w:rPr>
          <w:lang w:val="fr-FR"/>
        </w:rPr>
        <w:t>apporter figurent en caractères gras pour les ajouts et biffés pour les suppressions.</w:t>
      </w:r>
    </w:p>
    <w:p w:rsidR="00EC0279" w:rsidRPr="00EC0279" w:rsidRDefault="00EC0279" w:rsidP="00EC0279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EC0279">
        <w:rPr>
          <w:lang w:val="fr-FR"/>
        </w:rPr>
        <w:t xml:space="preserve">I. </w:t>
      </w:r>
      <w:r w:rsidRPr="00EC0279">
        <w:rPr>
          <w:lang w:val="fr-FR"/>
        </w:rPr>
        <w:tab/>
        <w:t>Proposition</w:t>
      </w:r>
    </w:p>
    <w:p w:rsidR="00EC0279" w:rsidRPr="00EC0279" w:rsidRDefault="00EC0279" w:rsidP="00EC0279">
      <w:pPr>
        <w:pStyle w:val="SingleTxtG"/>
      </w:pPr>
      <w:r>
        <w:rPr>
          <w:i/>
          <w:iCs/>
          <w:lang w:val="fr-FR"/>
        </w:rPr>
        <w:t>Appendice de l</w:t>
      </w:r>
      <w:r w:rsidR="0064556E">
        <w:rPr>
          <w:i/>
          <w:iCs/>
          <w:lang w:val="fr-FR"/>
        </w:rPr>
        <w:t>’</w:t>
      </w:r>
      <w:r>
        <w:rPr>
          <w:i/>
          <w:iCs/>
          <w:lang w:val="fr-FR"/>
        </w:rPr>
        <w:t>annexe </w:t>
      </w:r>
      <w:r w:rsidRPr="00EC0279">
        <w:rPr>
          <w:i/>
          <w:iCs/>
          <w:lang w:val="fr-FR"/>
        </w:rPr>
        <w:t>3, f</w:t>
      </w:r>
      <w:r>
        <w:rPr>
          <w:i/>
          <w:iCs/>
          <w:lang w:val="fr-FR"/>
        </w:rPr>
        <w:t>igure </w:t>
      </w:r>
      <w:r w:rsidRPr="00EC0279">
        <w:rPr>
          <w:i/>
          <w:iCs/>
          <w:lang w:val="fr-FR"/>
        </w:rPr>
        <w:t>3c</w:t>
      </w:r>
      <w:r w:rsidRPr="00EC0279">
        <w:rPr>
          <w:iCs/>
          <w:lang w:val="fr-FR"/>
        </w:rPr>
        <w:t>, modifier comme suit</w:t>
      </w:r>
      <w:r>
        <w:rPr>
          <w:iCs/>
          <w:lang w:val="fr-FR"/>
        </w:rPr>
        <w:t> :</w:t>
      </w:r>
    </w:p>
    <w:p w:rsidR="00EC0279" w:rsidRDefault="00EC0279" w:rsidP="006B2259">
      <w:pPr>
        <w:pStyle w:val="SingleTxtG"/>
        <w:spacing w:after="240"/>
        <w:rPr>
          <w:lang w:val="fr-FR"/>
        </w:rPr>
      </w:pPr>
      <w:r w:rsidRPr="00EC0279">
        <w:rPr>
          <w:lang w:val="fr-FR"/>
        </w:rPr>
        <w:t>« </w:t>
      </w:r>
      <w:r>
        <w:rPr>
          <w:lang w:val="fr-FR"/>
        </w:rPr>
        <w:t>Figure </w:t>
      </w:r>
      <w:r w:rsidRPr="00EC0279">
        <w:rPr>
          <w:lang w:val="fr-FR"/>
        </w:rPr>
        <w:t xml:space="preserve">3c </w:t>
      </w:r>
      <w:r>
        <w:br/>
      </w:r>
      <w:r w:rsidRPr="00EC0279">
        <w:rPr>
          <w:lang w:val="fr-FR"/>
        </w:rPr>
        <w:t>Diagramme de décision pour les véhicules soumis à essai conformément aux dispositions du paragraphe 3.1.2.1</w:t>
      </w:r>
      <w:r>
        <w:rPr>
          <w:lang w:val="fr-FR"/>
        </w:rPr>
        <w:t xml:space="preserve"> de l</w:t>
      </w:r>
      <w:r w:rsidR="0064556E">
        <w:rPr>
          <w:lang w:val="fr-FR"/>
        </w:rPr>
        <w:t>’</w:t>
      </w:r>
      <w:r>
        <w:rPr>
          <w:lang w:val="fr-FR"/>
        </w:rPr>
        <w:t>annexe </w:t>
      </w:r>
      <w:r w:rsidRPr="00EC0279">
        <w:rPr>
          <w:lang w:val="fr-FR"/>
        </w:rPr>
        <w:t xml:space="preserve">3 du présent Règlement </w:t>
      </w:r>
      <w:r>
        <w:rPr>
          <w:lang w:val="fr-FR"/>
        </w:rPr>
        <w:t>− </w:t>
      </w:r>
      <w:r w:rsidRPr="00EC0279">
        <w:rPr>
          <w:lang w:val="fr-FR"/>
        </w:rPr>
        <w:t xml:space="preserve">Sélection des rapports avec rapports </w:t>
      </w:r>
      <w:r>
        <w:rPr>
          <w:lang w:val="fr-FR"/>
        </w:rPr>
        <w:t xml:space="preserve">verrouillés − deuxième </w:t>
      </w:r>
      <w:r w:rsidRPr="00EC0279">
        <w:rPr>
          <w:lang w:val="fr-FR"/>
        </w:rPr>
        <w:t>partie »</w:t>
      </w:r>
    </w:p>
    <w:p w:rsidR="00EC0279" w:rsidRDefault="00EC0279" w:rsidP="00EC0279">
      <w:pPr>
        <w:pStyle w:val="SingleTxtG"/>
        <w:rPr>
          <w:lang w:val="fr-FR"/>
        </w:rPr>
      </w:pPr>
      <w:r w:rsidRPr="00F5412A">
        <w:rPr>
          <w:b/>
          <w:noProof/>
          <w:color w:val="E36C0A"/>
          <w:lang w:eastAsia="fr-CH"/>
        </w:rPr>
        <mc:AlternateContent>
          <mc:Choice Requires="wpg">
            <w:drawing>
              <wp:inline distT="0" distB="0" distL="0" distR="0" wp14:anchorId="514EFC9E" wp14:editId="5E3E26DE">
                <wp:extent cx="5216709" cy="5447328"/>
                <wp:effectExtent l="0" t="0" r="22225" b="20320"/>
                <wp:docPr id="4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16709" cy="5447328"/>
                          <a:chOff x="2328" y="3296"/>
                          <a:chExt cx="7343" cy="7748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5519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5485"/>
                            <a:ext cx="69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L'accélération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-elle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m/sec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? et le régime moteur est-il inférieur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S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 w:rsidR="004A715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8763"/>
                            <a:ext cx="2077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+1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, (</w:t>
                              </w:r>
                              <w:r w:rsidRPr="00EC027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4A7153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2, </w:t>
                              </w:r>
                              <w:r w:rsidRPr="00EC0279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4A7153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3, ou,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="004A715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="004A715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conformément à 3.1.3.1. et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, conformément à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3.1.2.1.4.1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10504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42179" w:rsidRDefault="00EC0279" w:rsidP="00E421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r w:rsidRPr="00E421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L 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 w:rsid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des résultats d'essais valables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3296"/>
                            <a:ext cx="2895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stable supérieure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wot ref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0E5A9F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une accélération stable inférieure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ref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296"/>
                            <a:ext cx="2894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 :</w:t>
                              </w:r>
                            </w:p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m/sec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3" y="5370"/>
                            <a:ext cx="10" cy="3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0E5A9F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 (n</w:t>
                              </w:r>
                              <w:r w:rsidR="00016E4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=</w:t>
                              </w:r>
                              <w:r w:rsidR="00016E4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1,2,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...)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m/sec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un régime moteur inférieur à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BB'</w:t>
                              </w:r>
                            </w:p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40" y="5291"/>
                            <a:ext cx="251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L'accélération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016E46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016E46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n </w:t>
                              </w:r>
                              <w:r w:rsidR="00016E4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est-elle supérieure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5876"/>
                            <a:ext cx="379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142"/>
                            <a:ext cx="2079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rapport 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 w:rsidR="000E5A9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4" y="5351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" y="554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15" cy="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95" y="4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7" y="5842"/>
                            <a:ext cx="7" cy="3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5888"/>
                            <a:ext cx="80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069"/>
                            <a:ext cx="2045" cy="1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supérieure à 2,0 m/sec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, (i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2, i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4A715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3, ou...)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72" y="5822"/>
                            <a:ext cx="14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73" y="985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65" y="985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="006B225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BB'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7358"/>
                            <a:ext cx="1231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6" y="6658"/>
                            <a:ext cx="1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6690"/>
                            <a:ext cx="69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6664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279" w:rsidRPr="00EC0279" w:rsidRDefault="00EC0279" w:rsidP="00EC0279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EFC9E" id="Groupe 1" o:spid="_x0000_s1026" style="width:410.75pt;height:428.9pt;mso-position-horizontal-relative:char;mso-position-vertical-relative:line" coordorigin="2328,3296" coordsize="7343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KCagkAALZjAAAOAAAAZHJzL2Uyb0RvYy54bWzsXVtzm0gWft+q/Q8U74po6AuooqQSXzJb&#10;ldlJVTL7jiUkUSsBAzhSZmr++57T3TQI2ZFkr7Fk4wcXEgJ1n/7O7Tun0dv3m9XS+h7lRZwmY5u8&#10;cWwrSibpNE7mY/v3b9cD37aKMkym4TJNorH9Iyrs9+/++Y+362wUuekiXU6j3IKbJMVonY3tRVlm&#10;o+GwmCyiVVi8SbMogZOzNF+FJbzM58NpHq7h7qvl0HUcPlyn+TTL00lUFPDupTppv5P3n82iSfnb&#10;bFZEpbUc2zC2Uv7P5f8b/D989zYczfMwW8QTPYzwAaNYhXECX2pudRmWoXWbxzu3WsWTPC3SWflm&#10;kq6G6WwWTyI5B5gNcVqz+ZSnt5mcy3y0nmdGTCDalpwefNvJv79/ya14OrapbSXhCpZIfmtkEZTN&#10;OpuP4COf8uxr9iVXE4TDz+nkv4WVpBeLMJlHH4oM5Ayrj1cM25fg67m63rpZ/5pO4SvC2zKV4trM&#10;8hXeFQRhbeSq/DCrEm1KawJvMpdw4QS2NYFzjFLhub5at8kCFhevc/EtC057bsCrc1f6euFRT10s&#10;BJVXDsOR+mI5WD04nCxgsKjFXDxOzF8XYRbJ1StQhlrMrBLzB5CB/IgFw5Oilh+r5FzcK+Ra7nme&#10;rhdROIWBErht+g1EdjWNG0vRuCXOroBF3LsItTAp14KulkKAymlRUpfJ5a5EGY6yvCg/RenKwoOx&#10;nQMm5BqH3z8XJSKj/ggueZJex8slvB+OlsnWG/BB9Q58LVyK53AAUp3+Cpzgyr/y6YC6/GpAncvL&#10;wYfrCzrg10SwS+/y4uKS/I3fS+hoEU+nUYJfU6k2oYetqTYySimNchfpMp7i7XBIRT6/uVjm1vcQ&#10;TMu1/NMCaXxsuD0MKQSYS2tKxKXORzcYXHNfDOg1ZYNAOP7AIcHHgDs0oJfX21P6HCfR46dkrcd2&#10;wGAd5XTunZsj/3bnFo5WcQnGexmvxrZvPhSOEJJXyVQubRnGS3XcEAUOvxYFLHe10KCPCqRKGW/S&#10;6Q8AbJ4CnAB34GbgYJHmf9rWGkz22C7+uA3zyLaW/0pABwJCKdp4+YIyAKtt5c0zN80zYTKBW43t&#10;0rbU4UWp/MJtlsfzBXwTkYJJUtTUWSwhjONTo5KWTtqLjgwHrwwHarn1Md1YlLbshlVu4P1q4DsW&#10;ZMtcoELibMAyKZNTiX6vfaCBC2NBW8xIgCNQ6ilNdQBeBM20K6RrNYa2Vv0DrUNDhw5UtcpoGLvy&#10;czPS65w2ri2dKzc3G1jTGugHq59RPaN2cKBUDg7OTd3ErrpJh9fQmW7UzfM4iE+GPr4cQa1uPICo&#10;p1c3E0fveu2Td3GobjL81uF25V5eqdYBnlUSUjs5Gc93rnWuCCDjAK2jgrSCYNdnYBxQ7bj3LF6u&#10;a1DLaPwONyFx61YxyGOCNeJA/HhnsKbPnJv3AOy0cSwqQemIqyPvwQikhoBVX3CZZtbew3WExjFx&#10;hDzXdbh2UkA2SfhjgPzisg4CatlGsrSHnVtkRhygcQDJxGGOzHzugjKDDBBTmwfTEg9LPE4KySYt&#10;7JHcIN7QDraRLNPXzpHsCgJpMiC5ZisxpccE2vUDIAgxtiCEPZJgewFINhlXj+Qmkt0dJDNp9TpH&#10;Mic/Q7LmggJfxoiv2iSbJKYHchPI4NCVSZaENjM5MITIF4mqN002SbveJKsm335kUEiqSk6Sx1SX&#10;oBLcX+ewZss4+6WiSHXZiQodWjBP8ZZ1ZIHxD5pjjzrbpaMdRnMJpPbB9Y5HxwtQGdQM+x1su1VK&#10;4ZR5DOW5JfDjQPSvoinw5BEUafFIhUinWWVpELhbNZzDKwY4O4QBFPM6IufRDLaCC2Yy404TPmOS&#10;KSWthM9jhrgA4vC1R8kmH+9NctMkm/q0YeCYyYy7BTLHYh6YXuYG0szXRtllRDMXfboHzE5FLPVA&#10;bgJ5t17KTGLcKZB9gUEEAhk4OFyrGsie0G0trvcsBByOpeFuf9Z20ddL76+XSiLccAlHqiFgQ3Us&#10;wIHqVoCDsy2bomFuB0Imi+9U7bggqk0B2kJkKFarHTDfWu/48+jdo8P/IztvflrBAesERgnj5SOR&#10;+7B+m0mZV90AJ95xA4W/rfTUJPGA4y7TUyAFFV/IPJUi10gmFVsoVCZ8L+19QtmpSjz63FM2OB/V&#10;uHt3Ryk0YW3B1CQ2XcOUVywKUx2tNUzdQMfre4ozPUpbneG7HS2tkO1sGBJsxmxyfSZreWKU/qfF&#10;9blAkMhonLJ2WFAZ08CXKnQ/Yd3D9OXC1FQJP2OPNTNR/enA1KO+rqycj8/vGemuGWnXFAklkKGH&#10;VAf5TwdkdE1VRcXBOjZwHpR6Lc4D/MBBLasnZGR79HaO3u3KIJeWTpe3u0y9fMYhcpXcXTta0BGt&#10;54o9tZQeyP+n7VcNpvJ8wl5TGFRmuFkUfCIgN8ywYK5iDqhGaZ2SaTNMvD1dRj16XzN6TTVQobdZ&#10;CewCvVzzXkRxlDV6De0lSzpnkan1QUTnQcRuCRAAVYfBuO+xmy584UIPnAojfBkt1Ej2HThzUEC8&#10;b0P1w/o9W3xSXwKsd2yjzTuk6ajew2XC1CMrKeCMX1AN0N2tAfLnqQFSH7ZMot4Jh7e2KrsOrZyI&#10;6+0hUp5G806rCGgC0yOh+7AiYHkmJUB8rEiDteYdlAAb4TsXonIbQOeA46rdBjYcSq/h9PF7Nw//&#10;OMvsc7s0CFxGHf08Ufx+Z4M1I1BSQTvse7DPcwvIbrWHnSoL3cfyT/4Ym3NEMuy03jLEHZQPG4YY&#10;9gWovYeBr3Zl1YZY8yh7G1F7HuUV8ygQYG6ht4OqYgO9PIDwG61vj158It+zPkLsLG2vKSWaPQFq&#10;m5QuyHTHozBH7zeEViPJ5NR2GJ5Mp0Ni7j5LL/VppXOGqT0ynXtZTAR092q7WyPXcDRQCO8OucIR&#10;issWHmsxgAT5B5nMMW9PKfE1EBGGoT0SuS+biABz14wggBd48kyuEUFA/Kt66TnfQa+CrgcdnjCi&#10;Pnvrs7c7HnoLReYdO2w8VKd2mFH9ND3OgxYTwasm5f7hlfKp1Lu9x12HOKbL4/hKjKk3HOlFXlj8&#10;Yyqgsn4PIUiXXgOe2q3yTvAaLV0TWCNC/hqec9z7jU4eXn2WmeduJVEYze7UbwiqN/FyrnoI6syT&#10;VY/R6/3G+fsNU+A70m88W/YBDzqRPw4hY2/9Qxb46xPN13Dc/LmNd/8DAAD//wMAUEsDBBQABgAI&#10;AAAAIQAuaAWC3AAAAAUBAAAPAAAAZHJzL2Rvd25yZXYueG1sTI9BS8NAEIXvgv9hGcGb3aQSDTGb&#10;Uop6KoKtIN6myTQJzc6G7DZJ/72jF70Mb3jDe9/kq9l2aqTBt44NxIsIFHHpqpZrAx/7l7sUlA/I&#10;FXaOycCFPKyK66scs8pN/E7jLtRKQthnaKAJoc+09mVDFv3C9cTiHd1gMcg61LoacJJw2+llFD1o&#10;iy1LQ4M9bRoqT7uzNfA64bS+j5/H7em4uXztk7fPbUzG3N7M6ydQgebwdww/+IIOhTAd3JkrrzoD&#10;8kj4neKlyzgBdRCRPKagi1z/py++AQAA//8DAFBLAQItABQABgAIAAAAIQC2gziS/gAAAOEBAAAT&#10;AAAAAAAAAAAAAAAAAAAAAABbQ29udGVudF9UeXBlc10ueG1sUEsBAi0AFAAGAAgAAAAhADj9If/W&#10;AAAAlAEAAAsAAAAAAAAAAAAAAAAALwEAAF9yZWxzLy5yZWxzUEsBAi0AFAAGAAgAAAAhAP/fMoJq&#10;CQAAtmMAAA4AAAAAAAAAAAAAAAAALgIAAGRycy9lMm9Eb2MueG1sUEsBAi0AFAAGAAgAAAAhAC5o&#10;BYLcAAAABQEAAA8AAAAAAAAAAAAAAAAAxAsAAGRycy9kb3ducmV2LnhtbFBLBQYAAAAABAAEAPMA&#10;AADNDAAAAAA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926;top:5519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29" type="#_x0000_t202" style="position:absolute;left:3360;top:5485;width:69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30" type="#_x0000_t202" style="position:absolute;left:2799;top:4718;width:285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L'accélération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>-elle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m/sec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? et le régime moteur est-il inférieur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S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 w:rsidR="004A7153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31" type="#_x0000_t202" style="position:absolute;left:3511;top:8763;width:2077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+1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, (</w:t>
                        </w:r>
                        <w:r w:rsidRPr="00EC0279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4A7153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2, </w:t>
                        </w:r>
                        <w:r w:rsidRPr="00EC0279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4A7153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3, ou,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="004A7153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="004A7153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conformément à 3.1.3.1. et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, conformément à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 xml:space="preserve"> 3.1.2.1.4.1</w:t>
                        </w:r>
                      </w:p>
                    </w:txbxContent>
                  </v:textbox>
                </v:shape>
                <v:shape id="Text Box 48" o:spid="_x0000_s1032" type="#_x0000_t202" style="position:absolute;left:5103;top:10504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EC0279" w:rsidRPr="00E42179" w:rsidRDefault="00EC0279" w:rsidP="00E421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r w:rsidRPr="00E421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L 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 w:rsidR="00E42179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des résultats d'essais valables</w:t>
                        </w:r>
                      </w:p>
                    </w:txbxContent>
                  </v:textbox>
                </v:shape>
                <v:shape id="Text Box 49" o:spid="_x0000_s1033" type="#_x0000_t202" style="position:absolute;left:2714;top:3296;width:289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stable supérieure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wot ref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0E5A9F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une accélération stable inférieure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ref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296;width:289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2 :</w:t>
                        </w:r>
                      </w:p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m/sec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BB'</w:t>
                        </w:r>
                      </w:p>
                    </w:txbxContent>
                  </v:textbox>
                </v:shape>
                <v:line id="Line 51" o:spid="_x0000_s1035" style="position:absolute;flip:x;visibility:visible;mso-wrap-style:square" from="4703,5370" to="471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shape id="Text Box 52" o:spid="_x0000_s1036" type="#_x0000_t202" style="position:absolute;left:6114;top:4413;width:355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0E5A9F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n (n</w:t>
                        </w:r>
                        <w:r w:rsidR="00016E46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=</w:t>
                        </w:r>
                        <w:r w:rsidR="00016E46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1,2,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...)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m/sec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un régime moteur inférieur à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BB'</w:t>
                        </w:r>
                      </w:p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40;top:5291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L'accélération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016E46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016E46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n </w:t>
                        </w:r>
                        <w:r w:rsidR="00016E46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est-elle supérieure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710;top:5876;width:37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142;width:2079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rapport 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 w:rsidR="000E5A9F">
                          <w:rPr>
                            <w:sz w:val="16"/>
                            <w:szCs w:val="16"/>
                            <w:lang w:val="fr-FR"/>
                          </w:rPr>
                          <w:t xml:space="preserve">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2894,5351" to="2909,5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603,5543" to="2900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611,4542" to="2626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0" o:spid="_x0000_s1044" style="position:absolute;visibility:visible;mso-wrap-style:square" from="4095,4436" to="4095,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flip:x;visibility:visible;mso-wrap-style:square" from="8567,5842" to="8574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7282;top:5888;width:80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069;width:204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supérieure à 2,0 m/sec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, (i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2, i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4A7153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3, ou...)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72,5822" to="6786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73,9855" to="5373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6965,9855" to="6965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14;top:6034;width:2004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="006B2259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avant BB'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4;top:7358;width:123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6,6658" to="5377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60;top:6690;width:69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410;top:6664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C0279" w:rsidRPr="00EC0279" w:rsidRDefault="00EC0279" w:rsidP="00EC0279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34CB" w:rsidRPr="003934CB" w:rsidRDefault="003934CB" w:rsidP="003934CB">
      <w:pPr>
        <w:pStyle w:val="SingleTxtG"/>
        <w:rPr>
          <w:i/>
        </w:rPr>
      </w:pPr>
      <w:r>
        <w:rPr>
          <w:i/>
          <w:lang w:val="fr-FR"/>
        </w:rPr>
        <w:br w:type="page"/>
      </w:r>
      <w:r>
        <w:rPr>
          <w:i/>
          <w:lang w:val="fr-FR"/>
        </w:rPr>
        <w:lastRenderedPageBreak/>
        <w:t>Appendice de l</w:t>
      </w:r>
      <w:r w:rsidR="0064556E">
        <w:rPr>
          <w:i/>
          <w:lang w:val="fr-FR"/>
        </w:rPr>
        <w:t>’</w:t>
      </w:r>
      <w:r>
        <w:rPr>
          <w:i/>
          <w:lang w:val="fr-FR"/>
        </w:rPr>
        <w:t>annexe </w:t>
      </w:r>
      <w:r w:rsidRPr="003934CB">
        <w:rPr>
          <w:i/>
          <w:lang w:val="fr-FR"/>
        </w:rPr>
        <w:t>3, tableau</w:t>
      </w:r>
      <w:r>
        <w:rPr>
          <w:i/>
          <w:lang w:val="fr-FR"/>
        </w:rPr>
        <w:t> </w:t>
      </w:r>
      <w:r w:rsidRPr="003934CB">
        <w:rPr>
          <w:i/>
          <w:lang w:val="fr-FR"/>
        </w:rPr>
        <w:t>1</w:t>
      </w:r>
      <w:r w:rsidRPr="003934CB">
        <w:rPr>
          <w:lang w:val="fr-FR"/>
        </w:rPr>
        <w:t>, modifier comme suit</w:t>
      </w:r>
      <w:r>
        <w:rPr>
          <w:lang w:val="fr-FR"/>
        </w:rPr>
        <w:t> :</w:t>
      </w:r>
    </w:p>
    <w:p w:rsidR="00EC0279" w:rsidRPr="000E5A9F" w:rsidRDefault="003934CB" w:rsidP="003934CB">
      <w:pPr>
        <w:pStyle w:val="SingleTxtG"/>
        <w:keepNext/>
        <w:keepLines/>
        <w:rPr>
          <w:lang w:val="fr-FR"/>
        </w:rPr>
      </w:pPr>
      <w:r>
        <w:rPr>
          <w:lang w:val="fr-FR"/>
        </w:rPr>
        <w:t>« </w:t>
      </w:r>
      <w:r w:rsidRPr="003934CB">
        <w:rPr>
          <w:lang w:val="fr-FR"/>
        </w:rPr>
        <w:t>Tableau 1 : Exemples de dispositifs et de solutions propres à permettre l</w:t>
      </w:r>
      <w:r w:rsidR="0064556E">
        <w:rPr>
          <w:lang w:val="fr-FR"/>
        </w:rPr>
        <w:t>’</w:t>
      </w:r>
      <w:r w:rsidRPr="003934CB">
        <w:rPr>
          <w:lang w:val="fr-FR"/>
        </w:rPr>
        <w:t>essai d</w:t>
      </w:r>
      <w:r w:rsidR="0064556E">
        <w:rPr>
          <w:lang w:val="fr-FR"/>
        </w:rPr>
        <w:t>’</w:t>
      </w:r>
      <w:r w:rsidRPr="003934CB">
        <w:rPr>
          <w:lang w:val="fr-FR"/>
        </w:rPr>
        <w:t xml:space="preserve">un </w:t>
      </w:r>
      <w:r w:rsidRPr="000E5A9F">
        <w:rPr>
          <w:lang w:val="fr-FR"/>
        </w:rPr>
        <w:t>véhicule dans les limites d</w:t>
      </w:r>
      <w:r w:rsidR="0064556E">
        <w:rPr>
          <w:lang w:val="fr-FR"/>
        </w:rPr>
        <w:t>’</w:t>
      </w:r>
      <w:r w:rsidRPr="000E5A9F">
        <w:rPr>
          <w:lang w:val="fr-FR"/>
        </w:rPr>
        <w:t>accélération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403"/>
        <w:gridCol w:w="466"/>
        <w:gridCol w:w="2504"/>
        <w:gridCol w:w="2504"/>
      </w:tblGrid>
      <w:tr w:rsidR="00230F34" w:rsidRPr="00230F34" w:rsidTr="00230F34">
        <w:trPr>
          <w:tblHeader/>
        </w:trPr>
        <w:tc>
          <w:tcPr>
            <w:tcW w:w="49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30F34" w:rsidRPr="00230F34" w:rsidRDefault="00230F34" w:rsidP="00230F34">
            <w:pPr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 w:rsidRPr="00230F34">
              <w:rPr>
                <w:i/>
                <w:sz w:val="16"/>
                <w:szCs w:val="16"/>
                <w:lang w:val="fr-FR"/>
              </w:rPr>
              <w:t>N</w:t>
            </w:r>
            <w:r w:rsidRPr="00230F34">
              <w:rPr>
                <w:i/>
                <w:sz w:val="16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30F34" w:rsidRPr="00230F34" w:rsidRDefault="00230F34" w:rsidP="00230F34">
            <w:pPr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 w:rsidRPr="00230F34">
              <w:rPr>
                <w:i/>
                <w:iCs/>
                <w:sz w:val="16"/>
                <w:szCs w:val="16"/>
                <w:lang w:val="fr-FR"/>
              </w:rPr>
              <w:t>Effet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30F34" w:rsidRPr="00230F34" w:rsidRDefault="004A7153" w:rsidP="00230F34">
            <w:pPr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Sous-N°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30F34" w:rsidRPr="00230F34" w:rsidRDefault="00230F34" w:rsidP="00230F34">
            <w:pPr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 w:rsidRPr="00230F34">
              <w:rPr>
                <w:i/>
                <w:iCs/>
                <w:sz w:val="16"/>
                <w:szCs w:val="16"/>
                <w:lang w:val="fr-FR"/>
              </w:rPr>
              <w:t>Solution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30F34" w:rsidRPr="00230F34" w:rsidRDefault="00230F34" w:rsidP="00230F34">
            <w:pPr>
              <w:spacing w:before="80" w:after="80" w:line="200" w:lineRule="exact"/>
              <w:ind w:right="113"/>
              <w:rPr>
                <w:bCs/>
                <w:i/>
                <w:sz w:val="16"/>
                <w:szCs w:val="16"/>
              </w:rPr>
            </w:pPr>
            <w:r w:rsidRPr="00230F34">
              <w:rPr>
                <w:i/>
                <w:iCs/>
                <w:sz w:val="16"/>
                <w:szCs w:val="16"/>
                <w:lang w:val="fr-FR"/>
              </w:rPr>
              <w:t>Dispositions supplémentaires</w:t>
            </w:r>
          </w:p>
        </w:tc>
      </w:tr>
      <w:tr w:rsidR="00230F34" w:rsidRPr="00230F34" w:rsidTr="00230F34">
        <w:trPr>
          <w:trHeight w:hRule="exact" w:val="113"/>
        </w:trPr>
        <w:tc>
          <w:tcPr>
            <w:tcW w:w="4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30F34" w:rsidRPr="00230F34" w:rsidRDefault="00230F34" w:rsidP="00230F34">
            <w:pPr>
              <w:spacing w:before="40" w:after="120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30F34" w:rsidRPr="00230F34" w:rsidRDefault="00230F34" w:rsidP="00230F34">
            <w:pPr>
              <w:spacing w:before="40" w:after="120"/>
              <w:ind w:right="113"/>
              <w:rPr>
                <w:iCs/>
                <w:sz w:val="18"/>
                <w:szCs w:val="18"/>
                <w:lang w:val="fr-FR"/>
              </w:rPr>
            </w:pPr>
          </w:p>
        </w:tc>
        <w:tc>
          <w:tcPr>
            <w:tcW w:w="46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30F34" w:rsidRPr="00230F34" w:rsidRDefault="00230F34" w:rsidP="00230F34">
            <w:pPr>
              <w:spacing w:before="40" w:after="120"/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30F34" w:rsidRPr="00230F34" w:rsidRDefault="00230F34" w:rsidP="00230F34">
            <w:pPr>
              <w:spacing w:before="40" w:after="120"/>
              <w:ind w:right="113"/>
              <w:rPr>
                <w:iCs/>
                <w:sz w:val="18"/>
                <w:szCs w:val="18"/>
                <w:lang w:val="fr-FR"/>
              </w:rPr>
            </w:pPr>
          </w:p>
        </w:tc>
        <w:tc>
          <w:tcPr>
            <w:tcW w:w="250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30F34" w:rsidRPr="00230F34" w:rsidRDefault="00230F34" w:rsidP="00230F34">
            <w:pPr>
              <w:spacing w:before="40" w:after="120"/>
              <w:ind w:right="113"/>
              <w:rPr>
                <w:iCs/>
                <w:sz w:val="18"/>
                <w:szCs w:val="18"/>
                <w:lang w:val="fr-FR"/>
              </w:rPr>
            </w:pPr>
          </w:p>
        </w:tc>
      </w:tr>
      <w:tr w:rsidR="00230F34" w:rsidRPr="00230F34" w:rsidTr="00230F34">
        <w:tc>
          <w:tcPr>
            <w:tcW w:w="49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Verrouillage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 rapport de transmission discret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1*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Un rapport de transmission disc</w:t>
            </w:r>
            <w:r>
              <w:rPr>
                <w:sz w:val="18"/>
                <w:szCs w:val="18"/>
                <w:lang w:val="fr-FR"/>
              </w:rPr>
              <w:t>ret peut être verrouillé par le </w:t>
            </w:r>
            <w:r w:rsidRPr="00230F34">
              <w:rPr>
                <w:sz w:val="18"/>
                <w:szCs w:val="18"/>
                <w:lang w:val="fr-FR"/>
              </w:rPr>
              <w:t>conducteur.</w:t>
            </w:r>
          </w:p>
        </w:tc>
        <w:tc>
          <w:tcPr>
            <w:tcW w:w="2504" w:type="dxa"/>
            <w:tcBorders>
              <w:top w:val="nil"/>
            </w:tcBorders>
            <w:shd w:val="clear" w:color="auto" w:fill="auto"/>
            <w:hideMark/>
          </w:tcPr>
          <w:p w:rsidR="00230F34" w:rsidRPr="00230F34" w:rsidRDefault="00251DFC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="00230F34" w:rsidRPr="00230F34">
              <w:rPr>
                <w:sz w:val="18"/>
                <w:szCs w:val="18"/>
                <w:lang w:val="fr-FR"/>
              </w:rPr>
              <w:t>ucune</w:t>
            </w:r>
          </w:p>
        </w:tc>
      </w:tr>
      <w:tr w:rsidR="00230F34" w:rsidRPr="00230F34" w:rsidTr="00230F34">
        <w:tc>
          <w:tcPr>
            <w:tcW w:w="49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Un rapport de transmission discret est disponible sur le véhicule, mais le conducteur n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y a pas accès. Le verrouillage peut être activé par le constructeur au moyen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une</w:t>
            </w:r>
            <w:r>
              <w:rPr>
                <w:sz w:val="18"/>
                <w:szCs w:val="18"/>
                <w:lang w:val="fr-FR"/>
              </w:rPr>
              <w:t xml:space="preserve"> fonction embarquée (cachée) ou </w:t>
            </w:r>
            <w:r w:rsidRPr="00230F34">
              <w:rPr>
                <w:sz w:val="18"/>
                <w:szCs w:val="18"/>
                <w:lang w:val="fr-FR"/>
              </w:rPr>
              <w:t>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 dispositif externe.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51DFC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="00230F34" w:rsidRPr="00230F34">
              <w:rPr>
                <w:sz w:val="18"/>
                <w:szCs w:val="18"/>
                <w:lang w:val="fr-FR"/>
              </w:rPr>
              <w:t>ucune</w:t>
            </w:r>
          </w:p>
        </w:tc>
      </w:tr>
      <w:tr w:rsidR="00230F34" w:rsidRPr="00230F34" w:rsidTr="00230F34">
        <w:tc>
          <w:tcPr>
            <w:tcW w:w="49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Gestion commandée du passage des rapports : applicable aux transmissions qui ne peuvent être verrouillées, ou lorsque aucun rapport verrouillé ne donne un résultat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essai valable.</w:t>
            </w: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1*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Le rétrogradage forcé est désactivé.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51DFC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="00230F34" w:rsidRPr="00230F34">
              <w:rPr>
                <w:sz w:val="18"/>
                <w:szCs w:val="18"/>
                <w:lang w:val="fr-FR"/>
              </w:rPr>
              <w:t>ucune</w:t>
            </w:r>
          </w:p>
        </w:tc>
      </w:tr>
      <w:tr w:rsidR="00230F34" w:rsidRPr="00230F34" w:rsidTr="00230F34">
        <w:tc>
          <w:tcPr>
            <w:tcW w:w="49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Le rapport peut changer au cours de 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essai et ce changement est commandé par 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activation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une fonction interne ou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 dispositif externe.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  <w:lang w:val="fr-FR"/>
              </w:rPr>
            </w:pPr>
            <w:r w:rsidRPr="00230F34">
              <w:rPr>
                <w:sz w:val="18"/>
                <w:szCs w:val="18"/>
                <w:lang w:val="fr-FR"/>
              </w:rPr>
              <w:t>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accélération** se situe entre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>urban</w:t>
            </w:r>
            <w:r w:rsidRPr="00230F34">
              <w:rPr>
                <w:sz w:val="18"/>
                <w:szCs w:val="18"/>
                <w:lang w:val="fr-FR"/>
              </w:rPr>
              <w:t xml:space="preserve"> et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>wot,ref</w:t>
            </w:r>
            <w:r w:rsidRPr="00230F34">
              <w:rPr>
                <w:sz w:val="18"/>
                <w:szCs w:val="18"/>
                <w:lang w:val="fr-FR"/>
              </w:rPr>
              <w:t>, mais ne dépasse pas 2,0 m/s².</w:t>
            </w:r>
          </w:p>
        </w:tc>
      </w:tr>
      <w:tr w:rsidR="00230F34" w:rsidRPr="00230F34" w:rsidTr="00230F34">
        <w:tc>
          <w:tcPr>
            <w:tcW w:w="49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trike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 xml:space="preserve">Conduite en charge partielle </w:t>
            </w:r>
            <w:r w:rsidRPr="00230F34">
              <w:rPr>
                <w:b/>
                <w:sz w:val="18"/>
                <w:szCs w:val="18"/>
                <w:lang w:val="fr-FR"/>
              </w:rPr>
              <w:t>définie</w:t>
            </w:r>
            <w:r w:rsidRPr="00230F34">
              <w:rPr>
                <w:sz w:val="18"/>
                <w:szCs w:val="18"/>
                <w:lang w:val="fr-FR"/>
              </w:rPr>
              <w:t>****</w:t>
            </w: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 xml:space="preserve">accélération est limitée par un dispositif mécanique. </w:t>
            </w:r>
          </w:p>
        </w:tc>
        <w:tc>
          <w:tcPr>
            <w:tcW w:w="2504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 xml:space="preserve">accélération </w:t>
            </w:r>
            <w:r w:rsidRPr="00230F34">
              <w:rPr>
                <w:b/>
                <w:sz w:val="18"/>
                <w:szCs w:val="18"/>
                <w:lang w:val="fr-FR"/>
              </w:rPr>
              <w:t>définie</w:t>
            </w:r>
            <w:r w:rsidRPr="00230F34">
              <w:rPr>
                <w:sz w:val="18"/>
                <w:szCs w:val="18"/>
                <w:lang w:val="fr-FR"/>
              </w:rPr>
              <w:t>** se</w:t>
            </w:r>
            <w:r w:rsidR="0064556E">
              <w:rPr>
                <w:sz w:val="18"/>
                <w:szCs w:val="18"/>
                <w:lang w:val="fr-FR"/>
              </w:rPr>
              <w:t> </w:t>
            </w:r>
            <w:r w:rsidRPr="00230F34">
              <w:rPr>
                <w:sz w:val="18"/>
                <w:szCs w:val="18"/>
                <w:lang w:val="fr-FR"/>
              </w:rPr>
              <w:t>situe</w:t>
            </w:r>
            <w:r>
              <w:rPr>
                <w:sz w:val="18"/>
                <w:szCs w:val="18"/>
                <w:lang w:val="fr-FR"/>
              </w:rPr>
              <w:t> </w:t>
            </w:r>
            <w:r w:rsidRPr="00230F34">
              <w:rPr>
                <w:sz w:val="18"/>
                <w:szCs w:val="18"/>
                <w:lang w:val="fr-FR"/>
              </w:rPr>
              <w:t>entre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 xml:space="preserve">urban </w:t>
            </w:r>
            <w:r w:rsidRPr="00230F34">
              <w:rPr>
                <w:sz w:val="18"/>
                <w:szCs w:val="18"/>
                <w:lang w:val="fr-FR"/>
              </w:rPr>
              <w:t>et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>wot,ref</w:t>
            </w:r>
            <w:r w:rsidRPr="00230F34">
              <w:rPr>
                <w:sz w:val="18"/>
                <w:szCs w:val="18"/>
                <w:lang w:val="fr-FR"/>
              </w:rPr>
              <w:t>, mais</w:t>
            </w:r>
            <w:r w:rsidR="0064556E">
              <w:rPr>
                <w:sz w:val="18"/>
                <w:szCs w:val="18"/>
                <w:lang w:val="fr-FR"/>
              </w:rPr>
              <w:t> </w:t>
            </w:r>
            <w:r w:rsidRPr="00230F34">
              <w:rPr>
                <w:sz w:val="18"/>
                <w:szCs w:val="18"/>
                <w:lang w:val="fr-FR"/>
              </w:rPr>
              <w:t>ne dépasse pas 2,0 m/s².</w:t>
            </w:r>
          </w:p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/>
                <w:sz w:val="18"/>
                <w:szCs w:val="18"/>
              </w:rPr>
            </w:pPr>
            <w:r w:rsidRPr="00230F34">
              <w:rPr>
                <w:b/>
                <w:sz w:val="18"/>
                <w:szCs w:val="18"/>
                <w:lang w:val="fr-FR"/>
              </w:rPr>
              <w:t>Pour les PSES**, les paramètres du point d</w:t>
            </w:r>
            <w:r w:rsidR="0064556E">
              <w:rPr>
                <w:b/>
                <w:sz w:val="18"/>
                <w:szCs w:val="18"/>
                <w:lang w:val="fr-FR"/>
              </w:rPr>
              <w:t>’</w:t>
            </w:r>
            <w:r w:rsidRPr="00230F34">
              <w:rPr>
                <w:b/>
                <w:sz w:val="18"/>
                <w:szCs w:val="18"/>
                <w:lang w:val="fr-FR"/>
              </w:rPr>
              <w:t>alignement sont calculés comme suit :</w:t>
            </w:r>
          </w:p>
          <w:p w:rsidR="00230F34" w:rsidRPr="004A6E04" w:rsidRDefault="00230F34" w:rsidP="00746E57">
            <w:pPr>
              <w:spacing w:before="60" w:after="60" w:line="240" w:lineRule="auto"/>
              <w:ind w:left="57" w:right="57"/>
              <w:rPr>
                <w:b/>
                <w:sz w:val="17"/>
                <w:szCs w:val="17"/>
                <w:vertAlign w:val="subscript"/>
              </w:rPr>
            </w:pPr>
            <w:r w:rsidRPr="004A6E04">
              <w:rPr>
                <w:b/>
                <w:bCs/>
                <w:sz w:val="17"/>
                <w:szCs w:val="17"/>
                <w:lang w:val="fr-FR"/>
              </w:rPr>
              <w:t>L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anchor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 xml:space="preserve"> = (L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test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 xml:space="preserve"> - k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p</w:t>
            </w:r>
            <w:r w:rsidR="004A6E04"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*</w:t>
            </w:r>
            <w:r w:rsidR="004A6E04" w:rsidRPr="004A6E04">
              <w:rPr>
                <w:b/>
                <w:bCs/>
                <w:sz w:val="17"/>
                <w:szCs w:val="17"/>
                <w:lang w:val="fr-FR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L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crs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) / (1</w:t>
            </w:r>
            <w:r w:rsidR="004A6E04" w:rsidRPr="004A6E04">
              <w:rPr>
                <w:b/>
                <w:bCs/>
                <w:sz w:val="17"/>
                <w:szCs w:val="17"/>
                <w:lang w:val="fr-FR"/>
              </w:rPr>
              <w:noBreakHyphen/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k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p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) avec k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P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 xml:space="preserve"> = 1-a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test</w:t>
            </w:r>
            <w:r w:rsidR="004A6E04"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/</w:t>
            </w:r>
            <w:r w:rsidR="004A6E04" w:rsidRPr="004A6E04">
              <w:rPr>
                <w:b/>
                <w:bCs/>
                <w:sz w:val="17"/>
                <w:szCs w:val="17"/>
                <w:lang w:val="fr-FR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a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 xml:space="preserve">wot,ref 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et</w:t>
            </w:r>
            <w:r w:rsidR="001302A0">
              <w:rPr>
                <w:b/>
                <w:bCs/>
                <w:sz w:val="17"/>
                <w:szCs w:val="17"/>
                <w:lang w:val="fr-FR"/>
              </w:rPr>
              <w:t xml:space="preserve"> </w:t>
            </w:r>
            <w:r w:rsidR="001302A0">
              <w:rPr>
                <w:b/>
                <w:bCs/>
                <w:sz w:val="17"/>
                <w:szCs w:val="17"/>
                <w:lang w:val="fr-FR"/>
              </w:rPr>
              <w:br/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a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fr-FR"/>
              </w:rPr>
              <w:t xml:space="preserve">wot,ref </w:t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 xml:space="preserve">selon 3.1.2.1.2.4 </w:t>
            </w:r>
            <w:r w:rsidR="001302A0">
              <w:rPr>
                <w:b/>
                <w:bCs/>
                <w:sz w:val="17"/>
                <w:szCs w:val="17"/>
                <w:lang w:val="fr-FR"/>
              </w:rPr>
              <w:br/>
            </w:r>
            <w:r w:rsidRPr="004A6E04">
              <w:rPr>
                <w:b/>
                <w:bCs/>
                <w:sz w:val="17"/>
                <w:szCs w:val="17"/>
                <w:lang w:val="fr-FR"/>
              </w:rPr>
              <w:t>mais ne dépasse pas 2,0 m/s²</w:t>
            </w:r>
            <w:r w:rsidRPr="004A6E04">
              <w:rPr>
                <w:sz w:val="17"/>
                <w:szCs w:val="17"/>
                <w:lang w:val="fr-FR"/>
              </w:rPr>
              <w:t xml:space="preserve"> </w:t>
            </w:r>
          </w:p>
          <w:p w:rsidR="00230F34" w:rsidRPr="009E3531" w:rsidRDefault="00230F34" w:rsidP="00746E57">
            <w:pPr>
              <w:spacing w:before="60" w:after="60" w:line="240" w:lineRule="auto"/>
              <w:ind w:left="57" w:right="57"/>
              <w:rPr>
                <w:lang w:val="en-US"/>
              </w:rPr>
            </w:pPr>
            <w:r w:rsidRPr="004A6E04">
              <w:rPr>
                <w:b/>
                <w:bCs/>
                <w:sz w:val="17"/>
                <w:szCs w:val="17"/>
                <w:lang w:val="en-US"/>
              </w:rPr>
              <w:t>n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en-US"/>
              </w:rPr>
              <w:t>anchor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 xml:space="preserve"> = n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en-US"/>
              </w:rPr>
              <w:t xml:space="preserve">bb,test 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* 3,6 / v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en-US"/>
              </w:rPr>
              <w:t>bb,test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* (a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en-US"/>
              </w:rPr>
              <w:t>wot,ref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*(20</w:t>
            </w:r>
            <w:r w:rsidR="004A6E04" w:rsidRPr="004A6E04">
              <w:rPr>
                <w:b/>
                <w:bCs/>
                <w:sz w:val="17"/>
                <w:szCs w:val="17"/>
                <w:lang w:val="en-US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+</w:t>
            </w:r>
            <w:r w:rsidR="004A6E04" w:rsidRPr="004A6E04">
              <w:rPr>
                <w:b/>
                <w:bCs/>
                <w:sz w:val="17"/>
                <w:szCs w:val="17"/>
                <w:lang w:val="en-US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2</w:t>
            </w:r>
            <w:r w:rsidR="001302A0">
              <w:rPr>
                <w:b/>
                <w:bCs/>
                <w:sz w:val="17"/>
                <w:szCs w:val="17"/>
                <w:lang w:val="en-US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*</w:t>
            </w:r>
            <w:r w:rsidR="001302A0">
              <w:rPr>
                <w:b/>
                <w:bCs/>
                <w:sz w:val="17"/>
                <w:szCs w:val="17"/>
                <w:lang w:val="en-US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l</w:t>
            </w:r>
            <w:r w:rsidRPr="004A6E04">
              <w:rPr>
                <w:b/>
                <w:bCs/>
                <w:sz w:val="17"/>
                <w:szCs w:val="17"/>
                <w:vertAlign w:val="subscript"/>
                <w:lang w:val="en-US"/>
              </w:rPr>
              <w:t>veh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)</w:t>
            </w:r>
            <w:r w:rsidR="004A6E04" w:rsidRPr="004A6E0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+</w:t>
            </w:r>
            <w:r w:rsidR="004A6E04" w:rsidRPr="004A6E04">
              <w:rPr>
                <w:b/>
                <w:bCs/>
                <w:sz w:val="17"/>
                <w:szCs w:val="17"/>
                <w:lang w:val="en-US"/>
              </w:rPr>
              <w:t> </w:t>
            </w:r>
            <w:r w:rsidRPr="004A6E04">
              <w:rPr>
                <w:b/>
                <w:bCs/>
                <w:sz w:val="17"/>
                <w:szCs w:val="17"/>
                <w:lang w:val="en-US"/>
              </w:rPr>
              <w:t>192,9)</w:t>
            </w:r>
            <w:r w:rsidRPr="004A6E04">
              <w:rPr>
                <w:b/>
                <w:bCs/>
                <w:sz w:val="17"/>
                <w:szCs w:val="17"/>
                <w:vertAlign w:val="superscript"/>
                <w:lang w:val="en-US"/>
              </w:rPr>
              <w:t>0,5</w:t>
            </w:r>
            <w:r w:rsidR="009E3531" w:rsidRPr="004A6E04">
              <w:rPr>
                <w:sz w:val="17"/>
                <w:szCs w:val="17"/>
                <w:lang w:val="en-US"/>
              </w:rPr>
              <w:t>.</w:t>
            </w:r>
          </w:p>
        </w:tc>
      </w:tr>
      <w:tr w:rsidR="00230F34" w:rsidRPr="00230F34" w:rsidTr="005A2979"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Programmation externe pour 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accélération à charge partielle**</w:t>
            </w:r>
            <w:r w:rsidR="001302A0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  <w:lang w:eastAsia="zh-CN"/>
              </w:rPr>
            </w:pPr>
          </w:p>
        </w:tc>
      </w:tr>
      <w:tr w:rsidR="00230F34" w:rsidRPr="00230F34" w:rsidTr="00230F34">
        <w:tc>
          <w:tcPr>
            <w:tcW w:w="49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Solution mixte (mode) : cette solution sera une combinaison des solutions précédentes formant un mode spécifique.</w:t>
            </w: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1*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Le mode est disponible sur le véhicule et peut être sélectionné par le conducteur.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51DFC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="00230F34" w:rsidRPr="00230F34">
              <w:rPr>
                <w:sz w:val="18"/>
                <w:szCs w:val="18"/>
                <w:lang w:val="fr-FR"/>
              </w:rPr>
              <w:t>ucune</w:t>
            </w:r>
          </w:p>
        </w:tc>
      </w:tr>
      <w:tr w:rsidR="00230F34" w:rsidRPr="00230F34" w:rsidTr="00230F34">
        <w:tc>
          <w:tcPr>
            <w:tcW w:w="49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vMerge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6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Le mode est disponible sur le véhicule et ne peut être activé que par le constructeur au moyen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une fonction cachée ou d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un dispositif externe.</w:t>
            </w:r>
          </w:p>
        </w:tc>
        <w:tc>
          <w:tcPr>
            <w:tcW w:w="2504" w:type="dxa"/>
            <w:shd w:val="clear" w:color="auto" w:fill="auto"/>
            <w:hideMark/>
          </w:tcPr>
          <w:p w:rsidR="00230F34" w:rsidRPr="00230F34" w:rsidRDefault="00251DFC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A</w:t>
            </w:r>
            <w:r w:rsidR="00230F34" w:rsidRPr="00230F34">
              <w:rPr>
                <w:sz w:val="18"/>
                <w:szCs w:val="18"/>
                <w:lang w:val="fr-FR"/>
              </w:rPr>
              <w:t>ucune</w:t>
            </w:r>
          </w:p>
        </w:tc>
      </w:tr>
      <w:tr w:rsidR="00230F34" w:rsidRPr="00230F34" w:rsidTr="005A2979">
        <w:tc>
          <w:tcPr>
            <w:tcW w:w="493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bCs/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Le mode n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est pas disponible sur le véhicule et un logiciel externe prend le pas sur le logiciel interne.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230F34" w:rsidRPr="00230F34" w:rsidRDefault="00230F34" w:rsidP="00746E57">
            <w:pPr>
              <w:spacing w:before="60" w:after="60" w:line="240" w:lineRule="auto"/>
              <w:ind w:left="57" w:right="57"/>
              <w:rPr>
                <w:sz w:val="18"/>
                <w:szCs w:val="18"/>
              </w:rPr>
            </w:pPr>
            <w:r w:rsidRPr="00230F34">
              <w:rPr>
                <w:sz w:val="18"/>
                <w:szCs w:val="18"/>
                <w:lang w:val="fr-FR"/>
              </w:rPr>
              <w:t>L</w:t>
            </w:r>
            <w:r w:rsidR="0064556E">
              <w:rPr>
                <w:sz w:val="18"/>
                <w:szCs w:val="18"/>
                <w:lang w:val="fr-FR"/>
              </w:rPr>
              <w:t>’</w:t>
            </w:r>
            <w:r w:rsidRPr="00230F34">
              <w:rPr>
                <w:sz w:val="18"/>
                <w:szCs w:val="18"/>
                <w:lang w:val="fr-FR"/>
              </w:rPr>
              <w:t>accélération** se situe entre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>urban</w:t>
            </w:r>
            <w:r w:rsidRPr="00230F34">
              <w:rPr>
                <w:sz w:val="18"/>
                <w:szCs w:val="18"/>
                <w:lang w:val="fr-FR"/>
              </w:rPr>
              <w:t xml:space="preserve"> et a</w:t>
            </w:r>
            <w:r w:rsidRPr="00230F34">
              <w:rPr>
                <w:sz w:val="18"/>
                <w:szCs w:val="18"/>
                <w:vertAlign w:val="subscript"/>
                <w:lang w:val="fr-FR"/>
              </w:rPr>
              <w:t>wot,ref</w:t>
            </w:r>
            <w:r w:rsidRPr="00230F34">
              <w:rPr>
                <w:sz w:val="18"/>
                <w:szCs w:val="18"/>
                <w:lang w:val="fr-FR"/>
              </w:rPr>
              <w:t xml:space="preserve">, mais </w:t>
            </w:r>
            <w:r>
              <w:rPr>
                <w:sz w:val="18"/>
                <w:szCs w:val="18"/>
                <w:lang w:val="fr-FR"/>
              </w:rPr>
              <w:t>ne dépasse pas 2,0 </w:t>
            </w:r>
            <w:r w:rsidRPr="00230F34">
              <w:rPr>
                <w:sz w:val="18"/>
                <w:szCs w:val="18"/>
                <w:lang w:val="fr-FR"/>
              </w:rPr>
              <w:t>m/s².</w:t>
            </w:r>
          </w:p>
        </w:tc>
      </w:tr>
    </w:tbl>
    <w:p w:rsidR="00230F34" w:rsidRPr="00F32262" w:rsidRDefault="00230F34" w:rsidP="0064556E">
      <w:pPr>
        <w:pStyle w:val="SingleTxtG"/>
        <w:spacing w:before="120" w:after="0" w:line="240" w:lineRule="auto"/>
        <w:ind w:firstLine="170"/>
        <w:jc w:val="left"/>
        <w:rPr>
          <w:sz w:val="18"/>
          <w:szCs w:val="18"/>
        </w:rPr>
      </w:pPr>
      <w:r w:rsidRPr="00F32262">
        <w:rPr>
          <w:sz w:val="18"/>
          <w:szCs w:val="18"/>
          <w:lang w:val="fr-FR"/>
        </w:rPr>
        <w:t>*</w:t>
      </w:r>
      <w:r w:rsidR="00F32262">
        <w:rPr>
          <w:sz w:val="18"/>
          <w:szCs w:val="18"/>
          <w:lang w:val="fr-FR"/>
        </w:rPr>
        <w:t xml:space="preserve"> </w:t>
      </w:r>
      <w:r w:rsidR="00C8244B">
        <w:rPr>
          <w:sz w:val="18"/>
          <w:szCs w:val="18"/>
          <w:lang w:val="fr-FR"/>
        </w:rPr>
        <w:t xml:space="preserve"> </w:t>
      </w:r>
      <w:r w:rsidR="00F32262">
        <w:rPr>
          <w:sz w:val="18"/>
          <w:szCs w:val="18"/>
          <w:lang w:val="fr-FR"/>
        </w:rPr>
        <w:t>Observation :</w:t>
      </w:r>
      <w:r w:rsidRPr="00F32262">
        <w:rPr>
          <w:sz w:val="18"/>
          <w:szCs w:val="18"/>
          <w:lang w:val="fr-FR"/>
        </w:rPr>
        <w:t xml:space="preserve"> il s</w:t>
      </w:r>
      <w:r w:rsidR="0064556E">
        <w:rPr>
          <w:sz w:val="18"/>
          <w:szCs w:val="18"/>
          <w:lang w:val="fr-FR"/>
        </w:rPr>
        <w:t>’</w:t>
      </w:r>
      <w:r w:rsidRPr="00F32262">
        <w:rPr>
          <w:sz w:val="18"/>
          <w:szCs w:val="18"/>
          <w:lang w:val="fr-FR"/>
        </w:rPr>
        <w:t>agit d</w:t>
      </w:r>
      <w:r w:rsidR="0064556E">
        <w:rPr>
          <w:sz w:val="18"/>
          <w:szCs w:val="18"/>
          <w:lang w:val="fr-FR"/>
        </w:rPr>
        <w:t>’</w:t>
      </w:r>
      <w:r w:rsidRPr="00F32262">
        <w:rPr>
          <w:sz w:val="18"/>
          <w:szCs w:val="18"/>
          <w:lang w:val="fr-FR"/>
        </w:rPr>
        <w:t>une situation type, déjà prévue dans le texte du Règlement.</w:t>
      </w:r>
    </w:p>
    <w:p w:rsidR="00230F34" w:rsidRPr="00F32262" w:rsidRDefault="00230F34" w:rsidP="0064556E">
      <w:pPr>
        <w:pStyle w:val="SingleTxtG"/>
        <w:spacing w:after="0" w:line="240" w:lineRule="auto"/>
        <w:ind w:firstLine="170"/>
        <w:jc w:val="left"/>
        <w:rPr>
          <w:sz w:val="18"/>
          <w:szCs w:val="18"/>
        </w:rPr>
      </w:pPr>
      <w:r w:rsidRPr="00F32262">
        <w:rPr>
          <w:sz w:val="18"/>
          <w:szCs w:val="18"/>
          <w:lang w:val="fr-FR"/>
        </w:rPr>
        <w:t>**</w:t>
      </w:r>
      <w:r w:rsidR="00F32262">
        <w:rPr>
          <w:sz w:val="18"/>
          <w:szCs w:val="18"/>
          <w:lang w:val="fr-FR"/>
        </w:rPr>
        <w:t xml:space="preserve"> </w:t>
      </w:r>
      <w:r w:rsidR="00C8244B">
        <w:rPr>
          <w:sz w:val="18"/>
          <w:szCs w:val="18"/>
          <w:lang w:val="fr-FR"/>
        </w:rPr>
        <w:t xml:space="preserve"> </w:t>
      </w:r>
      <w:r w:rsidRPr="00F32262">
        <w:rPr>
          <w:sz w:val="18"/>
          <w:szCs w:val="18"/>
          <w:lang w:val="fr-FR"/>
        </w:rPr>
        <w:t>Applicable aux véhicules des catégories M</w:t>
      </w:r>
      <w:r w:rsidRPr="00F32262">
        <w:rPr>
          <w:sz w:val="18"/>
          <w:szCs w:val="18"/>
          <w:vertAlign w:val="subscript"/>
          <w:lang w:val="fr-FR"/>
        </w:rPr>
        <w:t>1</w:t>
      </w:r>
      <w:r w:rsidRPr="00F32262">
        <w:rPr>
          <w:sz w:val="18"/>
          <w:szCs w:val="18"/>
          <w:lang w:val="fr-FR"/>
        </w:rPr>
        <w:t>, N</w:t>
      </w:r>
      <w:r w:rsidRPr="00F32262">
        <w:rPr>
          <w:sz w:val="18"/>
          <w:szCs w:val="18"/>
          <w:vertAlign w:val="subscript"/>
          <w:lang w:val="fr-FR"/>
        </w:rPr>
        <w:t>1</w:t>
      </w:r>
      <w:r w:rsidRPr="00F32262">
        <w:rPr>
          <w:sz w:val="18"/>
          <w:szCs w:val="18"/>
          <w:lang w:val="fr-FR"/>
        </w:rPr>
        <w:t xml:space="preserve"> et M</w:t>
      </w:r>
      <w:r w:rsidRPr="00F32262">
        <w:rPr>
          <w:sz w:val="18"/>
          <w:szCs w:val="18"/>
          <w:vertAlign w:val="subscript"/>
          <w:lang w:val="fr-FR"/>
        </w:rPr>
        <w:t>2</w:t>
      </w:r>
      <w:r w:rsidR="00F32262">
        <w:rPr>
          <w:sz w:val="18"/>
          <w:szCs w:val="18"/>
          <w:lang w:val="fr-FR"/>
        </w:rPr>
        <w:t> ≤ </w:t>
      </w:r>
      <w:r w:rsidRPr="00F32262">
        <w:rPr>
          <w:sz w:val="18"/>
          <w:szCs w:val="18"/>
          <w:lang w:val="fr-FR"/>
        </w:rPr>
        <w:t>3 500 kg.</w:t>
      </w:r>
    </w:p>
    <w:p w:rsidR="00230F34" w:rsidRPr="00F32262" w:rsidRDefault="00230F34" w:rsidP="0064556E">
      <w:pPr>
        <w:pStyle w:val="SingleTxtG"/>
        <w:spacing w:after="0" w:line="240" w:lineRule="auto"/>
        <w:ind w:firstLine="170"/>
        <w:jc w:val="left"/>
        <w:rPr>
          <w:sz w:val="18"/>
          <w:szCs w:val="18"/>
        </w:rPr>
      </w:pPr>
      <w:r w:rsidRPr="00F32262">
        <w:rPr>
          <w:sz w:val="18"/>
          <w:szCs w:val="18"/>
          <w:lang w:val="fr-FR"/>
        </w:rPr>
        <w:t>***</w:t>
      </w:r>
      <w:r w:rsidR="00F32262">
        <w:rPr>
          <w:sz w:val="18"/>
          <w:szCs w:val="18"/>
          <w:lang w:val="fr-FR"/>
        </w:rPr>
        <w:t xml:space="preserve"> </w:t>
      </w:r>
      <w:r w:rsidR="00C8244B">
        <w:rPr>
          <w:sz w:val="18"/>
          <w:szCs w:val="18"/>
          <w:lang w:val="fr-FR"/>
        </w:rPr>
        <w:t xml:space="preserve"> </w:t>
      </w:r>
      <w:r w:rsidRPr="00F32262">
        <w:rPr>
          <w:sz w:val="18"/>
          <w:szCs w:val="18"/>
          <w:lang w:val="fr-FR"/>
        </w:rPr>
        <w:t>On réalise la charge partielle en simulant la restriction de la course de l</w:t>
      </w:r>
      <w:r w:rsidR="0064556E">
        <w:rPr>
          <w:sz w:val="18"/>
          <w:szCs w:val="18"/>
          <w:lang w:val="fr-FR"/>
        </w:rPr>
        <w:t>’</w:t>
      </w:r>
      <w:r w:rsidRPr="00F32262">
        <w:rPr>
          <w:sz w:val="18"/>
          <w:szCs w:val="18"/>
          <w:lang w:val="fr-FR"/>
        </w:rPr>
        <w:t>accélérateur. Il n</w:t>
      </w:r>
      <w:r w:rsidR="0064556E">
        <w:rPr>
          <w:sz w:val="18"/>
          <w:szCs w:val="18"/>
          <w:lang w:val="fr-FR"/>
        </w:rPr>
        <w:t>’</w:t>
      </w:r>
      <w:r w:rsidRPr="00F32262">
        <w:rPr>
          <w:sz w:val="18"/>
          <w:szCs w:val="18"/>
          <w:lang w:val="fr-FR"/>
        </w:rPr>
        <w:t>est pas permis de perturber la gestion du moteur.</w:t>
      </w:r>
    </w:p>
    <w:p w:rsidR="00230F34" w:rsidRPr="00F32262" w:rsidRDefault="00230F34" w:rsidP="00C8244B">
      <w:pPr>
        <w:pStyle w:val="SingleTxtG"/>
        <w:spacing w:after="60" w:line="240" w:lineRule="auto"/>
        <w:ind w:firstLine="170"/>
        <w:jc w:val="left"/>
        <w:rPr>
          <w:b/>
          <w:sz w:val="18"/>
          <w:szCs w:val="18"/>
        </w:rPr>
      </w:pPr>
      <w:r w:rsidRPr="00F32262">
        <w:rPr>
          <w:sz w:val="18"/>
          <w:szCs w:val="18"/>
          <w:lang w:val="fr-FR"/>
        </w:rPr>
        <w:t>****</w:t>
      </w:r>
      <w:r w:rsidR="00F32262">
        <w:rPr>
          <w:sz w:val="18"/>
          <w:szCs w:val="18"/>
          <w:lang w:val="fr-FR"/>
        </w:rPr>
        <w:t xml:space="preserve"> </w:t>
      </w:r>
      <w:r w:rsidR="00C8244B">
        <w:rPr>
          <w:sz w:val="18"/>
          <w:szCs w:val="18"/>
          <w:lang w:val="fr-FR"/>
        </w:rPr>
        <w:t xml:space="preserve"> </w:t>
      </w:r>
      <w:r w:rsidRPr="00F32262">
        <w:rPr>
          <w:sz w:val="18"/>
          <w:szCs w:val="18"/>
          <w:lang w:val="fr-FR"/>
        </w:rPr>
        <w:t>Applicable</w:t>
      </w:r>
      <w:r w:rsidRPr="00F32262">
        <w:rPr>
          <w:b/>
          <w:bCs/>
          <w:sz w:val="18"/>
          <w:szCs w:val="18"/>
          <w:lang w:val="fr-FR"/>
        </w:rPr>
        <w:t xml:space="preserve"> </w:t>
      </w:r>
      <w:r w:rsidRPr="00F32262">
        <w:rPr>
          <w:b/>
          <w:bCs/>
          <w:strike/>
          <w:sz w:val="18"/>
          <w:szCs w:val="18"/>
          <w:lang w:val="fr-FR"/>
        </w:rPr>
        <w:t>uniquement aux véhicules électriques purs (VEP) tels que définis dans la Révision 5 de</w:t>
      </w:r>
      <w:r w:rsidR="00F32262">
        <w:rPr>
          <w:b/>
          <w:bCs/>
          <w:strike/>
          <w:sz w:val="18"/>
          <w:szCs w:val="18"/>
          <w:lang w:val="fr-FR"/>
        </w:rPr>
        <w:t xml:space="preserve"> </w:t>
      </w:r>
      <w:r w:rsidRPr="00F32262">
        <w:rPr>
          <w:b/>
          <w:bCs/>
          <w:strike/>
          <w:sz w:val="18"/>
          <w:szCs w:val="18"/>
          <w:lang w:val="fr-FR"/>
        </w:rPr>
        <w:t>la série 07 d</w:t>
      </w:r>
      <w:r w:rsidR="0064556E">
        <w:rPr>
          <w:b/>
          <w:bCs/>
          <w:strike/>
          <w:sz w:val="18"/>
          <w:szCs w:val="18"/>
          <w:lang w:val="fr-FR"/>
        </w:rPr>
        <w:t>’</w:t>
      </w:r>
      <w:r w:rsidRPr="00F32262">
        <w:rPr>
          <w:b/>
          <w:bCs/>
          <w:strike/>
          <w:sz w:val="18"/>
          <w:szCs w:val="18"/>
          <w:lang w:val="fr-FR"/>
        </w:rPr>
        <w:t>amendements au Règlement ONU n</w:t>
      </w:r>
      <w:r w:rsidRPr="00F32262">
        <w:rPr>
          <w:b/>
          <w:bCs/>
          <w:strike/>
          <w:sz w:val="18"/>
          <w:szCs w:val="18"/>
          <w:vertAlign w:val="superscript"/>
          <w:lang w:val="fr-FR"/>
        </w:rPr>
        <w:t>o</w:t>
      </w:r>
      <w:r w:rsidRPr="00F32262">
        <w:rPr>
          <w:b/>
          <w:bCs/>
          <w:strike/>
          <w:sz w:val="18"/>
          <w:szCs w:val="18"/>
          <w:lang w:val="fr-FR"/>
        </w:rPr>
        <w:t xml:space="preserve"> 83</w:t>
      </w:r>
      <w:r w:rsidR="00F32262" w:rsidRPr="00F32262">
        <w:rPr>
          <w:b/>
          <w:bCs/>
          <w:strike/>
          <w:sz w:val="18"/>
          <w:szCs w:val="18"/>
          <w:lang w:val="fr-FR"/>
        </w:rPr>
        <w:t xml:space="preserve">, paragraphe </w:t>
      </w:r>
      <w:r w:rsidRPr="00F32262">
        <w:rPr>
          <w:b/>
          <w:bCs/>
          <w:strike/>
          <w:sz w:val="18"/>
          <w:szCs w:val="18"/>
          <w:lang w:val="fr-FR"/>
        </w:rPr>
        <w:t>2.30</w:t>
      </w:r>
      <w:r w:rsidRPr="00F32262">
        <w:rPr>
          <w:b/>
          <w:bCs/>
          <w:sz w:val="18"/>
          <w:szCs w:val="18"/>
          <w:lang w:val="fr-FR"/>
        </w:rPr>
        <w:t xml:space="preserve"> aux </w:t>
      </w:r>
      <w:r w:rsidRPr="00F32262">
        <w:rPr>
          <w:b/>
          <w:bCs/>
          <w:sz w:val="18"/>
          <w:szCs w:val="18"/>
          <w:lang w:val="fr-FR"/>
        </w:rPr>
        <w:lastRenderedPageBreak/>
        <w:t>véhicules des catégories M</w:t>
      </w:r>
      <w:r w:rsidRPr="00F32262">
        <w:rPr>
          <w:b/>
          <w:bCs/>
          <w:sz w:val="18"/>
          <w:szCs w:val="18"/>
          <w:vertAlign w:val="subscript"/>
          <w:lang w:val="fr-FR"/>
        </w:rPr>
        <w:t>1</w:t>
      </w:r>
      <w:r w:rsidRPr="00F32262">
        <w:rPr>
          <w:b/>
          <w:bCs/>
          <w:sz w:val="18"/>
          <w:szCs w:val="18"/>
          <w:lang w:val="fr-FR"/>
        </w:rPr>
        <w:t>, N</w:t>
      </w:r>
      <w:r w:rsidRPr="00F32262">
        <w:rPr>
          <w:b/>
          <w:bCs/>
          <w:sz w:val="18"/>
          <w:szCs w:val="18"/>
          <w:vertAlign w:val="subscript"/>
          <w:lang w:val="fr-FR"/>
        </w:rPr>
        <w:t>1</w:t>
      </w:r>
      <w:r w:rsidR="00F32262">
        <w:rPr>
          <w:b/>
          <w:bCs/>
          <w:sz w:val="18"/>
          <w:szCs w:val="18"/>
          <w:lang w:val="fr-FR"/>
        </w:rPr>
        <w:t xml:space="preserve"> et M2 ≤ 3 </w:t>
      </w:r>
      <w:r w:rsidRPr="00F32262">
        <w:rPr>
          <w:b/>
          <w:bCs/>
          <w:sz w:val="18"/>
          <w:szCs w:val="18"/>
          <w:lang w:val="fr-FR"/>
        </w:rPr>
        <w:t>500 kg. Pour tout calcul ultérieur de L</w:t>
      </w:r>
      <w:r w:rsidRPr="00F32262">
        <w:rPr>
          <w:b/>
          <w:bCs/>
          <w:sz w:val="18"/>
          <w:szCs w:val="18"/>
          <w:vertAlign w:val="subscript"/>
          <w:lang w:val="fr-FR"/>
        </w:rPr>
        <w:t>urban</w:t>
      </w:r>
      <w:r w:rsidRPr="00F32262">
        <w:rPr>
          <w:b/>
          <w:bCs/>
          <w:sz w:val="18"/>
          <w:szCs w:val="18"/>
          <w:lang w:val="fr-FR"/>
        </w:rPr>
        <w:t xml:space="preserve"> selon</w:t>
      </w:r>
      <w:r w:rsidR="00C8244B">
        <w:rPr>
          <w:b/>
          <w:bCs/>
          <w:sz w:val="18"/>
          <w:szCs w:val="18"/>
          <w:lang w:val="fr-FR"/>
        </w:rPr>
        <w:t> </w:t>
      </w:r>
      <w:r w:rsidR="0064556E">
        <w:rPr>
          <w:b/>
          <w:bCs/>
          <w:sz w:val="18"/>
          <w:szCs w:val="18"/>
          <w:lang w:val="fr-FR"/>
        </w:rPr>
        <w:t>l’annexe </w:t>
      </w:r>
      <w:r w:rsidRPr="00F32262">
        <w:rPr>
          <w:b/>
          <w:bCs/>
          <w:sz w:val="18"/>
          <w:szCs w:val="18"/>
          <w:lang w:val="fr-FR"/>
        </w:rPr>
        <w:t xml:space="preserve">3, le niveau sonore mesuré en charge partielle doit remplacer le niveau sonore </w:t>
      </w:r>
      <w:r w:rsidR="00C8244B">
        <w:rPr>
          <w:b/>
          <w:bCs/>
          <w:sz w:val="18"/>
          <w:szCs w:val="18"/>
          <w:lang w:val="fr-FR"/>
        </w:rPr>
        <w:t>à </w:t>
      </w:r>
      <w:r w:rsidRPr="00F32262">
        <w:rPr>
          <w:b/>
          <w:bCs/>
          <w:sz w:val="18"/>
          <w:szCs w:val="18"/>
          <w:lang w:val="fr-FR"/>
        </w:rPr>
        <w:t>pleins gaz.</w:t>
      </w:r>
      <w:r w:rsidRPr="00F32262">
        <w:rPr>
          <w:sz w:val="18"/>
          <w:szCs w:val="18"/>
          <w:lang w:val="fr-FR"/>
        </w:rPr>
        <w:t xml:space="preserve"> </w:t>
      </w:r>
    </w:p>
    <w:p w:rsidR="00230F34" w:rsidRPr="00F32262" w:rsidRDefault="00230F34" w:rsidP="00C8244B">
      <w:pPr>
        <w:pStyle w:val="SingleTxtG"/>
        <w:spacing w:after="60" w:line="240" w:lineRule="auto"/>
        <w:ind w:firstLine="170"/>
        <w:jc w:val="left"/>
        <w:rPr>
          <w:b/>
          <w:sz w:val="18"/>
          <w:szCs w:val="18"/>
        </w:rPr>
      </w:pPr>
      <w:r w:rsidRPr="00F32262">
        <w:rPr>
          <w:b/>
          <w:bCs/>
          <w:sz w:val="18"/>
          <w:szCs w:val="18"/>
          <w:lang w:val="fr-FR"/>
        </w:rPr>
        <w:t>L</w:t>
      </w:r>
      <w:r w:rsidR="0064556E">
        <w:rPr>
          <w:b/>
          <w:bCs/>
          <w:sz w:val="18"/>
          <w:szCs w:val="18"/>
          <w:lang w:val="fr-FR"/>
        </w:rPr>
        <w:t>’</w:t>
      </w:r>
      <w:r w:rsidRPr="00F32262">
        <w:rPr>
          <w:b/>
          <w:bCs/>
          <w:sz w:val="18"/>
          <w:szCs w:val="18"/>
          <w:lang w:val="fr-FR"/>
        </w:rPr>
        <w:t>accélération réalisée en charge partielle pendant l</w:t>
      </w:r>
      <w:r w:rsidR="0064556E">
        <w:rPr>
          <w:b/>
          <w:bCs/>
          <w:sz w:val="18"/>
          <w:szCs w:val="18"/>
          <w:lang w:val="fr-FR"/>
        </w:rPr>
        <w:t>’</w:t>
      </w:r>
      <w:r w:rsidRPr="00F32262">
        <w:rPr>
          <w:b/>
          <w:bCs/>
          <w:sz w:val="18"/>
          <w:szCs w:val="18"/>
          <w:lang w:val="fr-FR"/>
        </w:rPr>
        <w:t>essai doit permettre de calculer le</w:t>
      </w:r>
      <w:r w:rsidR="00C8244B">
        <w:rPr>
          <w:b/>
          <w:bCs/>
          <w:sz w:val="18"/>
          <w:szCs w:val="18"/>
          <w:lang w:val="fr-FR"/>
        </w:rPr>
        <w:t> </w:t>
      </w:r>
      <w:r w:rsidRPr="00F32262">
        <w:rPr>
          <w:b/>
          <w:bCs/>
          <w:sz w:val="18"/>
          <w:szCs w:val="18"/>
          <w:lang w:val="fr-FR"/>
        </w:rPr>
        <w:t>facteur de puissance partielle k</w:t>
      </w:r>
      <w:r w:rsidRPr="00F32262">
        <w:rPr>
          <w:b/>
          <w:bCs/>
          <w:sz w:val="18"/>
          <w:szCs w:val="18"/>
          <w:vertAlign w:val="subscript"/>
          <w:lang w:val="fr-FR"/>
        </w:rPr>
        <w:t>P</w:t>
      </w:r>
      <w:r w:rsidRPr="00F32262">
        <w:rPr>
          <w:b/>
          <w:bCs/>
          <w:sz w:val="18"/>
          <w:szCs w:val="18"/>
          <w:lang w:val="fr-FR"/>
        </w:rPr>
        <w:t xml:space="preserve"> au lieu de a</w:t>
      </w:r>
      <w:r w:rsidRPr="00F32262">
        <w:rPr>
          <w:b/>
          <w:bCs/>
          <w:sz w:val="18"/>
          <w:szCs w:val="18"/>
          <w:vertAlign w:val="subscript"/>
          <w:lang w:val="fr-FR"/>
        </w:rPr>
        <w:t>wot ref</w:t>
      </w:r>
      <w:r w:rsidRPr="00F32262">
        <w:rPr>
          <w:b/>
          <w:bCs/>
          <w:sz w:val="18"/>
          <w:szCs w:val="18"/>
          <w:lang w:val="fr-FR"/>
        </w:rPr>
        <w:t>.</w:t>
      </w:r>
    </w:p>
    <w:p w:rsidR="00230F34" w:rsidRPr="00F32262" w:rsidRDefault="00230F34" w:rsidP="0064556E">
      <w:pPr>
        <w:pStyle w:val="SingleTxtG"/>
        <w:spacing w:after="240" w:line="240" w:lineRule="auto"/>
        <w:ind w:firstLine="170"/>
        <w:jc w:val="left"/>
        <w:rPr>
          <w:b/>
          <w:sz w:val="18"/>
          <w:szCs w:val="18"/>
        </w:rPr>
      </w:pPr>
      <w:r w:rsidRPr="00F32262">
        <w:rPr>
          <w:b/>
          <w:bCs/>
          <w:sz w:val="18"/>
          <w:szCs w:val="18"/>
          <w:lang w:val="fr-FR"/>
        </w:rPr>
        <w:t>La procédure d</w:t>
      </w:r>
      <w:r w:rsidR="0064556E">
        <w:rPr>
          <w:b/>
          <w:bCs/>
          <w:sz w:val="18"/>
          <w:szCs w:val="18"/>
          <w:lang w:val="fr-FR"/>
        </w:rPr>
        <w:t>’</w:t>
      </w:r>
      <w:r w:rsidRPr="00F32262">
        <w:rPr>
          <w:b/>
          <w:bCs/>
          <w:sz w:val="18"/>
          <w:szCs w:val="18"/>
          <w:lang w:val="fr-FR"/>
        </w:rPr>
        <w:t>essai</w:t>
      </w:r>
      <w:r w:rsidR="0064556E">
        <w:rPr>
          <w:b/>
          <w:bCs/>
          <w:sz w:val="18"/>
          <w:szCs w:val="18"/>
          <w:lang w:val="fr-FR"/>
        </w:rPr>
        <w:t xml:space="preserve"> et le traitement des données s’</w:t>
      </w:r>
      <w:r w:rsidRPr="00F32262">
        <w:rPr>
          <w:b/>
          <w:bCs/>
          <w:sz w:val="18"/>
          <w:szCs w:val="18"/>
          <w:lang w:val="fr-FR"/>
        </w:rPr>
        <w:t>effectuent selon le même principe.</w:t>
      </w:r>
      <w:r w:rsidRPr="00F32262">
        <w:rPr>
          <w:sz w:val="18"/>
          <w:szCs w:val="18"/>
          <w:lang w:val="fr-FR"/>
        </w:rPr>
        <w:t xml:space="preserve"> </w:t>
      </w:r>
      <w:r w:rsidRPr="00F32262">
        <w:rPr>
          <w:b/>
          <w:bCs/>
          <w:sz w:val="18"/>
          <w:szCs w:val="18"/>
          <w:lang w:val="fr-FR"/>
        </w:rPr>
        <w:t>Bien que les essais soient réalisés en charge partielle, les symboles x</w:t>
      </w:r>
      <w:r w:rsidRPr="00F32262">
        <w:rPr>
          <w:b/>
          <w:bCs/>
          <w:sz w:val="18"/>
          <w:szCs w:val="18"/>
          <w:vertAlign w:val="subscript"/>
          <w:lang w:val="fr-FR"/>
        </w:rPr>
        <w:t>wot</w:t>
      </w:r>
      <w:r w:rsidRPr="00F32262">
        <w:rPr>
          <w:b/>
          <w:bCs/>
          <w:sz w:val="18"/>
          <w:szCs w:val="18"/>
          <w:lang w:val="fr-FR"/>
        </w:rPr>
        <w:t xml:space="preserve"> (L</w:t>
      </w:r>
      <w:r w:rsidRPr="00F32262">
        <w:rPr>
          <w:b/>
          <w:bCs/>
          <w:sz w:val="18"/>
          <w:szCs w:val="18"/>
          <w:vertAlign w:val="subscript"/>
          <w:lang w:val="fr-FR"/>
        </w:rPr>
        <w:t>wot</w:t>
      </w:r>
      <w:r w:rsidRPr="00F32262">
        <w:rPr>
          <w:b/>
          <w:bCs/>
          <w:sz w:val="18"/>
          <w:szCs w:val="18"/>
          <w:lang w:val="fr-FR"/>
        </w:rPr>
        <w:t xml:space="preserve"> ou a</w:t>
      </w:r>
      <w:r w:rsidRPr="00F32262">
        <w:rPr>
          <w:b/>
          <w:bCs/>
          <w:sz w:val="18"/>
          <w:szCs w:val="18"/>
          <w:vertAlign w:val="subscript"/>
          <w:lang w:val="fr-FR"/>
        </w:rPr>
        <w:t>wot</w:t>
      </w:r>
      <w:r w:rsidRPr="00F32262">
        <w:rPr>
          <w:b/>
          <w:bCs/>
          <w:sz w:val="18"/>
          <w:szCs w:val="18"/>
          <w:lang w:val="fr-FR"/>
        </w:rPr>
        <w:t>, par exemple) seront utilisés ».</w:t>
      </w:r>
    </w:p>
    <w:p w:rsidR="00230F34" w:rsidRPr="00230F34" w:rsidRDefault="00F32262" w:rsidP="00F32262">
      <w:pPr>
        <w:pStyle w:val="SingleTxtG"/>
        <w:keepNext/>
      </w:pPr>
      <w:r>
        <w:rPr>
          <w:i/>
          <w:iCs/>
          <w:lang w:val="fr-FR"/>
        </w:rPr>
        <w:t>Annexe </w:t>
      </w:r>
      <w:r w:rsidR="00230F34" w:rsidRPr="00230F34">
        <w:rPr>
          <w:i/>
          <w:iCs/>
          <w:lang w:val="fr-FR"/>
        </w:rPr>
        <w:t>7, paragraphe</w:t>
      </w:r>
      <w:r>
        <w:rPr>
          <w:i/>
          <w:iCs/>
          <w:lang w:val="fr-FR"/>
        </w:rPr>
        <w:t> </w:t>
      </w:r>
      <w:r w:rsidR="00230F34" w:rsidRPr="00230F34">
        <w:rPr>
          <w:i/>
          <w:iCs/>
          <w:lang w:val="fr-FR"/>
        </w:rPr>
        <w:t>5.2</w:t>
      </w:r>
      <w:r>
        <w:rPr>
          <w:lang w:val="fr-FR"/>
        </w:rPr>
        <w:t>, modifier comme suit :</w:t>
      </w:r>
    </w:p>
    <w:p w:rsidR="00230F34" w:rsidRPr="00230F34" w:rsidRDefault="00230F34" w:rsidP="00F32262">
      <w:pPr>
        <w:pStyle w:val="SingleTxtG"/>
        <w:keepNext/>
        <w:ind w:left="2268" w:hanging="1134"/>
      </w:pPr>
      <w:r w:rsidRPr="00230F34">
        <w:rPr>
          <w:lang w:val="fr-FR"/>
        </w:rPr>
        <w:t>« </w:t>
      </w:r>
      <w:r w:rsidR="00F32262">
        <w:rPr>
          <w:lang w:val="fr-FR"/>
        </w:rPr>
        <w:t>5.2</w:t>
      </w:r>
      <w:r w:rsidRPr="00230F34">
        <w:rPr>
          <w:lang w:val="fr-FR"/>
        </w:rPr>
        <w:t xml:space="preserve"> </w:t>
      </w:r>
      <w:r w:rsidRPr="00230F34">
        <w:rPr>
          <w:lang w:val="fr-FR"/>
        </w:rPr>
        <w:tab/>
        <w:t xml:space="preserve">La détermination </w:t>
      </w:r>
      <w:r w:rsidR="00F32262">
        <w:rPr>
          <w:lang w:val="fr-FR"/>
        </w:rPr>
        <w:t>du rapport α se fait comme suit :</w:t>
      </w:r>
    </w:p>
    <w:p w:rsidR="00230F34" w:rsidRPr="00230F34" w:rsidRDefault="00F32262" w:rsidP="00F32262">
      <w:pPr>
        <w:pStyle w:val="SingleTxtG"/>
        <w:ind w:left="2268"/>
      </w:pPr>
      <w:r>
        <w:rPr>
          <w:lang w:val="fr-FR"/>
        </w:rPr>
        <w:tab/>
      </w:r>
      <w:r w:rsidR="00230F34" w:rsidRPr="00230F34">
        <w:rPr>
          <w:bCs/>
          <w:lang w:val="fr-FR"/>
        </w:rPr>
        <w:t>α = 3 pour</w:t>
      </w:r>
      <w:r w:rsidR="00230F34" w:rsidRPr="00230F34">
        <w:rPr>
          <w:b/>
          <w:bCs/>
          <w:lang w:val="fr-FR"/>
        </w:rPr>
        <w:t xml:space="preserve"> </w:t>
      </w:r>
      <w:r w:rsidR="00230F34" w:rsidRPr="00F32262">
        <w:rPr>
          <w:b/>
          <w:bCs/>
          <w:strike/>
          <w:lang w:val="fr-FR"/>
        </w:rPr>
        <w:t>toutes</w:t>
      </w:r>
      <w:r w:rsidR="00230F34" w:rsidRPr="00230F34">
        <w:rPr>
          <w:b/>
          <w:bCs/>
          <w:lang w:val="fr-FR"/>
        </w:rPr>
        <w:t xml:space="preserve"> </w:t>
      </w:r>
      <w:r w:rsidR="00230F34" w:rsidRPr="00230F34">
        <w:rPr>
          <w:bCs/>
          <w:lang w:val="fr-FR"/>
        </w:rPr>
        <w:t>les transmissions manuelles et transmissions automatiques à cinq rapports au maximum, es</w:t>
      </w:r>
      <w:r>
        <w:rPr>
          <w:bCs/>
          <w:lang w:val="fr-FR"/>
        </w:rPr>
        <w:t>sayées en position verrouillée ;</w:t>
      </w:r>
    </w:p>
    <w:p w:rsidR="00230F34" w:rsidRPr="00230F34" w:rsidRDefault="00F32262" w:rsidP="00F32262">
      <w:pPr>
        <w:pStyle w:val="SingleTxtG"/>
        <w:ind w:left="2268"/>
      </w:pPr>
      <w:r>
        <w:rPr>
          <w:lang w:val="fr-FR"/>
        </w:rPr>
        <w:tab/>
      </w:r>
      <w:r w:rsidR="00230F34" w:rsidRPr="00230F34">
        <w:rPr>
          <w:lang w:val="fr-FR"/>
        </w:rPr>
        <w:t xml:space="preserve">α = 4 pour </w:t>
      </w:r>
      <w:r w:rsidR="00230F34" w:rsidRPr="00230F34">
        <w:rPr>
          <w:b/>
          <w:lang w:val="fr-FR"/>
        </w:rPr>
        <w:t>les transmissions manuelles et</w:t>
      </w:r>
      <w:r w:rsidR="00230F34" w:rsidRPr="00230F34">
        <w:rPr>
          <w:lang w:val="fr-FR"/>
        </w:rPr>
        <w:t xml:space="preserve"> les transmissions automatiques à six rapports et plus essayées en position verrouillée. Si l</w:t>
      </w:r>
      <w:r w:rsidR="0064556E">
        <w:rPr>
          <w:lang w:val="fr-FR"/>
        </w:rPr>
        <w:t>’</w:t>
      </w:r>
      <w:r w:rsidR="00230F34" w:rsidRPr="00230F34">
        <w:rPr>
          <w:lang w:val="fr-FR"/>
        </w:rPr>
        <w:t>accélération calculée de AA à BB compte tenu de la long</w:t>
      </w:r>
      <w:r>
        <w:rPr>
          <w:lang w:val="fr-FR"/>
        </w:rPr>
        <w:t>ueur du véhicule sur le rapport </w:t>
      </w:r>
      <w:r w:rsidR="00110D4D">
        <w:rPr>
          <w:lang w:val="fr-FR"/>
        </w:rPr>
        <w:t>4 donne plus de 1,9 </w:t>
      </w:r>
      <w:r w:rsidR="00230F34" w:rsidRPr="00230F34">
        <w:rPr>
          <w:lang w:val="fr-FR"/>
        </w:rPr>
        <w:t>m/s²,</w:t>
      </w:r>
      <w:r>
        <w:rPr>
          <w:lang w:val="fr-FR"/>
        </w:rPr>
        <w:t xml:space="preserve"> le premier rapport supérieur α &gt; </w:t>
      </w:r>
      <w:r w:rsidR="00230F34" w:rsidRPr="00230F34">
        <w:rPr>
          <w:lang w:val="fr-FR"/>
        </w:rPr>
        <w:t>4 produisant une accélér</w:t>
      </w:r>
      <w:r w:rsidR="00110D4D">
        <w:rPr>
          <w:lang w:val="fr-FR"/>
        </w:rPr>
        <w:t>ation inférieure ou égale à 1,9 </w:t>
      </w:r>
      <w:r w:rsidR="00230F34" w:rsidRPr="00230F34">
        <w:rPr>
          <w:lang w:val="fr-FR"/>
        </w:rPr>
        <w:t>m/s² doit être sélectionné.</w:t>
      </w:r>
    </w:p>
    <w:p w:rsidR="00230F34" w:rsidRPr="00230F34" w:rsidRDefault="00F32262" w:rsidP="00F32262">
      <w:pPr>
        <w:pStyle w:val="SingleTxtG"/>
        <w:ind w:left="2268"/>
      </w:pPr>
      <w:r>
        <w:rPr>
          <w:lang w:val="fr-FR"/>
        </w:rPr>
        <w:tab/>
      </w:r>
      <w:r w:rsidR="00230F34" w:rsidRPr="00230F34">
        <w:rPr>
          <w:lang w:val="fr-FR"/>
        </w:rPr>
        <w:t>Dans le cas de véhicules soumis à l</w:t>
      </w:r>
      <w:r w:rsidR="0064556E">
        <w:rPr>
          <w:lang w:val="fr-FR"/>
        </w:rPr>
        <w:t>’</w:t>
      </w:r>
      <w:r w:rsidR="00230F34" w:rsidRPr="00230F34">
        <w:rPr>
          <w:lang w:val="fr-FR"/>
        </w:rPr>
        <w:t>essai en position non verrouillée, le rapport à prendre en compte pour le calcul ultérieur doit être déterminé sur la base du résultat de l</w:t>
      </w:r>
      <w:r w:rsidR="0064556E">
        <w:rPr>
          <w:lang w:val="fr-FR"/>
        </w:rPr>
        <w:t>’</w:t>
      </w:r>
      <w:r w:rsidR="00230F34" w:rsidRPr="00230F34">
        <w:rPr>
          <w:lang w:val="fr-FR"/>
        </w:rPr>
        <w:t>essa</w:t>
      </w:r>
      <w:r>
        <w:rPr>
          <w:lang w:val="fr-FR"/>
        </w:rPr>
        <w:t>i d</w:t>
      </w:r>
      <w:r w:rsidR="0064556E">
        <w:rPr>
          <w:lang w:val="fr-FR"/>
        </w:rPr>
        <w:t>’</w:t>
      </w:r>
      <w:r>
        <w:rPr>
          <w:lang w:val="fr-FR"/>
        </w:rPr>
        <w:t>accélération de l</w:t>
      </w:r>
      <w:r w:rsidR="0064556E">
        <w:rPr>
          <w:lang w:val="fr-FR"/>
        </w:rPr>
        <w:t>’</w:t>
      </w:r>
      <w:r>
        <w:rPr>
          <w:lang w:val="fr-FR"/>
        </w:rPr>
        <w:t>annexe </w:t>
      </w:r>
      <w:r w:rsidR="00230F34" w:rsidRPr="00230F34">
        <w:rPr>
          <w:lang w:val="fr-FR"/>
        </w:rPr>
        <w:t>3 en utilisant le régime moteur et la vitesse du véhicule</w:t>
      </w:r>
      <w:r>
        <w:rPr>
          <w:lang w:val="fr-FR"/>
        </w:rPr>
        <w:t xml:space="preserve"> consignés au droit de la ligne </w:t>
      </w:r>
      <w:r w:rsidR="00230F34" w:rsidRPr="00230F34">
        <w:rPr>
          <w:lang w:val="fr-FR"/>
        </w:rPr>
        <w:t>BB′</w:t>
      </w:r>
      <w:r>
        <w:rPr>
          <w:lang w:val="fr-FR"/>
        </w:rPr>
        <w:t> </w:t>
      </w:r>
      <w:r w:rsidR="00230F34" w:rsidRPr="00230F34">
        <w:rPr>
          <w:lang w:val="fr-FR"/>
        </w:rPr>
        <w:t>».</w:t>
      </w:r>
    </w:p>
    <w:p w:rsidR="00230F34" w:rsidRPr="00230F34" w:rsidRDefault="00F32262" w:rsidP="00F32262">
      <w:pPr>
        <w:pStyle w:val="HChG"/>
      </w:pPr>
      <w:r>
        <w:rPr>
          <w:lang w:val="fr-FR"/>
        </w:rPr>
        <w:tab/>
      </w:r>
      <w:r w:rsidR="00230F34" w:rsidRPr="00230F34">
        <w:rPr>
          <w:lang w:val="fr-FR"/>
        </w:rPr>
        <w:t>II.</w:t>
      </w:r>
      <w:r w:rsidR="00230F34" w:rsidRPr="00230F34">
        <w:rPr>
          <w:lang w:val="fr-FR"/>
        </w:rPr>
        <w:tab/>
        <w:t>Justification</w:t>
      </w:r>
    </w:p>
    <w:p w:rsidR="00230F34" w:rsidRPr="00230F34" w:rsidRDefault="00F32262" w:rsidP="00230F34">
      <w:pPr>
        <w:pStyle w:val="SingleTxtG"/>
      </w:pPr>
      <w:r>
        <w:rPr>
          <w:i/>
          <w:iCs/>
          <w:lang w:val="fr-FR"/>
        </w:rPr>
        <w:t>Appendice de l</w:t>
      </w:r>
      <w:r w:rsidR="0064556E">
        <w:rPr>
          <w:i/>
          <w:iCs/>
          <w:lang w:val="fr-FR"/>
        </w:rPr>
        <w:t>’</w:t>
      </w:r>
      <w:r>
        <w:rPr>
          <w:i/>
          <w:iCs/>
          <w:lang w:val="fr-FR"/>
        </w:rPr>
        <w:t>annexe </w:t>
      </w:r>
      <w:r w:rsidR="00230F34" w:rsidRPr="00230F34">
        <w:rPr>
          <w:i/>
          <w:iCs/>
          <w:lang w:val="fr-FR"/>
        </w:rPr>
        <w:t>3, f</w:t>
      </w:r>
      <w:r>
        <w:rPr>
          <w:i/>
          <w:iCs/>
          <w:lang w:val="fr-FR"/>
        </w:rPr>
        <w:t>igure </w:t>
      </w:r>
      <w:r w:rsidR="00230F34" w:rsidRPr="00230F34">
        <w:rPr>
          <w:i/>
          <w:iCs/>
          <w:lang w:val="fr-FR"/>
        </w:rPr>
        <w:t>3c</w:t>
      </w:r>
      <w:r w:rsidR="00230F34" w:rsidRPr="00230F34">
        <w:rPr>
          <w:lang w:val="fr-FR"/>
        </w:rPr>
        <w:t xml:space="preserve"> </w:t>
      </w:r>
    </w:p>
    <w:p w:rsidR="00230F34" w:rsidRPr="00230F34" w:rsidRDefault="00230F34" w:rsidP="00230F34">
      <w:pPr>
        <w:pStyle w:val="SingleTxtG"/>
      </w:pPr>
      <w:r w:rsidRPr="00230F34">
        <w:t xml:space="preserve">1. </w:t>
      </w:r>
      <w:r w:rsidRPr="00230F34">
        <w:tab/>
        <w:t>La modification proposée vise à aligner le diagramme de décision sur la modification app</w:t>
      </w:r>
      <w:r w:rsidR="00F32262">
        <w:t>ortée au paragraphe 3.1.2.1.4.1 c) du complément 3 à la série </w:t>
      </w:r>
      <w:r w:rsidRPr="00230F34">
        <w:t>03 d</w:t>
      </w:r>
      <w:r w:rsidR="0064556E">
        <w:t>’</w:t>
      </w:r>
      <w:r w:rsidRPr="00230F34">
        <w:t xml:space="preserve">amendements au Règlement ONU </w:t>
      </w:r>
      <w:r w:rsidR="00F32262" w:rsidRPr="002D76F4">
        <w:rPr>
          <w:rFonts w:eastAsia="MS Mincho"/>
          <w:szCs w:val="22"/>
        </w:rPr>
        <w:t>n</w:t>
      </w:r>
      <w:r w:rsidR="00F32262" w:rsidRPr="002D76F4">
        <w:rPr>
          <w:rFonts w:eastAsia="MS Mincho"/>
          <w:szCs w:val="22"/>
          <w:vertAlign w:val="superscript"/>
        </w:rPr>
        <w:t>o</w:t>
      </w:r>
      <w:r w:rsidR="00F32262">
        <w:t> </w:t>
      </w:r>
      <w:r w:rsidRPr="00230F34">
        <w:t>51.</w:t>
      </w:r>
    </w:p>
    <w:p w:rsidR="00230F34" w:rsidRPr="00230F34" w:rsidRDefault="00F32262" w:rsidP="00230F34">
      <w:pPr>
        <w:pStyle w:val="SingleTxtG"/>
      </w:pPr>
      <w:r>
        <w:rPr>
          <w:i/>
        </w:rPr>
        <w:t>Appendice de l</w:t>
      </w:r>
      <w:r w:rsidR="0064556E">
        <w:rPr>
          <w:i/>
        </w:rPr>
        <w:t>’</w:t>
      </w:r>
      <w:r>
        <w:rPr>
          <w:i/>
        </w:rPr>
        <w:t>annexe 3, tableau </w:t>
      </w:r>
      <w:r w:rsidR="00230F34" w:rsidRPr="00230F34">
        <w:rPr>
          <w:i/>
        </w:rPr>
        <w:t>1</w:t>
      </w:r>
    </w:p>
    <w:p w:rsidR="00230F34" w:rsidRPr="00230F34" w:rsidRDefault="00230F34" w:rsidP="00230F34">
      <w:pPr>
        <w:pStyle w:val="SingleTxtG"/>
      </w:pPr>
      <w:r w:rsidRPr="00230F34">
        <w:t xml:space="preserve">2. </w:t>
      </w:r>
      <w:r w:rsidRPr="00230F34">
        <w:tab/>
        <w:t>À la soixante-septième session du Groupe de travail du bruit, l</w:t>
      </w:r>
      <w:r w:rsidR="0064556E">
        <w:t>’</w:t>
      </w:r>
      <w:r w:rsidRPr="00230F34">
        <w:t>expert de l</w:t>
      </w:r>
      <w:r w:rsidR="0064556E">
        <w:t>’</w:t>
      </w:r>
      <w:r w:rsidRPr="00230F34">
        <w:t>Organisation internationale des constructeurs d</w:t>
      </w:r>
      <w:r w:rsidR="0064556E">
        <w:t>’</w:t>
      </w:r>
      <w:r w:rsidRPr="00230F34">
        <w:t>automobiles a proposé des amendements au Règlement ONU n</w:t>
      </w:r>
      <w:r w:rsidRPr="00230F34">
        <w:rPr>
          <w:vertAlign w:val="superscript"/>
        </w:rPr>
        <w:t>o</w:t>
      </w:r>
      <w:r w:rsidRPr="00230F34">
        <w:t> 51,</w:t>
      </w:r>
      <w:r w:rsidR="00F32262">
        <w:t xml:space="preserve"> </w:t>
      </w:r>
      <w:r w:rsidRPr="00230F34">
        <w:t>afin de garantir la transparence du processus d</w:t>
      </w:r>
      <w:r w:rsidR="0064556E">
        <w:t>’</w:t>
      </w:r>
      <w:r w:rsidRPr="00230F34">
        <w:t xml:space="preserve">homologation dans les cas où le constructeur recourt à des dispositifs mécaniques ou électroniques pour contrôler le changement de rapport ou prend des mesures propres à éviter les </w:t>
      </w:r>
      <w:r w:rsidR="00F32262">
        <w:t>accélérations supérieures à 2,0 </w:t>
      </w:r>
      <w:r w:rsidRPr="00230F34">
        <w:t xml:space="preserve">m/s² </w:t>
      </w:r>
      <w:r w:rsidR="00F32262">
        <w:t>(ECE/TRANS/WP.29/</w:t>
      </w:r>
      <w:r w:rsidRPr="00230F34">
        <w:t>GRB/2018/2 et GRB-67-17). La proposition adoptée par le Groupe de travail se limitait aux véhicules électriques purs (</w:t>
      </w:r>
      <w:r w:rsidR="00F32262">
        <w:t>ECE/TRANS/WP.29/GRB/65, a</w:t>
      </w:r>
      <w:r w:rsidRPr="00230F34">
        <w:t>nnexe</w:t>
      </w:r>
      <w:r w:rsidR="00F32262">
        <w:t> </w:t>
      </w:r>
      <w:r w:rsidRPr="00230F34">
        <w:t xml:space="preserve">III). Dans le présent document, </w:t>
      </w:r>
      <w:r w:rsidRPr="00230F34">
        <w:rPr>
          <w:lang w:val="fr-FR"/>
        </w:rPr>
        <w:t>le groupe de travail informel des prescriptions supplémentaires concernant les émissions sonores propose de l</w:t>
      </w:r>
      <w:r w:rsidR="0064556E">
        <w:rPr>
          <w:lang w:val="fr-FR"/>
        </w:rPr>
        <w:t>’</w:t>
      </w:r>
      <w:r w:rsidRPr="00230F34">
        <w:rPr>
          <w:lang w:val="fr-FR"/>
        </w:rPr>
        <w:t>étendre à l</w:t>
      </w:r>
      <w:r w:rsidR="0064556E">
        <w:rPr>
          <w:lang w:val="fr-FR"/>
        </w:rPr>
        <w:t>’</w:t>
      </w:r>
      <w:r w:rsidRPr="00230F34">
        <w:rPr>
          <w:lang w:val="fr-FR"/>
        </w:rPr>
        <w:t>ensemble des véhicules. La modification proposée vise à aligner le diagramme de décision sur la modification app</w:t>
      </w:r>
      <w:r w:rsidR="00F32262">
        <w:rPr>
          <w:lang w:val="fr-FR"/>
        </w:rPr>
        <w:t>ortée au paragraphe 3.1.2.1.4.1 c) du complément 3 à la série </w:t>
      </w:r>
      <w:r w:rsidRPr="00230F34">
        <w:rPr>
          <w:lang w:val="fr-FR"/>
        </w:rPr>
        <w:t>03 d</w:t>
      </w:r>
      <w:r w:rsidR="0064556E">
        <w:rPr>
          <w:lang w:val="fr-FR"/>
        </w:rPr>
        <w:t>’</w:t>
      </w:r>
      <w:r w:rsidRPr="00230F34">
        <w:rPr>
          <w:lang w:val="fr-FR"/>
        </w:rPr>
        <w:t xml:space="preserve">amendements au Règlement ONU </w:t>
      </w:r>
      <w:r w:rsidR="00F32262" w:rsidRPr="00F32262">
        <w:rPr>
          <w:rFonts w:eastAsia="MS Mincho"/>
          <w:szCs w:val="22"/>
          <w:lang w:val="fr-FR"/>
        </w:rPr>
        <w:t>n</w:t>
      </w:r>
      <w:r w:rsidR="00F32262" w:rsidRPr="00F32262">
        <w:rPr>
          <w:rFonts w:eastAsia="MS Mincho"/>
          <w:szCs w:val="22"/>
          <w:vertAlign w:val="superscript"/>
          <w:lang w:val="fr-FR"/>
        </w:rPr>
        <w:t>o</w:t>
      </w:r>
      <w:r w:rsidR="00F32262">
        <w:rPr>
          <w:lang w:val="fr-FR"/>
        </w:rPr>
        <w:t> </w:t>
      </w:r>
      <w:r w:rsidRPr="00230F34">
        <w:rPr>
          <w:lang w:val="fr-FR"/>
        </w:rPr>
        <w:t>51.</w:t>
      </w:r>
    </w:p>
    <w:p w:rsidR="00230F34" w:rsidRPr="00230F34" w:rsidRDefault="00230F34" w:rsidP="00F32262">
      <w:pPr>
        <w:pStyle w:val="SingleTxtG"/>
        <w:keepNext/>
        <w:keepLines/>
        <w:rPr>
          <w:i/>
          <w:iCs/>
        </w:rPr>
      </w:pPr>
      <w:r w:rsidRPr="00230F34">
        <w:rPr>
          <w:i/>
          <w:iCs/>
        </w:rPr>
        <w:t>Annexe</w:t>
      </w:r>
      <w:r w:rsidR="00F32262">
        <w:rPr>
          <w:i/>
          <w:iCs/>
        </w:rPr>
        <w:t> </w:t>
      </w:r>
      <w:r w:rsidRPr="00230F34">
        <w:rPr>
          <w:i/>
          <w:iCs/>
        </w:rPr>
        <w:t>7, paragraphe</w:t>
      </w:r>
      <w:r w:rsidR="00F32262">
        <w:rPr>
          <w:i/>
          <w:iCs/>
        </w:rPr>
        <w:t> 5.2</w:t>
      </w:r>
    </w:p>
    <w:p w:rsidR="00230F34" w:rsidRPr="00230F34" w:rsidRDefault="00230F34" w:rsidP="00230F34">
      <w:pPr>
        <w:pStyle w:val="SingleTxtG"/>
      </w:pPr>
      <w:r w:rsidRPr="00230F34">
        <w:t>3.</w:t>
      </w:r>
      <w:r w:rsidRPr="00230F34">
        <w:tab/>
        <w:t>Cette proposition vise à harmoniser les modalités d</w:t>
      </w:r>
      <w:r w:rsidR="0064556E">
        <w:t>’</w:t>
      </w:r>
      <w:r w:rsidRPr="00230F34">
        <w:t>essai applicables aux boîtes de vitesses à commande manuelle et automatique à plus de cinq rapports. Cela tient compte des progrès techniques allant vers des véhicules plus économes en carburant et plus écologiques qui ont davantage de rapports, et permet d</w:t>
      </w:r>
      <w:r w:rsidR="0064556E">
        <w:t>’</w:t>
      </w:r>
      <w:r w:rsidRPr="00230F34">
        <w:t>éviter que des véhicules proposés avec</w:t>
      </w:r>
      <w:r w:rsidR="00F32262">
        <w:t xml:space="preserve"> </w:t>
      </w:r>
      <w:r w:rsidRPr="00230F34">
        <w:t>boîte de vitesses manuelle</w:t>
      </w:r>
      <w:r w:rsidR="00F32262">
        <w:t xml:space="preserve"> </w:t>
      </w:r>
      <w:r w:rsidRPr="00230F34">
        <w:t>ou avec boîte de vitesses automatique soient soumis à des modalités d</w:t>
      </w:r>
      <w:r w:rsidR="0064556E">
        <w:t>’</w:t>
      </w:r>
      <w:r w:rsidRPr="00230F34">
        <w:t xml:space="preserve">essai très différentes du seul fait de leur type de transmission. </w:t>
      </w:r>
    </w:p>
    <w:p w:rsidR="00EC0279" w:rsidRPr="00F32262" w:rsidRDefault="00F32262" w:rsidP="00F322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F34" w:rsidRDefault="00230F34" w:rsidP="00EC0279">
      <w:pPr>
        <w:pStyle w:val="SingleTxtG"/>
        <w:rPr>
          <w:sz w:val="16"/>
          <w:szCs w:val="16"/>
        </w:rPr>
      </w:pPr>
    </w:p>
    <w:sectPr w:rsidR="00230F34" w:rsidSect="00EC02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0F" w:rsidRDefault="0047340F" w:rsidP="00F95C08">
      <w:pPr>
        <w:spacing w:line="240" w:lineRule="auto"/>
      </w:pPr>
    </w:p>
  </w:endnote>
  <w:endnote w:type="continuationSeparator" w:id="0">
    <w:p w:rsidR="0047340F" w:rsidRPr="00AC3823" w:rsidRDefault="0047340F" w:rsidP="00AC3823">
      <w:pPr>
        <w:pStyle w:val="Footer"/>
      </w:pPr>
    </w:p>
  </w:endnote>
  <w:endnote w:type="continuationNotice" w:id="1">
    <w:p w:rsidR="0047340F" w:rsidRDefault="004734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79" w:rsidRPr="00EC0279" w:rsidRDefault="00EC0279" w:rsidP="00EC0279">
    <w:pPr>
      <w:pStyle w:val="Footer"/>
      <w:tabs>
        <w:tab w:val="right" w:pos="9638"/>
      </w:tabs>
    </w:pPr>
    <w:r w:rsidRPr="00EC0279">
      <w:rPr>
        <w:b/>
        <w:sz w:val="18"/>
      </w:rPr>
      <w:fldChar w:fldCharType="begin"/>
    </w:r>
    <w:r w:rsidRPr="00EC0279">
      <w:rPr>
        <w:b/>
        <w:sz w:val="18"/>
      </w:rPr>
      <w:instrText xml:space="preserve"> PAGE  \* MERGEFORMAT </w:instrText>
    </w:r>
    <w:r w:rsidRPr="00EC0279">
      <w:rPr>
        <w:b/>
        <w:sz w:val="18"/>
      </w:rPr>
      <w:fldChar w:fldCharType="separate"/>
    </w:r>
    <w:r w:rsidR="001A37E0">
      <w:rPr>
        <w:b/>
        <w:noProof/>
        <w:sz w:val="18"/>
      </w:rPr>
      <w:t>4</w:t>
    </w:r>
    <w:r w:rsidRPr="00EC0279">
      <w:rPr>
        <w:b/>
        <w:sz w:val="18"/>
      </w:rPr>
      <w:fldChar w:fldCharType="end"/>
    </w:r>
    <w:r>
      <w:rPr>
        <w:b/>
        <w:sz w:val="18"/>
      </w:rPr>
      <w:tab/>
    </w:r>
    <w:r>
      <w:t>GE.18-10633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79" w:rsidRPr="00EC0279" w:rsidRDefault="00EC0279" w:rsidP="00EC0279">
    <w:pPr>
      <w:pStyle w:val="Footer"/>
      <w:tabs>
        <w:tab w:val="right" w:pos="9638"/>
      </w:tabs>
      <w:rPr>
        <w:b/>
        <w:sz w:val="18"/>
      </w:rPr>
    </w:pPr>
    <w:r>
      <w:t>GE.18-10633</w:t>
    </w:r>
    <w:r>
      <w:tab/>
    </w:r>
    <w:r w:rsidRPr="00EC0279">
      <w:rPr>
        <w:b/>
        <w:sz w:val="18"/>
      </w:rPr>
      <w:fldChar w:fldCharType="begin"/>
    </w:r>
    <w:r w:rsidRPr="00EC0279">
      <w:rPr>
        <w:b/>
        <w:sz w:val="18"/>
      </w:rPr>
      <w:instrText xml:space="preserve"> PAGE  \* MERGEFORMAT </w:instrText>
    </w:r>
    <w:r w:rsidRPr="00EC0279">
      <w:rPr>
        <w:b/>
        <w:sz w:val="18"/>
      </w:rPr>
      <w:fldChar w:fldCharType="separate"/>
    </w:r>
    <w:r w:rsidR="001A37E0">
      <w:rPr>
        <w:b/>
        <w:noProof/>
        <w:sz w:val="18"/>
      </w:rPr>
      <w:t>3</w:t>
    </w:r>
    <w:r w:rsidRPr="00EC02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C0279" w:rsidRDefault="00EC0279" w:rsidP="00EC027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18-10633</w:t>
    </w:r>
    <w:r w:rsidR="00F32262">
      <w:rPr>
        <w:sz w:val="20"/>
      </w:rPr>
      <w:t xml:space="preserve"> </w:t>
    </w:r>
    <w:r>
      <w:rPr>
        <w:sz w:val="20"/>
      </w:rPr>
      <w:t>(F)</w:t>
    </w:r>
    <w:r w:rsidR="00F32262">
      <w:rPr>
        <w:sz w:val="20"/>
      </w:rPr>
      <w:t xml:space="preserve">  </w:t>
    </w:r>
    <w:r w:rsidR="00D51C92">
      <w:rPr>
        <w:sz w:val="20"/>
      </w:rPr>
      <w:t xml:space="preserve">  </w:t>
    </w:r>
    <w:r>
      <w:rPr>
        <w:sz w:val="20"/>
      </w:rPr>
      <w:t>110718</w:t>
    </w:r>
    <w:r w:rsidR="00F32262">
      <w:rPr>
        <w:sz w:val="20"/>
      </w:rPr>
      <w:t xml:space="preserve">  </w:t>
    </w:r>
    <w:r w:rsidR="00D51C92">
      <w:rPr>
        <w:sz w:val="20"/>
      </w:rPr>
      <w:t xml:space="preserve">  </w:t>
    </w:r>
    <w:r>
      <w:rPr>
        <w:sz w:val="20"/>
      </w:rPr>
      <w:t>260718</w:t>
    </w:r>
    <w:r>
      <w:rPr>
        <w:sz w:val="20"/>
      </w:rPr>
      <w:br/>
    </w:r>
    <w:r w:rsidRPr="00EC0279">
      <w:rPr>
        <w:rFonts w:ascii="C39T30Lfz" w:hAnsi="C39T30Lfz"/>
        <w:sz w:val="56"/>
      </w:rPr>
      <w:t></w:t>
    </w:r>
    <w:r w:rsidRPr="00EC0279">
      <w:rPr>
        <w:rFonts w:ascii="C39T30Lfz" w:hAnsi="C39T30Lfz"/>
        <w:sz w:val="56"/>
      </w:rPr>
      <w:t></w:t>
    </w:r>
    <w:r w:rsidRPr="00EC0279">
      <w:rPr>
        <w:rFonts w:ascii="C39T30Lfz" w:hAnsi="C39T30Lfz"/>
        <w:sz w:val="56"/>
      </w:rPr>
      <w:t></w:t>
    </w:r>
    <w:r w:rsidRPr="00EC0279">
      <w:rPr>
        <w:rFonts w:ascii="C39T30Lfz" w:hAnsi="C39T30Lfz"/>
        <w:sz w:val="56"/>
      </w:rPr>
      <w:t></w:t>
    </w:r>
    <w:r w:rsidRPr="00EC0279">
      <w:rPr>
        <w:rFonts w:ascii="C39T30Lfz" w:hAnsi="C39T30Lfz"/>
        <w:sz w:val="56"/>
      </w:rPr>
      <w:t></w:t>
    </w:r>
    <w:r w:rsidRPr="00EC0279">
      <w:rPr>
        <w:rFonts w:ascii="C39T30Lfz" w:hAnsi="C39T30Lfz"/>
        <w:sz w:val="56"/>
      </w:rPr>
      <w:t></w:t>
    </w:r>
    <w:r w:rsidRPr="00EC0279">
      <w:rPr>
        <w:rFonts w:ascii="C39T30Lfz" w:hAnsi="C39T30Lfz"/>
        <w:sz w:val="56"/>
      </w:rPr>
      <w:t></w:t>
    </w:r>
    <w:r w:rsidRPr="00EC0279">
      <w:rPr>
        <w:rFonts w:ascii="C39T30Lfz" w:hAnsi="C39T30Lfz"/>
        <w:sz w:val="56"/>
      </w:rPr>
      <w:t></w:t>
    </w:r>
    <w:r w:rsidRPr="00EC027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8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0F" w:rsidRPr="00AC3823" w:rsidRDefault="0047340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340F" w:rsidRPr="00AC3823" w:rsidRDefault="0047340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340F" w:rsidRPr="00AC3823" w:rsidRDefault="0047340F">
      <w:pPr>
        <w:spacing w:line="240" w:lineRule="auto"/>
        <w:rPr>
          <w:sz w:val="2"/>
          <w:szCs w:val="2"/>
        </w:rPr>
      </w:pPr>
    </w:p>
  </w:footnote>
  <w:footnote w:id="2">
    <w:p w:rsidR="00EC0279" w:rsidRPr="00C477C8" w:rsidRDefault="00EC0279" w:rsidP="00EC0279">
      <w:pPr>
        <w:pStyle w:val="FootnoteText"/>
        <w:rPr>
          <w:szCs w:val="18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2018-2019 (ECE/TRANS/274, par. 123, et ECE/TRANS/2018/26, module 3),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79" w:rsidRPr="00EC0279" w:rsidRDefault="00E064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A37E0">
      <w:t>ECE/TRANS/WP.29/GRB/2018/10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79" w:rsidRPr="00EC0279" w:rsidRDefault="00E06459" w:rsidP="00EC02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A37E0">
      <w:t>ECE/TRANS/WP.29/GRB/2018/10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0F"/>
    <w:rsid w:val="00016E46"/>
    <w:rsid w:val="00017F94"/>
    <w:rsid w:val="00023842"/>
    <w:rsid w:val="000334F9"/>
    <w:rsid w:val="00045FEB"/>
    <w:rsid w:val="0007796D"/>
    <w:rsid w:val="000B7790"/>
    <w:rsid w:val="000E285A"/>
    <w:rsid w:val="000E5A9F"/>
    <w:rsid w:val="00110D4D"/>
    <w:rsid w:val="00111F2F"/>
    <w:rsid w:val="001302A0"/>
    <w:rsid w:val="0014365E"/>
    <w:rsid w:val="00143C66"/>
    <w:rsid w:val="00176178"/>
    <w:rsid w:val="001A37E0"/>
    <w:rsid w:val="001E1435"/>
    <w:rsid w:val="001F525A"/>
    <w:rsid w:val="00223272"/>
    <w:rsid w:val="00230F34"/>
    <w:rsid w:val="0024779E"/>
    <w:rsid w:val="00251DFC"/>
    <w:rsid w:val="00257168"/>
    <w:rsid w:val="002744B8"/>
    <w:rsid w:val="002832AC"/>
    <w:rsid w:val="002D7C93"/>
    <w:rsid w:val="00305801"/>
    <w:rsid w:val="003916DE"/>
    <w:rsid w:val="003934CB"/>
    <w:rsid w:val="004264E8"/>
    <w:rsid w:val="00441C3B"/>
    <w:rsid w:val="00446FE5"/>
    <w:rsid w:val="00452396"/>
    <w:rsid w:val="0047340F"/>
    <w:rsid w:val="004837D8"/>
    <w:rsid w:val="004A6E04"/>
    <w:rsid w:val="004A7153"/>
    <w:rsid w:val="004E468C"/>
    <w:rsid w:val="005505B7"/>
    <w:rsid w:val="00573BE5"/>
    <w:rsid w:val="00586ED3"/>
    <w:rsid w:val="00596AA9"/>
    <w:rsid w:val="005A2979"/>
    <w:rsid w:val="0064556E"/>
    <w:rsid w:val="006B2259"/>
    <w:rsid w:val="0071601D"/>
    <w:rsid w:val="00746E57"/>
    <w:rsid w:val="007A5C03"/>
    <w:rsid w:val="007A62E6"/>
    <w:rsid w:val="007F20FA"/>
    <w:rsid w:val="0080684C"/>
    <w:rsid w:val="00871C75"/>
    <w:rsid w:val="008776DC"/>
    <w:rsid w:val="00891FAD"/>
    <w:rsid w:val="009446C0"/>
    <w:rsid w:val="009705C8"/>
    <w:rsid w:val="009C1CF4"/>
    <w:rsid w:val="009E3531"/>
    <w:rsid w:val="009F6B74"/>
    <w:rsid w:val="00A30353"/>
    <w:rsid w:val="00AC3823"/>
    <w:rsid w:val="00AC4269"/>
    <w:rsid w:val="00AE323C"/>
    <w:rsid w:val="00AF0CB5"/>
    <w:rsid w:val="00B00181"/>
    <w:rsid w:val="00B00B0D"/>
    <w:rsid w:val="00B765F7"/>
    <w:rsid w:val="00BA0CA9"/>
    <w:rsid w:val="00C02897"/>
    <w:rsid w:val="00C53284"/>
    <w:rsid w:val="00C8244B"/>
    <w:rsid w:val="00C97039"/>
    <w:rsid w:val="00D3439C"/>
    <w:rsid w:val="00D51C92"/>
    <w:rsid w:val="00DB1831"/>
    <w:rsid w:val="00DD3BFD"/>
    <w:rsid w:val="00DF6678"/>
    <w:rsid w:val="00E0299A"/>
    <w:rsid w:val="00E06459"/>
    <w:rsid w:val="00E35CA6"/>
    <w:rsid w:val="00E42179"/>
    <w:rsid w:val="00E85C74"/>
    <w:rsid w:val="00EA6547"/>
    <w:rsid w:val="00EC0279"/>
    <w:rsid w:val="00ED1003"/>
    <w:rsid w:val="00EF2E22"/>
    <w:rsid w:val="00F32262"/>
    <w:rsid w:val="00F336FE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BF3EF5-D673-4ACB-90B3-4902B0D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ADB5-BC67-42D4-BBFB-EE424D4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ECE/TRANS/WP.29/GRB/2018/10</vt:lpstr>
      <vt:lpstr>ECE/TRANS/WP.29/GRB/2018/10</vt:lpstr>
    </vt:vector>
  </TitlesOfParts>
  <Company>DCM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ECE/TRANS/WP.29/GRB/2018/10</dc:title>
  <dc:subject/>
  <dc:creator>Edith BOURION</dc:creator>
  <cp:keywords/>
  <cp:lastModifiedBy>Benedicte Boudol</cp:lastModifiedBy>
  <cp:revision>2</cp:revision>
  <cp:lastPrinted>2018-07-26T11:50:00Z</cp:lastPrinted>
  <dcterms:created xsi:type="dcterms:W3CDTF">2018-07-27T07:30:00Z</dcterms:created>
  <dcterms:modified xsi:type="dcterms:W3CDTF">2018-07-27T07:30:00Z</dcterms:modified>
</cp:coreProperties>
</file>