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30CC" w:rsidRPr="00DC1BF6" w:rsidTr="00DC1BF6">
        <w:tc>
          <w:tcPr>
            <w:tcW w:w="4785" w:type="dxa"/>
          </w:tcPr>
          <w:p w:rsidR="002C2FCA" w:rsidRDefault="00B530CC" w:rsidP="00DC1BF6">
            <w:pPr>
              <w:autoSpaceDE w:val="0"/>
              <w:autoSpaceDN w:val="0"/>
              <w:adjustRightInd w:val="0"/>
              <w:rPr>
                <w:rFonts w:ascii="Times New Roman" w:hAnsi="Times New Roman"/>
                <w:bCs/>
                <w:sz w:val="24"/>
                <w:szCs w:val="24"/>
              </w:rPr>
            </w:pPr>
            <w:r w:rsidRPr="00DE343D">
              <w:rPr>
                <w:rFonts w:ascii="Times New Roman" w:hAnsi="Times New Roman"/>
                <w:bCs/>
                <w:sz w:val="24"/>
                <w:szCs w:val="24"/>
              </w:rPr>
              <w:t xml:space="preserve">Transmitted by the </w:t>
            </w:r>
            <w:r w:rsidR="00DC1BF6">
              <w:rPr>
                <w:rFonts w:ascii="Times New Roman" w:hAnsi="Times New Roman"/>
                <w:bCs/>
                <w:sz w:val="24"/>
                <w:szCs w:val="24"/>
              </w:rPr>
              <w:br/>
            </w:r>
            <w:r w:rsidR="002C2FCA">
              <w:rPr>
                <w:rFonts w:ascii="Times New Roman" w:hAnsi="Times New Roman"/>
                <w:bCs/>
                <w:sz w:val="24"/>
                <w:szCs w:val="24"/>
              </w:rPr>
              <w:t xml:space="preserve">Co-Chairs of </w:t>
            </w:r>
            <w:r>
              <w:rPr>
                <w:rFonts w:ascii="Times New Roman" w:hAnsi="Times New Roman"/>
                <w:bCs/>
                <w:sz w:val="24"/>
                <w:szCs w:val="24"/>
              </w:rPr>
              <w:t xml:space="preserve">Informal Working </w:t>
            </w:r>
          </w:p>
          <w:p w:rsidR="00B530CC" w:rsidRPr="00DE343D" w:rsidRDefault="00B530CC" w:rsidP="00DC1BF6">
            <w:pPr>
              <w:autoSpaceDE w:val="0"/>
              <w:autoSpaceDN w:val="0"/>
              <w:adjustRightInd w:val="0"/>
              <w:rPr>
                <w:rFonts w:ascii="Times New Roman" w:hAnsi="Times New Roman"/>
                <w:bCs/>
                <w:sz w:val="24"/>
                <w:szCs w:val="24"/>
              </w:rPr>
            </w:pPr>
            <w:r>
              <w:rPr>
                <w:rFonts w:ascii="Times New Roman" w:hAnsi="Times New Roman"/>
                <w:bCs/>
                <w:sz w:val="24"/>
                <w:szCs w:val="24"/>
              </w:rPr>
              <w:t xml:space="preserve">Group on PTI </w:t>
            </w:r>
            <w:r w:rsidRPr="00DE343D">
              <w:rPr>
                <w:rFonts w:ascii="Times New Roman" w:hAnsi="Times New Roman"/>
                <w:bCs/>
                <w:sz w:val="24"/>
                <w:szCs w:val="24"/>
              </w:rPr>
              <w:t xml:space="preserve"> </w:t>
            </w:r>
          </w:p>
        </w:tc>
        <w:tc>
          <w:tcPr>
            <w:tcW w:w="4786" w:type="dxa"/>
          </w:tcPr>
          <w:p w:rsidR="00DC1BF6" w:rsidRPr="00503314" w:rsidRDefault="00DC1BF6" w:rsidP="00DC1BF6">
            <w:pPr>
              <w:autoSpaceDE w:val="0"/>
              <w:autoSpaceDN w:val="0"/>
              <w:adjustRightInd w:val="0"/>
              <w:rPr>
                <w:rFonts w:ascii="Times New Roman" w:hAnsi="Times New Roman"/>
                <w:bCs/>
                <w:sz w:val="24"/>
                <w:szCs w:val="24"/>
              </w:rPr>
            </w:pPr>
            <w:r w:rsidRPr="00503314">
              <w:rPr>
                <w:rFonts w:ascii="Times New Roman" w:hAnsi="Times New Roman"/>
                <w:bCs/>
                <w:sz w:val="24"/>
                <w:szCs w:val="24"/>
                <w:u w:val="single"/>
              </w:rPr>
              <w:t>Informal document</w:t>
            </w:r>
            <w:r w:rsidRPr="00503314">
              <w:rPr>
                <w:rFonts w:ascii="Times New Roman" w:hAnsi="Times New Roman"/>
                <w:bCs/>
                <w:sz w:val="24"/>
                <w:szCs w:val="24"/>
              </w:rPr>
              <w:t xml:space="preserve"> </w:t>
            </w:r>
            <w:r w:rsidRPr="00503314">
              <w:rPr>
                <w:rFonts w:ascii="Times New Roman" w:hAnsi="Times New Roman"/>
                <w:b/>
                <w:bCs/>
                <w:sz w:val="24"/>
                <w:szCs w:val="24"/>
              </w:rPr>
              <w:t>WP.29-17</w:t>
            </w:r>
            <w:r w:rsidR="00C850FC" w:rsidRPr="00C850FC">
              <w:rPr>
                <w:rFonts w:ascii="Times New Roman" w:hAnsi="Times New Roman"/>
                <w:b/>
                <w:bCs/>
                <w:sz w:val="24"/>
                <w:szCs w:val="24"/>
              </w:rPr>
              <w:t>4</w:t>
            </w:r>
            <w:r w:rsidRPr="00503314">
              <w:rPr>
                <w:rFonts w:ascii="Times New Roman" w:hAnsi="Times New Roman"/>
                <w:b/>
                <w:bCs/>
                <w:sz w:val="24"/>
                <w:szCs w:val="24"/>
              </w:rPr>
              <w:t>-</w:t>
            </w:r>
            <w:r w:rsidR="00503314">
              <w:rPr>
                <w:rFonts w:ascii="Times New Roman" w:hAnsi="Times New Roman"/>
                <w:b/>
                <w:bCs/>
                <w:sz w:val="24"/>
                <w:szCs w:val="24"/>
              </w:rPr>
              <w:t>06</w:t>
            </w:r>
            <w:bookmarkStart w:id="0" w:name="_GoBack"/>
            <w:bookmarkEnd w:id="0"/>
            <w:r w:rsidRPr="00503314">
              <w:rPr>
                <w:rFonts w:ascii="Times New Roman" w:hAnsi="Times New Roman"/>
                <w:b/>
                <w:bCs/>
                <w:sz w:val="24"/>
                <w:szCs w:val="24"/>
              </w:rPr>
              <w:br/>
            </w:r>
            <w:r w:rsidRPr="00503314">
              <w:rPr>
                <w:rFonts w:ascii="Times New Roman" w:hAnsi="Times New Roman"/>
                <w:bCs/>
                <w:sz w:val="24"/>
                <w:szCs w:val="24"/>
              </w:rPr>
              <w:t>17</w:t>
            </w:r>
            <w:r w:rsidR="00C850FC">
              <w:rPr>
                <w:rFonts w:ascii="Times New Roman" w:hAnsi="Times New Roman"/>
                <w:bCs/>
                <w:sz w:val="24"/>
                <w:szCs w:val="24"/>
              </w:rPr>
              <w:t>4</w:t>
            </w:r>
            <w:r w:rsidR="00C850FC" w:rsidRPr="00503314">
              <w:rPr>
                <w:rFonts w:ascii="Times New Roman" w:hAnsi="Times New Roman"/>
                <w:bCs/>
                <w:sz w:val="24"/>
                <w:szCs w:val="24"/>
                <w:vertAlign w:val="superscript"/>
              </w:rPr>
              <w:t>th</w:t>
            </w:r>
            <w:r w:rsidRPr="00503314">
              <w:rPr>
                <w:rFonts w:ascii="Times New Roman" w:hAnsi="Times New Roman"/>
                <w:bCs/>
                <w:sz w:val="24"/>
                <w:szCs w:val="24"/>
              </w:rPr>
              <w:t xml:space="preserve"> WP.29, </w:t>
            </w:r>
            <w:r w:rsidR="00DB1477" w:rsidRPr="00DB1477">
              <w:rPr>
                <w:rFonts w:ascii="Times New Roman" w:hAnsi="Times New Roman"/>
                <w:bCs/>
                <w:sz w:val="24"/>
                <w:szCs w:val="24"/>
              </w:rPr>
              <w:t>1</w:t>
            </w:r>
            <w:r w:rsidR="00C850FC">
              <w:rPr>
                <w:rFonts w:ascii="Times New Roman" w:hAnsi="Times New Roman"/>
                <w:bCs/>
                <w:sz w:val="24"/>
                <w:szCs w:val="24"/>
              </w:rPr>
              <w:t>3</w:t>
            </w:r>
            <w:r w:rsidRPr="00503314">
              <w:rPr>
                <w:rFonts w:ascii="Times New Roman" w:hAnsi="Times New Roman"/>
                <w:bCs/>
                <w:sz w:val="24"/>
                <w:szCs w:val="24"/>
              </w:rPr>
              <w:t>-</w:t>
            </w:r>
            <w:r w:rsidR="00DB1477" w:rsidRPr="00DB1477">
              <w:rPr>
                <w:rFonts w:ascii="Times New Roman" w:hAnsi="Times New Roman"/>
                <w:bCs/>
                <w:sz w:val="24"/>
                <w:szCs w:val="24"/>
              </w:rPr>
              <w:t>1</w:t>
            </w:r>
            <w:r w:rsidR="00C850FC">
              <w:rPr>
                <w:rFonts w:ascii="Times New Roman" w:hAnsi="Times New Roman"/>
                <w:bCs/>
                <w:sz w:val="24"/>
                <w:szCs w:val="24"/>
              </w:rPr>
              <w:t>6</w:t>
            </w:r>
            <w:r w:rsidR="00DB1477" w:rsidRPr="00503314">
              <w:rPr>
                <w:rFonts w:ascii="Times New Roman" w:hAnsi="Times New Roman"/>
                <w:bCs/>
                <w:sz w:val="24"/>
                <w:szCs w:val="24"/>
              </w:rPr>
              <w:t xml:space="preserve"> </w:t>
            </w:r>
            <w:r w:rsidR="00C850FC">
              <w:rPr>
                <w:rFonts w:ascii="Times New Roman" w:hAnsi="Times New Roman"/>
                <w:bCs/>
                <w:sz w:val="24"/>
                <w:szCs w:val="24"/>
              </w:rPr>
              <w:t>March</w:t>
            </w:r>
            <w:r w:rsidRPr="00503314">
              <w:rPr>
                <w:rFonts w:ascii="Times New Roman" w:hAnsi="Times New Roman"/>
                <w:bCs/>
                <w:sz w:val="24"/>
                <w:szCs w:val="24"/>
              </w:rPr>
              <w:t xml:space="preserve"> 201</w:t>
            </w:r>
            <w:r w:rsidR="00C850FC" w:rsidRPr="00503314">
              <w:rPr>
                <w:rFonts w:ascii="Times New Roman" w:hAnsi="Times New Roman"/>
                <w:bCs/>
                <w:sz w:val="24"/>
                <w:szCs w:val="24"/>
              </w:rPr>
              <w:t>8</w:t>
            </w:r>
          </w:p>
          <w:p w:rsidR="00DC1BF6" w:rsidRPr="00DC1BF6" w:rsidRDefault="00DC1BF6" w:rsidP="00DC1BF6">
            <w:pPr>
              <w:autoSpaceDE w:val="0"/>
              <w:autoSpaceDN w:val="0"/>
              <w:adjustRightInd w:val="0"/>
              <w:rPr>
                <w:rFonts w:ascii="Times New Roman" w:hAnsi="Times New Roman"/>
                <w:b/>
                <w:bCs/>
                <w:sz w:val="24"/>
                <w:szCs w:val="24"/>
                <w:lang w:val="fr-CH"/>
              </w:rPr>
            </w:pPr>
            <w:r w:rsidRPr="00DC1BF6">
              <w:rPr>
                <w:rFonts w:ascii="Times New Roman" w:hAnsi="Times New Roman"/>
                <w:bCs/>
                <w:sz w:val="24"/>
                <w:szCs w:val="24"/>
                <w:lang w:val="fr-CH"/>
              </w:rPr>
              <w:t xml:space="preserve">Agenda item </w:t>
            </w:r>
            <w:r>
              <w:rPr>
                <w:rFonts w:ascii="Times New Roman" w:hAnsi="Times New Roman"/>
                <w:bCs/>
                <w:sz w:val="24"/>
                <w:szCs w:val="24"/>
                <w:lang w:val="fr-CH"/>
              </w:rPr>
              <w:t>7</w:t>
            </w:r>
          </w:p>
        </w:tc>
      </w:tr>
    </w:tbl>
    <w:p w:rsidR="00014134" w:rsidRPr="00DC1BF6" w:rsidRDefault="00014134" w:rsidP="00016529">
      <w:pPr>
        <w:pStyle w:val="HChG"/>
        <w:rPr>
          <w:lang w:val="fr-CH"/>
        </w:rPr>
      </w:pPr>
    </w:p>
    <w:p w:rsidR="009B76AA" w:rsidRPr="008A118A" w:rsidRDefault="009B76AA" w:rsidP="00B530CC">
      <w:pPr>
        <w:pStyle w:val="HChG"/>
        <w:jc w:val="center"/>
      </w:pPr>
      <w:r w:rsidRPr="008A118A">
        <w:t xml:space="preserve">Report to WP.29 </w:t>
      </w:r>
      <w:r w:rsidR="003D7634" w:rsidRPr="008A118A">
        <w:t xml:space="preserve">about results of </w:t>
      </w:r>
      <w:r w:rsidR="003B25EC">
        <w:t xml:space="preserve">the </w:t>
      </w:r>
      <w:r w:rsidR="00C850FC">
        <w:t>10</w:t>
      </w:r>
      <w:r w:rsidRPr="008A118A">
        <w:rPr>
          <w:vertAlign w:val="superscript"/>
        </w:rPr>
        <w:t>th</w:t>
      </w:r>
      <w:r w:rsidRPr="008A118A">
        <w:t xml:space="preserve"> </w:t>
      </w:r>
      <w:r w:rsidR="003D7634" w:rsidRPr="008A118A">
        <w:t>meeting of Informal Group on Periodical Technical Inspections</w:t>
      </w:r>
    </w:p>
    <w:p w:rsidR="001142E7" w:rsidRPr="005D07D8" w:rsidRDefault="003B25EC" w:rsidP="00D850FE">
      <w:pPr>
        <w:pStyle w:val="SingleTxtG"/>
        <w:ind w:left="0" w:firstLine="675"/>
        <w:rPr>
          <w:sz w:val="24"/>
          <w:szCs w:val="24"/>
        </w:rPr>
      </w:pPr>
      <w:r w:rsidRPr="005D07D8">
        <w:rPr>
          <w:sz w:val="24"/>
          <w:szCs w:val="24"/>
        </w:rPr>
        <w:t xml:space="preserve">The </w:t>
      </w:r>
      <w:r w:rsidR="00C850FC">
        <w:rPr>
          <w:sz w:val="24"/>
          <w:szCs w:val="24"/>
        </w:rPr>
        <w:t>10</w:t>
      </w:r>
      <w:r w:rsidR="003A2E93" w:rsidRPr="005D07D8">
        <w:rPr>
          <w:sz w:val="24"/>
          <w:szCs w:val="24"/>
          <w:vertAlign w:val="superscript"/>
        </w:rPr>
        <w:t>th</w:t>
      </w:r>
      <w:r w:rsidR="003A2E93" w:rsidRPr="005D07D8">
        <w:rPr>
          <w:sz w:val="24"/>
          <w:szCs w:val="24"/>
        </w:rPr>
        <w:t xml:space="preserve"> IWG on PTI meeting was arranged with support of </w:t>
      </w:r>
      <w:r w:rsidR="006A4085">
        <w:rPr>
          <w:sz w:val="24"/>
          <w:szCs w:val="24"/>
        </w:rPr>
        <w:t>I</w:t>
      </w:r>
      <w:r w:rsidR="006A4085" w:rsidRPr="006A4085">
        <w:rPr>
          <w:rStyle w:val="Strong"/>
          <w:rFonts w:cs="Helvetica"/>
          <w:b w:val="0"/>
          <w:sz w:val="24"/>
          <w:szCs w:val="24"/>
          <w:lang w:val="en-GB"/>
        </w:rPr>
        <w:t>nternational motor vehicle inspection committee</w:t>
      </w:r>
      <w:r w:rsidR="000D580F" w:rsidRPr="005D07D8">
        <w:rPr>
          <w:color w:val="000000"/>
          <w:sz w:val="24"/>
          <w:szCs w:val="24"/>
        </w:rPr>
        <w:t xml:space="preserve"> </w:t>
      </w:r>
      <w:r w:rsidR="00014134" w:rsidRPr="005D07D8">
        <w:rPr>
          <w:color w:val="000000"/>
          <w:sz w:val="24"/>
          <w:szCs w:val="24"/>
        </w:rPr>
        <w:t>(</w:t>
      </w:r>
      <w:r w:rsidR="006A4085">
        <w:rPr>
          <w:color w:val="000000"/>
          <w:sz w:val="24"/>
          <w:szCs w:val="24"/>
        </w:rPr>
        <w:t>CI</w:t>
      </w:r>
      <w:r w:rsidR="000D580F" w:rsidRPr="005D07D8">
        <w:rPr>
          <w:color w:val="000000"/>
          <w:sz w:val="24"/>
          <w:szCs w:val="24"/>
        </w:rPr>
        <w:t>T</w:t>
      </w:r>
      <w:r w:rsidR="006A4085">
        <w:rPr>
          <w:color w:val="000000"/>
          <w:sz w:val="24"/>
          <w:szCs w:val="24"/>
        </w:rPr>
        <w:t>A</w:t>
      </w:r>
      <w:r w:rsidR="00014134" w:rsidRPr="005D07D8">
        <w:rPr>
          <w:color w:val="000000"/>
          <w:sz w:val="24"/>
          <w:szCs w:val="24"/>
        </w:rPr>
        <w:t xml:space="preserve">) </w:t>
      </w:r>
      <w:r w:rsidR="003A2E93" w:rsidRPr="005D07D8">
        <w:rPr>
          <w:sz w:val="24"/>
          <w:szCs w:val="24"/>
          <w:lang w:val="en-GB"/>
        </w:rPr>
        <w:t xml:space="preserve">and held on </w:t>
      </w:r>
      <w:r w:rsidR="00C850FC">
        <w:rPr>
          <w:sz w:val="24"/>
          <w:szCs w:val="24"/>
        </w:rPr>
        <w:t>7</w:t>
      </w:r>
      <w:r w:rsidR="003A2E93" w:rsidRPr="005D07D8">
        <w:rPr>
          <w:sz w:val="24"/>
          <w:szCs w:val="24"/>
          <w:lang w:val="en-GB"/>
        </w:rPr>
        <w:t xml:space="preserve"> </w:t>
      </w:r>
      <w:r w:rsidR="00C850FC">
        <w:rPr>
          <w:sz w:val="24"/>
          <w:szCs w:val="24"/>
        </w:rPr>
        <w:t>Feb</w:t>
      </w:r>
      <w:r w:rsidR="00DB1477">
        <w:rPr>
          <w:sz w:val="24"/>
          <w:szCs w:val="24"/>
        </w:rPr>
        <w:t>r</w:t>
      </w:r>
      <w:r w:rsidR="00C850FC">
        <w:rPr>
          <w:sz w:val="24"/>
          <w:szCs w:val="24"/>
        </w:rPr>
        <w:t>uary</w:t>
      </w:r>
      <w:r w:rsidR="003A2E93" w:rsidRPr="005D07D8">
        <w:rPr>
          <w:sz w:val="24"/>
          <w:szCs w:val="24"/>
          <w:lang w:val="en-GB"/>
        </w:rPr>
        <w:t xml:space="preserve"> 201</w:t>
      </w:r>
      <w:r w:rsidR="00C850FC">
        <w:rPr>
          <w:sz w:val="24"/>
          <w:szCs w:val="24"/>
          <w:lang w:val="en-GB"/>
        </w:rPr>
        <w:t>8</w:t>
      </w:r>
      <w:r w:rsidR="003A2E93" w:rsidRPr="005D07D8">
        <w:rPr>
          <w:sz w:val="24"/>
          <w:szCs w:val="24"/>
          <w:lang w:val="en-GB"/>
        </w:rPr>
        <w:t xml:space="preserve"> in </w:t>
      </w:r>
      <w:r w:rsidR="00DB1477">
        <w:rPr>
          <w:sz w:val="24"/>
          <w:szCs w:val="24"/>
          <w:lang w:val="en-GB"/>
        </w:rPr>
        <w:t>Brussels</w:t>
      </w:r>
      <w:r w:rsidR="006A4085">
        <w:rPr>
          <w:sz w:val="24"/>
          <w:szCs w:val="24"/>
          <w:lang w:val="en-GB"/>
        </w:rPr>
        <w:t xml:space="preserve"> (Belgium)</w:t>
      </w:r>
      <w:r w:rsidR="003A2E93" w:rsidRPr="005D07D8">
        <w:rPr>
          <w:sz w:val="24"/>
          <w:szCs w:val="24"/>
          <w:lang w:val="en-GB"/>
        </w:rPr>
        <w:t>.</w:t>
      </w:r>
    </w:p>
    <w:p w:rsidR="00D850FE" w:rsidRDefault="00245CA6" w:rsidP="00D850FE">
      <w:pPr>
        <w:pStyle w:val="SingleTxtG"/>
        <w:numPr>
          <w:ilvl w:val="0"/>
          <w:numId w:val="11"/>
        </w:numPr>
        <w:tabs>
          <w:tab w:val="right" w:pos="709"/>
        </w:tabs>
        <w:suppressAutoHyphens w:val="0"/>
        <w:ind w:right="4"/>
        <w:rPr>
          <w:b/>
          <w:sz w:val="22"/>
          <w:szCs w:val="22"/>
          <w:lang w:val="en-GB"/>
        </w:rPr>
      </w:pPr>
      <w:r w:rsidRPr="00245CA6">
        <w:rPr>
          <w:b/>
          <w:sz w:val="22"/>
          <w:szCs w:val="22"/>
        </w:rPr>
        <w:t>Consistency between the 1958 Geneva Agreement and the 1997 Vienna Agreement</w:t>
      </w:r>
      <w:r w:rsidR="00D674B3">
        <w:rPr>
          <w:b/>
          <w:sz w:val="22"/>
          <w:szCs w:val="22"/>
        </w:rPr>
        <w:t>.</w:t>
      </w:r>
      <w:r w:rsidR="00D674B3" w:rsidRPr="00D674B3">
        <w:rPr>
          <w:sz w:val="22"/>
          <w:szCs w:val="22"/>
        </w:rPr>
        <w:t xml:space="preserve"> </w:t>
      </w:r>
      <w:r w:rsidR="00D674B3" w:rsidRPr="00D674B3">
        <w:rPr>
          <w:b/>
          <w:sz w:val="22"/>
          <w:szCs w:val="22"/>
        </w:rPr>
        <w:t xml:space="preserve">The performance of </w:t>
      </w:r>
      <w:r w:rsidR="00D674B3">
        <w:rPr>
          <w:b/>
          <w:sz w:val="22"/>
          <w:szCs w:val="22"/>
        </w:rPr>
        <w:t xml:space="preserve">vehicles, their </w:t>
      </w:r>
      <w:r w:rsidR="00D674B3" w:rsidRPr="00D674B3">
        <w:rPr>
          <w:b/>
          <w:sz w:val="22"/>
          <w:szCs w:val="22"/>
        </w:rPr>
        <w:t>equipment and systems in conditions other than tested in the regulated test procedures</w:t>
      </w:r>
    </w:p>
    <w:p w:rsidR="00D674B3" w:rsidRPr="00D850FE" w:rsidRDefault="00D674B3" w:rsidP="00D850FE">
      <w:pPr>
        <w:pStyle w:val="SingleTxtG"/>
        <w:tabs>
          <w:tab w:val="right" w:pos="709"/>
        </w:tabs>
        <w:suppressAutoHyphens w:val="0"/>
        <w:ind w:left="675" w:right="4"/>
        <w:rPr>
          <w:b/>
          <w:sz w:val="22"/>
          <w:szCs w:val="22"/>
          <w:lang w:val="en-GB"/>
        </w:rPr>
      </w:pPr>
      <w:r w:rsidRPr="00D850FE">
        <w:rPr>
          <w:sz w:val="22"/>
          <w:szCs w:val="22"/>
        </w:rPr>
        <w:t>The Group reviewed  the</w:t>
      </w:r>
      <w:r w:rsidRPr="00D850FE">
        <w:rPr>
          <w:sz w:val="22"/>
          <w:szCs w:val="22"/>
          <w:lang w:val="en-GB"/>
        </w:rPr>
        <w:t xml:space="preserve"> </w:t>
      </w:r>
      <w:r w:rsidR="001577FE" w:rsidRPr="00D850FE">
        <w:rPr>
          <w:sz w:val="22"/>
          <w:szCs w:val="22"/>
          <w:lang w:val="en-GB"/>
        </w:rPr>
        <w:t xml:space="preserve">draft </w:t>
      </w:r>
      <w:r w:rsidRPr="00D850FE">
        <w:rPr>
          <w:sz w:val="22"/>
          <w:szCs w:val="22"/>
          <w:lang w:val="en-GB"/>
        </w:rPr>
        <w:t>proposal</w:t>
      </w:r>
      <w:r w:rsidR="001577FE" w:rsidRPr="00D850FE">
        <w:rPr>
          <w:sz w:val="22"/>
          <w:szCs w:val="22"/>
          <w:lang w:val="en-GB"/>
        </w:rPr>
        <w:t>s for</w:t>
      </w:r>
      <w:r w:rsidRPr="00D850FE">
        <w:rPr>
          <w:sz w:val="22"/>
          <w:szCs w:val="22"/>
          <w:lang w:val="en-GB"/>
        </w:rPr>
        <w:t xml:space="preserve"> modification of </w:t>
      </w:r>
      <w:r w:rsidR="001577FE" w:rsidRPr="00D850FE">
        <w:rPr>
          <w:sz w:val="22"/>
          <w:szCs w:val="22"/>
          <w:lang w:val="en-GB"/>
        </w:rPr>
        <w:t xml:space="preserve"> </w:t>
      </w:r>
      <w:r w:rsidRPr="00D850FE">
        <w:rPr>
          <w:sz w:val="22"/>
          <w:szCs w:val="22"/>
          <w:lang w:val="en-GB"/>
        </w:rPr>
        <w:t>UN Regulations</w:t>
      </w:r>
      <w:r w:rsidR="00D850FE">
        <w:rPr>
          <w:sz w:val="22"/>
          <w:szCs w:val="22"/>
          <w:lang w:val="en-GB"/>
        </w:rPr>
        <w:t xml:space="preserve">, attached to the 1958 </w:t>
      </w:r>
      <w:r w:rsidR="001577FE" w:rsidRPr="00D850FE">
        <w:rPr>
          <w:sz w:val="22"/>
          <w:szCs w:val="22"/>
          <w:lang w:val="en-GB"/>
        </w:rPr>
        <w:t xml:space="preserve">Geneva Agreement, </w:t>
      </w:r>
      <w:r w:rsidR="004C39D4" w:rsidRPr="00D850FE">
        <w:rPr>
          <w:sz w:val="22"/>
          <w:szCs w:val="22"/>
          <w:lang w:val="en-GB"/>
        </w:rPr>
        <w:t xml:space="preserve">regarding </w:t>
      </w:r>
      <w:r w:rsidR="003D30DA" w:rsidRPr="00D850FE">
        <w:rPr>
          <w:sz w:val="22"/>
          <w:szCs w:val="22"/>
          <w:lang w:val="en-GB"/>
        </w:rPr>
        <w:t>provisions for periodical technical inspections</w:t>
      </w:r>
      <w:r w:rsidR="001577FE" w:rsidRPr="00D850FE">
        <w:rPr>
          <w:sz w:val="22"/>
          <w:szCs w:val="22"/>
          <w:lang w:val="en-GB"/>
        </w:rPr>
        <w:t>.</w:t>
      </w:r>
      <w:r w:rsidRPr="00D850FE">
        <w:rPr>
          <w:sz w:val="22"/>
          <w:szCs w:val="22"/>
          <w:lang w:val="en-GB"/>
        </w:rPr>
        <w:t xml:space="preserve"> </w:t>
      </w:r>
      <w:r w:rsidR="003D30DA" w:rsidRPr="00D850FE">
        <w:rPr>
          <w:sz w:val="22"/>
          <w:szCs w:val="22"/>
          <w:lang w:val="en-GB"/>
        </w:rPr>
        <w:t>It was noted that UN Regulation 0 could include general provisions for PTI including</w:t>
      </w:r>
      <w:r w:rsidR="00997F7F" w:rsidRPr="00D850FE">
        <w:rPr>
          <w:sz w:val="22"/>
          <w:szCs w:val="22"/>
          <w:lang w:val="en-GB"/>
        </w:rPr>
        <w:t>:</w:t>
      </w:r>
      <w:r w:rsidR="003D30DA" w:rsidRPr="00D850FE">
        <w:rPr>
          <w:sz w:val="22"/>
          <w:szCs w:val="22"/>
          <w:lang w:val="en-GB"/>
        </w:rPr>
        <w:t xml:space="preserve">  </w:t>
      </w:r>
    </w:p>
    <w:p w:rsidR="004C39D4" w:rsidRPr="004C39D4" w:rsidRDefault="00997F7F" w:rsidP="00571394">
      <w:pPr>
        <w:pStyle w:val="SingleTxtG"/>
        <w:numPr>
          <w:ilvl w:val="0"/>
          <w:numId w:val="15"/>
        </w:numPr>
        <w:tabs>
          <w:tab w:val="right" w:pos="709"/>
        </w:tabs>
        <w:spacing w:after="0"/>
        <w:ind w:right="4"/>
        <w:rPr>
          <w:sz w:val="22"/>
          <w:szCs w:val="22"/>
          <w:lang w:val="en-GB"/>
        </w:rPr>
      </w:pPr>
      <w:r>
        <w:rPr>
          <w:sz w:val="22"/>
          <w:szCs w:val="22"/>
          <w:lang w:val="en-GB"/>
        </w:rPr>
        <w:t>g</w:t>
      </w:r>
      <w:r w:rsidR="004C39D4" w:rsidRPr="004C39D4">
        <w:rPr>
          <w:sz w:val="22"/>
          <w:szCs w:val="22"/>
          <w:lang w:val="en-GB"/>
        </w:rPr>
        <w:t xml:space="preserve">eneral description </w:t>
      </w:r>
      <w:r>
        <w:rPr>
          <w:sz w:val="22"/>
          <w:szCs w:val="22"/>
          <w:lang w:val="en-GB"/>
        </w:rPr>
        <w:t>of</w:t>
      </w:r>
      <w:r w:rsidR="004C39D4" w:rsidRPr="004C39D4">
        <w:rPr>
          <w:sz w:val="22"/>
          <w:szCs w:val="22"/>
          <w:lang w:val="en-GB"/>
        </w:rPr>
        <w:t xml:space="preserve"> the </w:t>
      </w:r>
      <w:r>
        <w:rPr>
          <w:sz w:val="22"/>
          <w:szCs w:val="22"/>
          <w:lang w:val="en-GB"/>
        </w:rPr>
        <w:t>PTI scope,</w:t>
      </w:r>
      <w:r w:rsidR="004C39D4" w:rsidRPr="004C39D4">
        <w:rPr>
          <w:sz w:val="22"/>
          <w:szCs w:val="22"/>
          <w:lang w:val="en-GB"/>
        </w:rPr>
        <w:t xml:space="preserve"> what needs to be covered or considered in each </w:t>
      </w:r>
      <w:r>
        <w:rPr>
          <w:sz w:val="22"/>
          <w:szCs w:val="22"/>
          <w:lang w:val="en-GB"/>
        </w:rPr>
        <w:t>UN R</w:t>
      </w:r>
      <w:r w:rsidR="004C39D4" w:rsidRPr="004C39D4">
        <w:rPr>
          <w:sz w:val="22"/>
          <w:szCs w:val="22"/>
          <w:lang w:val="en-GB"/>
        </w:rPr>
        <w:t>egulation</w:t>
      </w:r>
      <w:r>
        <w:rPr>
          <w:sz w:val="22"/>
          <w:szCs w:val="22"/>
          <w:lang w:val="en-GB"/>
        </w:rPr>
        <w:t>;</w:t>
      </w:r>
    </w:p>
    <w:p w:rsidR="004C39D4" w:rsidRPr="004C39D4" w:rsidRDefault="00997F7F" w:rsidP="00571394">
      <w:pPr>
        <w:pStyle w:val="SingleTxtG"/>
        <w:numPr>
          <w:ilvl w:val="0"/>
          <w:numId w:val="15"/>
        </w:numPr>
        <w:tabs>
          <w:tab w:val="right" w:pos="709"/>
        </w:tabs>
        <w:spacing w:after="0"/>
        <w:ind w:right="4"/>
        <w:rPr>
          <w:sz w:val="22"/>
          <w:szCs w:val="22"/>
          <w:lang w:val="en-GB"/>
        </w:rPr>
      </w:pPr>
      <w:proofErr w:type="gramStart"/>
      <w:r>
        <w:rPr>
          <w:sz w:val="22"/>
          <w:szCs w:val="22"/>
          <w:lang w:val="en-GB"/>
        </w:rPr>
        <w:t>t</w:t>
      </w:r>
      <w:r w:rsidR="004C39D4" w:rsidRPr="004C39D4">
        <w:rPr>
          <w:sz w:val="22"/>
          <w:szCs w:val="22"/>
          <w:lang w:val="en-GB"/>
        </w:rPr>
        <w:t>he</w:t>
      </w:r>
      <w:proofErr w:type="gramEnd"/>
      <w:r w:rsidR="004C39D4" w:rsidRPr="004C39D4">
        <w:rPr>
          <w:sz w:val="22"/>
          <w:szCs w:val="22"/>
          <w:lang w:val="en-GB"/>
        </w:rPr>
        <w:t xml:space="preserve"> communication requirements need to be implemented mandatorily in each vehicle. If the </w:t>
      </w:r>
      <w:r w:rsidRPr="00086E75">
        <w:rPr>
          <w:sz w:val="22"/>
          <w:szCs w:val="22"/>
          <w:lang w:val="en-GB"/>
        </w:rPr>
        <w:t xml:space="preserve">ISO 20730 </w:t>
      </w:r>
      <w:r>
        <w:rPr>
          <w:sz w:val="22"/>
          <w:szCs w:val="22"/>
          <w:lang w:val="en-GB"/>
        </w:rPr>
        <w:t>“</w:t>
      </w:r>
      <w:r>
        <w:rPr>
          <w:color w:val="333333"/>
          <w:spacing w:val="-9"/>
          <w:sz w:val="22"/>
          <w:szCs w:val="22"/>
        </w:rPr>
        <w:t>Road vehicles.</w:t>
      </w:r>
      <w:r w:rsidRPr="00086E75">
        <w:rPr>
          <w:color w:val="333333"/>
          <w:spacing w:val="-9"/>
          <w:sz w:val="22"/>
          <w:szCs w:val="22"/>
        </w:rPr>
        <w:t xml:space="preserve"> Vehicle roadworthiness interface for electronic Periodical Technical Inspection (</w:t>
      </w:r>
      <w:proofErr w:type="spellStart"/>
      <w:r w:rsidRPr="00086E75">
        <w:rPr>
          <w:color w:val="333333"/>
          <w:spacing w:val="-9"/>
          <w:sz w:val="22"/>
          <w:szCs w:val="22"/>
        </w:rPr>
        <w:t>ePTI</w:t>
      </w:r>
      <w:proofErr w:type="spellEnd"/>
      <w:r w:rsidRPr="00086E75">
        <w:rPr>
          <w:color w:val="333333"/>
          <w:spacing w:val="-9"/>
          <w:sz w:val="22"/>
          <w:szCs w:val="22"/>
        </w:rPr>
        <w:t>)</w:t>
      </w:r>
      <w:r>
        <w:rPr>
          <w:color w:val="333333"/>
          <w:spacing w:val="-9"/>
          <w:sz w:val="22"/>
          <w:szCs w:val="22"/>
        </w:rPr>
        <w:t xml:space="preserve">” standard </w:t>
      </w:r>
      <w:r w:rsidR="004C39D4" w:rsidRPr="004C39D4">
        <w:rPr>
          <w:sz w:val="22"/>
          <w:szCs w:val="22"/>
          <w:lang w:val="en-GB"/>
        </w:rPr>
        <w:t xml:space="preserve">will be successfully finalized 2018/2019, it should have a horizontal character and cover all single </w:t>
      </w:r>
      <w:r>
        <w:rPr>
          <w:sz w:val="22"/>
          <w:szCs w:val="22"/>
          <w:lang w:val="en-GB"/>
        </w:rPr>
        <w:t>UN Regulations;</w:t>
      </w:r>
    </w:p>
    <w:p w:rsidR="004C39D4" w:rsidRPr="004C39D4" w:rsidRDefault="00997F7F" w:rsidP="00571394">
      <w:pPr>
        <w:pStyle w:val="SingleTxtG"/>
        <w:numPr>
          <w:ilvl w:val="0"/>
          <w:numId w:val="15"/>
        </w:numPr>
        <w:tabs>
          <w:tab w:val="right" w:pos="709"/>
        </w:tabs>
        <w:spacing w:after="0"/>
        <w:ind w:right="4"/>
        <w:rPr>
          <w:sz w:val="22"/>
          <w:szCs w:val="22"/>
          <w:lang w:val="en-GB"/>
        </w:rPr>
      </w:pPr>
      <w:r>
        <w:rPr>
          <w:sz w:val="22"/>
          <w:szCs w:val="22"/>
          <w:lang w:val="en-GB"/>
        </w:rPr>
        <w:t>i</w:t>
      </w:r>
      <w:r w:rsidR="004C39D4" w:rsidRPr="004C39D4">
        <w:rPr>
          <w:sz w:val="22"/>
          <w:szCs w:val="22"/>
          <w:lang w:val="en-GB"/>
        </w:rPr>
        <w:t xml:space="preserve">t needs to be ensured, that all information necessary to develop test methods needs to be delivered by the </w:t>
      </w:r>
      <w:r>
        <w:rPr>
          <w:sz w:val="22"/>
          <w:szCs w:val="22"/>
          <w:lang w:val="en-GB"/>
        </w:rPr>
        <w:t>OE</w:t>
      </w:r>
      <w:r w:rsidR="004C39D4" w:rsidRPr="004C39D4">
        <w:rPr>
          <w:sz w:val="22"/>
          <w:szCs w:val="22"/>
          <w:lang w:val="en-GB"/>
        </w:rPr>
        <w:t>M to the technical service (for verification) and PTI-bodies (for development and</w:t>
      </w:r>
      <w:r>
        <w:rPr>
          <w:sz w:val="22"/>
          <w:szCs w:val="22"/>
          <w:lang w:val="en-GB"/>
        </w:rPr>
        <w:t xml:space="preserve"> provision of PTI test methods);</w:t>
      </w:r>
    </w:p>
    <w:p w:rsidR="004C39D4" w:rsidRPr="004C39D4" w:rsidRDefault="00997F7F" w:rsidP="00571394">
      <w:pPr>
        <w:pStyle w:val="SingleTxtG"/>
        <w:numPr>
          <w:ilvl w:val="0"/>
          <w:numId w:val="15"/>
        </w:numPr>
        <w:tabs>
          <w:tab w:val="right" w:pos="709"/>
        </w:tabs>
        <w:spacing w:after="0"/>
        <w:ind w:right="4"/>
        <w:rPr>
          <w:sz w:val="22"/>
          <w:szCs w:val="22"/>
          <w:lang w:val="en-GB"/>
        </w:rPr>
      </w:pPr>
      <w:proofErr w:type="gramStart"/>
      <w:r>
        <w:rPr>
          <w:sz w:val="22"/>
          <w:szCs w:val="22"/>
          <w:lang w:val="en-GB"/>
        </w:rPr>
        <w:t>t</w:t>
      </w:r>
      <w:r w:rsidR="004C39D4" w:rsidRPr="004C39D4">
        <w:rPr>
          <w:sz w:val="22"/>
          <w:szCs w:val="22"/>
          <w:lang w:val="en-GB"/>
        </w:rPr>
        <w:t>he</w:t>
      </w:r>
      <w:proofErr w:type="gramEnd"/>
      <w:r w:rsidR="004C39D4" w:rsidRPr="004C39D4">
        <w:rPr>
          <w:sz w:val="22"/>
          <w:szCs w:val="22"/>
          <w:lang w:val="en-GB"/>
        </w:rPr>
        <w:t xml:space="preserve"> DETA platform should have a horizontal character. The main focus for</w:t>
      </w:r>
      <w:r>
        <w:rPr>
          <w:sz w:val="22"/>
          <w:szCs w:val="22"/>
          <w:lang w:val="en-GB"/>
        </w:rPr>
        <w:t xml:space="preserve"> PTI should be on SW-Updates,</w:t>
      </w:r>
      <w:r w:rsidR="004C39D4" w:rsidRPr="004C39D4">
        <w:rPr>
          <w:sz w:val="22"/>
          <w:szCs w:val="22"/>
          <w:lang w:val="en-GB"/>
        </w:rPr>
        <w:t xml:space="preserve"> checking the SW-versions and corresponding SW-integrity (checksums)</w:t>
      </w:r>
      <w:r>
        <w:rPr>
          <w:sz w:val="22"/>
          <w:szCs w:val="22"/>
          <w:lang w:val="en-GB"/>
        </w:rPr>
        <w:t>;</w:t>
      </w:r>
    </w:p>
    <w:p w:rsidR="00D850FE" w:rsidRDefault="00997F7F" w:rsidP="00D850FE">
      <w:pPr>
        <w:pStyle w:val="SingleTxtG"/>
        <w:numPr>
          <w:ilvl w:val="0"/>
          <w:numId w:val="15"/>
        </w:numPr>
        <w:tabs>
          <w:tab w:val="right" w:pos="709"/>
        </w:tabs>
        <w:spacing w:after="0"/>
        <w:ind w:right="4"/>
        <w:rPr>
          <w:sz w:val="22"/>
          <w:szCs w:val="22"/>
          <w:lang w:val="en-GB"/>
        </w:rPr>
      </w:pPr>
      <w:r>
        <w:rPr>
          <w:sz w:val="22"/>
          <w:szCs w:val="22"/>
          <w:lang w:val="en-GB"/>
        </w:rPr>
        <w:t>OEM</w:t>
      </w:r>
      <w:r w:rsidR="004C39D4" w:rsidRPr="004C39D4">
        <w:rPr>
          <w:sz w:val="22"/>
          <w:szCs w:val="22"/>
          <w:lang w:val="en-GB"/>
        </w:rPr>
        <w:t xml:space="preserve"> should provide recommendations for the verification.</w:t>
      </w:r>
    </w:p>
    <w:p w:rsidR="00D850FE" w:rsidRDefault="00997F7F" w:rsidP="00D850FE">
      <w:pPr>
        <w:pStyle w:val="SingleTxtG"/>
        <w:tabs>
          <w:tab w:val="right" w:pos="709"/>
        </w:tabs>
        <w:spacing w:after="0"/>
        <w:ind w:left="720" w:right="4"/>
        <w:rPr>
          <w:sz w:val="22"/>
          <w:szCs w:val="22"/>
          <w:lang w:val="en-GB"/>
        </w:rPr>
      </w:pPr>
      <w:r w:rsidRPr="00D850FE">
        <w:rPr>
          <w:sz w:val="22"/>
          <w:szCs w:val="22"/>
          <w:lang w:val="en-GB"/>
        </w:rPr>
        <w:t xml:space="preserve">Due to the complexity of the task, the work will </w:t>
      </w:r>
      <w:proofErr w:type="gramStart"/>
      <w:r w:rsidRPr="00D850FE">
        <w:rPr>
          <w:sz w:val="22"/>
          <w:szCs w:val="22"/>
          <w:lang w:val="en-GB"/>
        </w:rPr>
        <w:t>be  continued</w:t>
      </w:r>
      <w:proofErr w:type="gramEnd"/>
      <w:r w:rsidRPr="00D850FE">
        <w:rPr>
          <w:sz w:val="22"/>
          <w:szCs w:val="22"/>
          <w:lang w:val="en-GB"/>
        </w:rPr>
        <w:t>.</w:t>
      </w:r>
    </w:p>
    <w:p w:rsidR="00D74066" w:rsidRDefault="00997F7F" w:rsidP="00D74066">
      <w:pPr>
        <w:pStyle w:val="SingleTxtG"/>
        <w:tabs>
          <w:tab w:val="right" w:pos="709"/>
        </w:tabs>
        <w:spacing w:after="0"/>
        <w:ind w:left="720" w:right="4"/>
        <w:rPr>
          <w:sz w:val="22"/>
          <w:szCs w:val="22"/>
          <w:lang w:val="en-GB"/>
        </w:rPr>
      </w:pPr>
      <w:r>
        <w:rPr>
          <w:sz w:val="22"/>
          <w:szCs w:val="22"/>
          <w:lang w:val="en-GB"/>
        </w:rPr>
        <w:t>The G</w:t>
      </w:r>
      <w:r w:rsidR="00D674B3">
        <w:rPr>
          <w:sz w:val="22"/>
          <w:szCs w:val="22"/>
          <w:lang w:val="en-GB"/>
        </w:rPr>
        <w:t xml:space="preserve">roup </w:t>
      </w:r>
      <w:r w:rsidR="0084655F">
        <w:rPr>
          <w:sz w:val="22"/>
          <w:szCs w:val="22"/>
          <w:lang w:val="en-GB"/>
        </w:rPr>
        <w:t xml:space="preserve">discussed different approaches for realization </w:t>
      </w:r>
      <w:r w:rsidR="00E04683">
        <w:rPr>
          <w:sz w:val="22"/>
          <w:szCs w:val="22"/>
          <w:lang w:val="en-GB"/>
        </w:rPr>
        <w:t xml:space="preserve">of whole life vehicle compliance (WLVC). </w:t>
      </w:r>
      <w:r w:rsidR="00D74066">
        <w:rPr>
          <w:sz w:val="22"/>
          <w:szCs w:val="22"/>
          <w:lang w:val="en-GB"/>
        </w:rPr>
        <w:t xml:space="preserve"> </w:t>
      </w:r>
      <w:r w:rsidR="00E04683">
        <w:rPr>
          <w:sz w:val="22"/>
          <w:szCs w:val="22"/>
          <w:lang w:val="en-GB"/>
        </w:rPr>
        <w:t xml:space="preserve">It was noted that </w:t>
      </w:r>
      <w:r w:rsidR="00D674B3">
        <w:rPr>
          <w:sz w:val="22"/>
          <w:szCs w:val="22"/>
          <w:lang w:val="en-GB"/>
        </w:rPr>
        <w:t>general statement</w:t>
      </w:r>
      <w:r w:rsidR="00E04683">
        <w:rPr>
          <w:sz w:val="22"/>
          <w:szCs w:val="22"/>
          <w:lang w:val="en-GB"/>
        </w:rPr>
        <w:t>s could</w:t>
      </w:r>
      <w:r w:rsidR="00D674B3">
        <w:rPr>
          <w:sz w:val="22"/>
          <w:szCs w:val="22"/>
          <w:lang w:val="en-GB"/>
        </w:rPr>
        <w:t xml:space="preserve"> be introduced in the 1958 </w:t>
      </w:r>
      <w:r>
        <w:rPr>
          <w:sz w:val="22"/>
          <w:szCs w:val="22"/>
          <w:lang w:val="en-GB"/>
        </w:rPr>
        <w:t xml:space="preserve">Geneva </w:t>
      </w:r>
      <w:r w:rsidR="00D674B3">
        <w:rPr>
          <w:sz w:val="22"/>
          <w:szCs w:val="22"/>
          <w:lang w:val="en-GB"/>
        </w:rPr>
        <w:t xml:space="preserve">Agreement, and may be as well in the 1998 </w:t>
      </w:r>
      <w:r>
        <w:rPr>
          <w:sz w:val="22"/>
          <w:szCs w:val="22"/>
          <w:lang w:val="en-GB"/>
        </w:rPr>
        <w:t xml:space="preserve">Geneva </w:t>
      </w:r>
      <w:r w:rsidR="00E04683">
        <w:rPr>
          <w:sz w:val="22"/>
          <w:szCs w:val="22"/>
          <w:lang w:val="en-GB"/>
        </w:rPr>
        <w:t>Agreement</w:t>
      </w:r>
      <w:r w:rsidR="00D674B3">
        <w:rPr>
          <w:sz w:val="22"/>
          <w:szCs w:val="22"/>
          <w:lang w:val="en-GB"/>
        </w:rPr>
        <w:t xml:space="preserve">. </w:t>
      </w:r>
      <w:r w:rsidR="00E04683">
        <w:rPr>
          <w:sz w:val="22"/>
          <w:szCs w:val="22"/>
          <w:lang w:val="en-GB"/>
        </w:rPr>
        <w:t>In that case the requirements for vehicles while in use have to be consistent with those for new vehicles, conformity of production and market surveillance. It may imply that PTI fall under those Agreements.</w:t>
      </w:r>
    </w:p>
    <w:p w:rsidR="00F851F7" w:rsidRDefault="00914361" w:rsidP="00F851F7">
      <w:pPr>
        <w:pStyle w:val="SingleTxtG"/>
        <w:tabs>
          <w:tab w:val="right" w:pos="709"/>
        </w:tabs>
        <w:spacing w:after="0"/>
        <w:ind w:left="720" w:right="4"/>
        <w:rPr>
          <w:sz w:val="22"/>
          <w:szCs w:val="22"/>
          <w:lang w:val="en-GB"/>
        </w:rPr>
      </w:pPr>
      <w:r>
        <w:rPr>
          <w:sz w:val="22"/>
          <w:szCs w:val="22"/>
          <w:lang w:val="en-GB"/>
        </w:rPr>
        <w:t xml:space="preserve">The importance of ensuring WLVC for vehicles equipped with </w:t>
      </w:r>
      <w:r>
        <w:rPr>
          <w:sz w:val="22"/>
          <w:szCs w:val="22"/>
        </w:rPr>
        <w:t>automated/autonomous driving s</w:t>
      </w:r>
      <w:r w:rsidRPr="00893B5A">
        <w:rPr>
          <w:sz w:val="22"/>
          <w:szCs w:val="22"/>
        </w:rPr>
        <w:t>ystems</w:t>
      </w:r>
      <w:r>
        <w:rPr>
          <w:sz w:val="22"/>
          <w:szCs w:val="22"/>
          <w:lang w:val="en-GB"/>
        </w:rPr>
        <w:t xml:space="preserve"> was underlined. </w:t>
      </w:r>
      <w:r w:rsidR="00D74066" w:rsidRPr="00D74066">
        <w:rPr>
          <w:sz w:val="22"/>
          <w:szCs w:val="22"/>
        </w:rPr>
        <w:t>Software of the vehicles, and specifically over the air updates of the software lead to a new situation where modification to functions and performance can easily be realized on large scale. This is an important difference with the traditional situation where a vehicle can be changed on individual basis at a specific location.</w:t>
      </w:r>
    </w:p>
    <w:p w:rsidR="0084655F" w:rsidRDefault="00571394" w:rsidP="00F851F7">
      <w:pPr>
        <w:pStyle w:val="SingleTxtG"/>
        <w:tabs>
          <w:tab w:val="right" w:pos="709"/>
        </w:tabs>
        <w:spacing w:after="0"/>
        <w:ind w:left="720" w:right="4"/>
        <w:rPr>
          <w:sz w:val="22"/>
          <w:szCs w:val="22"/>
          <w:lang w:val="en-GB"/>
        </w:rPr>
      </w:pPr>
      <w:r w:rsidRPr="0084655F">
        <w:rPr>
          <w:sz w:val="22"/>
          <w:szCs w:val="22"/>
        </w:rPr>
        <w:t xml:space="preserve">It </w:t>
      </w:r>
      <w:r w:rsidR="00D74066">
        <w:rPr>
          <w:sz w:val="22"/>
          <w:szCs w:val="22"/>
        </w:rPr>
        <w:t>can make</w:t>
      </w:r>
      <w:r w:rsidRPr="0084655F">
        <w:rPr>
          <w:sz w:val="22"/>
          <w:szCs w:val="22"/>
        </w:rPr>
        <w:t xml:space="preserve"> fundamental impact on the scope of PTI and </w:t>
      </w:r>
      <w:r w:rsidR="00D74066">
        <w:rPr>
          <w:sz w:val="22"/>
          <w:szCs w:val="22"/>
        </w:rPr>
        <w:t>the 19</w:t>
      </w:r>
      <w:r w:rsidRPr="0084655F">
        <w:rPr>
          <w:sz w:val="22"/>
          <w:szCs w:val="22"/>
        </w:rPr>
        <w:t xml:space="preserve">97 </w:t>
      </w:r>
      <w:r w:rsidR="00D74066">
        <w:rPr>
          <w:sz w:val="22"/>
          <w:szCs w:val="22"/>
        </w:rPr>
        <w:t xml:space="preserve">Vienna </w:t>
      </w:r>
      <w:r w:rsidRPr="0084655F">
        <w:rPr>
          <w:sz w:val="22"/>
          <w:szCs w:val="22"/>
        </w:rPr>
        <w:t>Agr</w:t>
      </w:r>
      <w:r w:rsidR="00D74066">
        <w:rPr>
          <w:sz w:val="22"/>
          <w:szCs w:val="22"/>
        </w:rPr>
        <w:t xml:space="preserve">eement, as these issues are </w:t>
      </w:r>
      <w:r w:rsidRPr="0084655F">
        <w:rPr>
          <w:sz w:val="22"/>
          <w:szCs w:val="22"/>
        </w:rPr>
        <w:t xml:space="preserve">related with maintaining performance in a broader sense. </w:t>
      </w:r>
      <w:r w:rsidR="00D74066">
        <w:rPr>
          <w:sz w:val="22"/>
          <w:szCs w:val="22"/>
        </w:rPr>
        <w:t>In frame of</w:t>
      </w:r>
      <w:r w:rsidRPr="0084655F">
        <w:rPr>
          <w:sz w:val="22"/>
          <w:szCs w:val="22"/>
        </w:rPr>
        <w:t xml:space="preserve"> the </w:t>
      </w:r>
      <w:r w:rsidR="00D74066">
        <w:rPr>
          <w:sz w:val="22"/>
          <w:szCs w:val="22"/>
        </w:rPr>
        <w:t>19</w:t>
      </w:r>
      <w:r w:rsidRPr="0084655F">
        <w:rPr>
          <w:sz w:val="22"/>
          <w:szCs w:val="22"/>
        </w:rPr>
        <w:t xml:space="preserve">58 </w:t>
      </w:r>
      <w:r w:rsidR="00D74066">
        <w:rPr>
          <w:sz w:val="22"/>
          <w:szCs w:val="22"/>
        </w:rPr>
        <w:t xml:space="preserve">Geneva </w:t>
      </w:r>
      <w:r w:rsidRPr="0084655F">
        <w:rPr>
          <w:sz w:val="22"/>
          <w:szCs w:val="22"/>
        </w:rPr>
        <w:t>Agreement the possibilities to use these new opportunities</w:t>
      </w:r>
      <w:r w:rsidR="00914361">
        <w:rPr>
          <w:sz w:val="22"/>
          <w:szCs w:val="22"/>
        </w:rPr>
        <w:t xml:space="preserve"> are studied</w:t>
      </w:r>
      <w:r w:rsidRPr="0084655F">
        <w:rPr>
          <w:sz w:val="22"/>
          <w:szCs w:val="22"/>
        </w:rPr>
        <w:t xml:space="preserve">, and it would make a lot of sense to use them under the </w:t>
      </w:r>
      <w:r w:rsidR="00914361">
        <w:rPr>
          <w:sz w:val="22"/>
          <w:szCs w:val="22"/>
        </w:rPr>
        <w:t>19</w:t>
      </w:r>
      <w:r w:rsidRPr="0084655F">
        <w:rPr>
          <w:sz w:val="22"/>
          <w:szCs w:val="22"/>
        </w:rPr>
        <w:t xml:space="preserve">97 </w:t>
      </w:r>
      <w:r w:rsidR="00914361">
        <w:rPr>
          <w:sz w:val="22"/>
          <w:szCs w:val="22"/>
        </w:rPr>
        <w:t xml:space="preserve">Vienna </w:t>
      </w:r>
      <w:r w:rsidRPr="0084655F">
        <w:rPr>
          <w:sz w:val="22"/>
          <w:szCs w:val="22"/>
        </w:rPr>
        <w:t>Agreement. This is part of the overall change in automotive</w:t>
      </w:r>
      <w:r w:rsidR="00914361">
        <w:rPr>
          <w:sz w:val="22"/>
          <w:szCs w:val="22"/>
        </w:rPr>
        <w:t xml:space="preserve"> industry.</w:t>
      </w:r>
      <w:r w:rsidRPr="0084655F">
        <w:rPr>
          <w:sz w:val="22"/>
          <w:szCs w:val="22"/>
        </w:rPr>
        <w:t xml:space="preserve"> </w:t>
      </w:r>
      <w:r w:rsidR="00914361">
        <w:rPr>
          <w:sz w:val="22"/>
          <w:szCs w:val="22"/>
        </w:rPr>
        <w:t xml:space="preserve">It will </w:t>
      </w:r>
      <w:r w:rsidR="00914361">
        <w:rPr>
          <w:sz w:val="22"/>
          <w:szCs w:val="22"/>
        </w:rPr>
        <w:lastRenderedPageBreak/>
        <w:t>allow to  provide new concept</w:t>
      </w:r>
      <w:r w:rsidR="00F851F7">
        <w:rPr>
          <w:sz w:val="22"/>
          <w:szCs w:val="22"/>
        </w:rPr>
        <w:t xml:space="preserve"> - </w:t>
      </w:r>
      <w:r w:rsidR="00914361">
        <w:rPr>
          <w:sz w:val="22"/>
          <w:szCs w:val="22"/>
        </w:rPr>
        <w:t xml:space="preserve">continuous compliance of the vehicles. But it shall </w:t>
      </w:r>
      <w:r w:rsidRPr="0084655F">
        <w:rPr>
          <w:sz w:val="22"/>
          <w:szCs w:val="22"/>
        </w:rPr>
        <w:t xml:space="preserve">be </w:t>
      </w:r>
      <w:r w:rsidR="00914361">
        <w:rPr>
          <w:sz w:val="22"/>
          <w:szCs w:val="22"/>
        </w:rPr>
        <w:t>taken into consideration</w:t>
      </w:r>
      <w:r w:rsidRPr="0084655F">
        <w:rPr>
          <w:sz w:val="22"/>
          <w:szCs w:val="22"/>
        </w:rPr>
        <w:t xml:space="preserve"> that the impact is more severe than adding a specific technical issue. </w:t>
      </w:r>
      <w:r w:rsidR="00F851F7">
        <w:rPr>
          <w:sz w:val="22"/>
          <w:szCs w:val="22"/>
          <w:lang w:val="en-GB"/>
        </w:rPr>
        <w:t>Aspects like cyber-security are also required in vehicle inspection.</w:t>
      </w:r>
    </w:p>
    <w:p w:rsidR="00914361" w:rsidRDefault="00D674B3" w:rsidP="00914361">
      <w:pPr>
        <w:pStyle w:val="SingleTxtG"/>
        <w:tabs>
          <w:tab w:val="right" w:pos="709"/>
        </w:tabs>
        <w:spacing w:after="0"/>
        <w:ind w:left="720" w:right="4"/>
        <w:rPr>
          <w:sz w:val="22"/>
          <w:szCs w:val="22"/>
          <w:lang w:val="en-GB"/>
        </w:rPr>
      </w:pPr>
      <w:r>
        <w:rPr>
          <w:sz w:val="22"/>
          <w:szCs w:val="22"/>
          <w:lang w:val="en-GB"/>
        </w:rPr>
        <w:t>Another option to assess is to introduce the requirements for new vehicles to facilitate the checking of their compliance once in use in a non-mandatory document, like the Consolidated Resolution R.E.3.</w:t>
      </w:r>
    </w:p>
    <w:p w:rsidR="00D674B3" w:rsidRDefault="00D674B3" w:rsidP="00914361">
      <w:pPr>
        <w:pStyle w:val="SingleTxtG"/>
        <w:tabs>
          <w:tab w:val="right" w:pos="709"/>
        </w:tabs>
        <w:spacing w:after="0"/>
        <w:ind w:left="720" w:right="4"/>
        <w:rPr>
          <w:sz w:val="22"/>
          <w:szCs w:val="22"/>
          <w:lang w:val="en-GB"/>
        </w:rPr>
      </w:pPr>
      <w:r>
        <w:rPr>
          <w:sz w:val="22"/>
          <w:szCs w:val="22"/>
          <w:lang w:val="en-GB"/>
        </w:rPr>
        <w:t>The group agreed to define the following priorities:</w:t>
      </w:r>
    </w:p>
    <w:p w:rsidR="00D674B3" w:rsidRDefault="00914361" w:rsidP="00914361">
      <w:pPr>
        <w:pStyle w:val="SingleTxtG"/>
        <w:numPr>
          <w:ilvl w:val="0"/>
          <w:numId w:val="15"/>
        </w:numPr>
        <w:tabs>
          <w:tab w:val="right" w:pos="709"/>
        </w:tabs>
        <w:spacing w:after="0"/>
        <w:ind w:right="4"/>
        <w:rPr>
          <w:sz w:val="22"/>
          <w:szCs w:val="22"/>
          <w:lang w:val="en-GB"/>
        </w:rPr>
      </w:pPr>
      <w:r>
        <w:rPr>
          <w:sz w:val="22"/>
          <w:szCs w:val="22"/>
          <w:lang w:val="en-GB"/>
        </w:rPr>
        <w:t>e</w:t>
      </w:r>
      <w:r w:rsidR="00D674B3">
        <w:rPr>
          <w:sz w:val="22"/>
          <w:szCs w:val="22"/>
          <w:lang w:val="en-GB"/>
        </w:rPr>
        <w:t>missions, since tampering is an important issue and they already have provisions for in-use compliance: i.e. OBD and type 2 tests</w:t>
      </w:r>
      <w:r>
        <w:rPr>
          <w:sz w:val="22"/>
          <w:szCs w:val="22"/>
          <w:lang w:val="en-GB"/>
        </w:rPr>
        <w:t>;</w:t>
      </w:r>
    </w:p>
    <w:p w:rsidR="00D674B3" w:rsidRDefault="00914361" w:rsidP="00914361">
      <w:pPr>
        <w:pStyle w:val="SingleTxtG"/>
        <w:numPr>
          <w:ilvl w:val="0"/>
          <w:numId w:val="15"/>
        </w:numPr>
        <w:tabs>
          <w:tab w:val="right" w:pos="709"/>
        </w:tabs>
        <w:spacing w:after="0"/>
        <w:ind w:right="4"/>
        <w:rPr>
          <w:sz w:val="22"/>
          <w:szCs w:val="22"/>
          <w:lang w:val="en-GB"/>
        </w:rPr>
      </w:pPr>
      <w:r>
        <w:rPr>
          <w:sz w:val="22"/>
          <w:szCs w:val="22"/>
          <w:lang w:val="en-GB"/>
        </w:rPr>
        <w:t>b</w:t>
      </w:r>
      <w:r w:rsidR="00D674B3">
        <w:rPr>
          <w:sz w:val="22"/>
          <w:szCs w:val="22"/>
          <w:lang w:val="en-GB"/>
        </w:rPr>
        <w:t>raking, since there are too provisions for in-use compliance; in this case the reference braking forces</w:t>
      </w:r>
    </w:p>
    <w:p w:rsidR="00D674B3" w:rsidRDefault="00914361" w:rsidP="00914361">
      <w:pPr>
        <w:pStyle w:val="SingleTxtG"/>
        <w:numPr>
          <w:ilvl w:val="0"/>
          <w:numId w:val="15"/>
        </w:numPr>
        <w:tabs>
          <w:tab w:val="right" w:pos="709"/>
        </w:tabs>
        <w:spacing w:after="0"/>
        <w:ind w:right="4"/>
        <w:rPr>
          <w:sz w:val="22"/>
          <w:szCs w:val="22"/>
          <w:lang w:val="en-GB"/>
        </w:rPr>
      </w:pPr>
      <w:r>
        <w:rPr>
          <w:sz w:val="22"/>
          <w:szCs w:val="22"/>
          <w:lang w:val="en-GB"/>
        </w:rPr>
        <w:t xml:space="preserve">steering </w:t>
      </w:r>
      <w:r w:rsidR="00D674B3">
        <w:rPr>
          <w:sz w:val="22"/>
          <w:szCs w:val="22"/>
          <w:lang w:val="en-GB"/>
        </w:rPr>
        <w:t xml:space="preserve">, since </w:t>
      </w:r>
      <w:r>
        <w:rPr>
          <w:sz w:val="22"/>
          <w:szCs w:val="22"/>
          <w:lang w:val="en-GB"/>
        </w:rPr>
        <w:t xml:space="preserve">UN Regulation </w:t>
      </w:r>
      <w:r w:rsidR="00D674B3">
        <w:rPr>
          <w:sz w:val="22"/>
          <w:szCs w:val="22"/>
          <w:lang w:val="en-GB"/>
        </w:rPr>
        <w:t>mentions whole-life compliance but does not give the details</w:t>
      </w:r>
      <w:r w:rsidR="00F851F7">
        <w:rPr>
          <w:sz w:val="22"/>
          <w:szCs w:val="22"/>
          <w:lang w:val="en-GB"/>
        </w:rPr>
        <w:t>;</w:t>
      </w:r>
    </w:p>
    <w:p w:rsidR="00F851F7" w:rsidRDefault="003C749F" w:rsidP="00F851F7">
      <w:pPr>
        <w:pStyle w:val="SingleTxtG"/>
        <w:numPr>
          <w:ilvl w:val="0"/>
          <w:numId w:val="15"/>
        </w:numPr>
        <w:tabs>
          <w:tab w:val="right" w:pos="709"/>
        </w:tabs>
        <w:spacing w:after="0"/>
        <w:ind w:right="4"/>
        <w:rPr>
          <w:sz w:val="22"/>
          <w:szCs w:val="22"/>
          <w:lang w:val="en-GB"/>
        </w:rPr>
      </w:pPr>
      <w:r>
        <w:rPr>
          <w:sz w:val="22"/>
          <w:szCs w:val="22"/>
        </w:rPr>
        <w:t>ap</w:t>
      </w:r>
      <w:r w:rsidR="00D674B3">
        <w:rPr>
          <w:sz w:val="22"/>
          <w:szCs w:val="22"/>
          <w:lang w:val="en-GB"/>
        </w:rPr>
        <w:t>proval ma</w:t>
      </w:r>
      <w:r w:rsidR="00F851F7">
        <w:rPr>
          <w:sz w:val="22"/>
          <w:szCs w:val="22"/>
          <w:lang w:val="en-GB"/>
        </w:rPr>
        <w:t>r</w:t>
      </w:r>
      <w:r w:rsidR="00D674B3">
        <w:rPr>
          <w:sz w:val="22"/>
          <w:szCs w:val="22"/>
          <w:lang w:val="en-GB"/>
        </w:rPr>
        <w:t>king in general, since an important part of the in-use compliance schemes rely on that.</w:t>
      </w:r>
    </w:p>
    <w:p w:rsidR="00467ED2" w:rsidRPr="00F851F7" w:rsidRDefault="00D674B3" w:rsidP="00F851F7">
      <w:pPr>
        <w:pStyle w:val="SingleTxtG"/>
        <w:tabs>
          <w:tab w:val="right" w:pos="709"/>
        </w:tabs>
        <w:spacing w:after="0"/>
        <w:ind w:left="720" w:right="4"/>
        <w:rPr>
          <w:sz w:val="22"/>
          <w:szCs w:val="22"/>
          <w:lang w:val="en-GB"/>
        </w:rPr>
      </w:pPr>
      <w:r w:rsidRPr="00F851F7">
        <w:rPr>
          <w:sz w:val="22"/>
          <w:szCs w:val="22"/>
          <w:lang w:val="en-GB"/>
        </w:rPr>
        <w:t>The group also agreed that it is essential to have the cooperation of vehicle manufacturers, since they are the source of most of required information.</w:t>
      </w:r>
    </w:p>
    <w:p w:rsidR="00D850FE" w:rsidRPr="00467ED2" w:rsidRDefault="00D674B3" w:rsidP="00467ED2">
      <w:pPr>
        <w:pStyle w:val="SingleTxtG"/>
        <w:numPr>
          <w:ilvl w:val="0"/>
          <w:numId w:val="11"/>
        </w:numPr>
        <w:tabs>
          <w:tab w:val="right" w:pos="709"/>
        </w:tabs>
        <w:spacing w:after="0"/>
        <w:ind w:right="4"/>
        <w:rPr>
          <w:b/>
          <w:sz w:val="22"/>
          <w:szCs w:val="22"/>
          <w:lang w:val="en-GB"/>
        </w:rPr>
      </w:pPr>
      <w:r w:rsidRPr="00467ED2">
        <w:rPr>
          <w:b/>
          <w:sz w:val="22"/>
          <w:szCs w:val="22"/>
        </w:rPr>
        <w:t>Development of inspection techniques against tampering practices</w:t>
      </w:r>
    </w:p>
    <w:p w:rsidR="00D850FE" w:rsidRDefault="00A63A58" w:rsidP="00467ED2">
      <w:pPr>
        <w:pStyle w:val="HChG"/>
        <w:keepNext w:val="0"/>
        <w:keepLines w:val="0"/>
        <w:tabs>
          <w:tab w:val="clear" w:pos="851"/>
          <w:tab w:val="right" w:pos="709"/>
        </w:tabs>
        <w:suppressAutoHyphens w:val="0"/>
        <w:spacing w:before="0" w:after="0" w:line="240" w:lineRule="auto"/>
        <w:ind w:left="709" w:right="6" w:firstLine="0"/>
        <w:jc w:val="both"/>
        <w:rPr>
          <w:b w:val="0"/>
          <w:sz w:val="22"/>
          <w:szCs w:val="22"/>
        </w:rPr>
      </w:pPr>
      <w:r w:rsidRPr="00D850FE">
        <w:rPr>
          <w:b w:val="0"/>
          <w:sz w:val="22"/>
          <w:szCs w:val="22"/>
        </w:rPr>
        <w:t>Following the request of WP.29</w:t>
      </w:r>
      <w:r w:rsidR="00ED7032" w:rsidRPr="00D850FE">
        <w:rPr>
          <w:b w:val="0"/>
          <w:sz w:val="22"/>
          <w:szCs w:val="22"/>
        </w:rPr>
        <w:t xml:space="preserve"> t</w:t>
      </w:r>
      <w:r w:rsidR="00D674B3" w:rsidRPr="00D850FE">
        <w:rPr>
          <w:b w:val="0"/>
          <w:sz w:val="22"/>
          <w:szCs w:val="22"/>
        </w:rPr>
        <w:t xml:space="preserve">he </w:t>
      </w:r>
      <w:r w:rsidR="00ED7032" w:rsidRPr="00D850FE">
        <w:rPr>
          <w:b w:val="0"/>
          <w:sz w:val="22"/>
          <w:szCs w:val="22"/>
        </w:rPr>
        <w:t>G</w:t>
      </w:r>
      <w:r w:rsidR="00D674B3" w:rsidRPr="00D850FE">
        <w:rPr>
          <w:b w:val="0"/>
          <w:sz w:val="22"/>
          <w:szCs w:val="22"/>
        </w:rPr>
        <w:t xml:space="preserve">roup </w:t>
      </w:r>
      <w:r w:rsidR="00ED7032" w:rsidRPr="00D850FE">
        <w:rPr>
          <w:b w:val="0"/>
          <w:sz w:val="22"/>
          <w:szCs w:val="22"/>
        </w:rPr>
        <w:t xml:space="preserve">continued </w:t>
      </w:r>
      <w:proofErr w:type="gramStart"/>
      <w:r w:rsidR="00D674B3" w:rsidRPr="00D850FE">
        <w:rPr>
          <w:b w:val="0"/>
          <w:sz w:val="22"/>
          <w:szCs w:val="22"/>
        </w:rPr>
        <w:t>discuss</w:t>
      </w:r>
      <w:r w:rsidR="00ED7032" w:rsidRPr="00D850FE">
        <w:rPr>
          <w:b w:val="0"/>
          <w:sz w:val="22"/>
          <w:szCs w:val="22"/>
        </w:rPr>
        <w:t xml:space="preserve">ion </w:t>
      </w:r>
      <w:r w:rsidR="00D674B3" w:rsidRPr="00D850FE">
        <w:rPr>
          <w:b w:val="0"/>
          <w:sz w:val="22"/>
          <w:szCs w:val="22"/>
        </w:rPr>
        <w:t xml:space="preserve"> on</w:t>
      </w:r>
      <w:proofErr w:type="gramEnd"/>
      <w:r w:rsidR="00D674B3" w:rsidRPr="00D850FE">
        <w:rPr>
          <w:b w:val="0"/>
          <w:sz w:val="22"/>
          <w:szCs w:val="22"/>
        </w:rPr>
        <w:t xml:space="preserve"> tamperi</w:t>
      </w:r>
      <w:r w:rsidR="00ED7032" w:rsidRPr="00D850FE">
        <w:rPr>
          <w:b w:val="0"/>
          <w:sz w:val="22"/>
          <w:szCs w:val="22"/>
        </w:rPr>
        <w:t>ng.</w:t>
      </w:r>
    </w:p>
    <w:p w:rsidR="00467ED2" w:rsidRDefault="00ED7032" w:rsidP="00467ED2">
      <w:pPr>
        <w:pStyle w:val="HChG"/>
        <w:keepNext w:val="0"/>
        <w:keepLines w:val="0"/>
        <w:tabs>
          <w:tab w:val="clear" w:pos="851"/>
          <w:tab w:val="right" w:pos="709"/>
        </w:tabs>
        <w:suppressAutoHyphens w:val="0"/>
        <w:spacing w:before="0" w:after="0" w:line="240" w:lineRule="auto"/>
        <w:ind w:left="709" w:right="6" w:firstLine="0"/>
        <w:jc w:val="both"/>
        <w:rPr>
          <w:b w:val="0"/>
          <w:sz w:val="22"/>
          <w:szCs w:val="22"/>
        </w:rPr>
      </w:pPr>
      <w:r w:rsidRPr="00D850FE">
        <w:rPr>
          <w:b w:val="0"/>
          <w:sz w:val="22"/>
          <w:szCs w:val="22"/>
        </w:rPr>
        <w:t>It was concluded that b</w:t>
      </w:r>
      <w:r w:rsidR="00D674B3" w:rsidRPr="00D850FE">
        <w:rPr>
          <w:b w:val="0"/>
          <w:sz w:val="22"/>
          <w:szCs w:val="22"/>
        </w:rPr>
        <w:t>y definition, tampering is not only a technical but a behavioural issue, therefore it cannot be envisaged a single tool to detect all tampering possibilities.</w:t>
      </w:r>
    </w:p>
    <w:p w:rsidR="00467ED2" w:rsidRPr="00467ED2" w:rsidRDefault="00A63A58" w:rsidP="00467ED2">
      <w:pPr>
        <w:pStyle w:val="HChG"/>
        <w:keepNext w:val="0"/>
        <w:keepLines w:val="0"/>
        <w:tabs>
          <w:tab w:val="clear" w:pos="851"/>
          <w:tab w:val="right" w:pos="709"/>
        </w:tabs>
        <w:suppressAutoHyphens w:val="0"/>
        <w:spacing w:before="0" w:after="0" w:line="240" w:lineRule="auto"/>
        <w:ind w:left="709" w:right="6" w:firstLine="0"/>
        <w:jc w:val="both"/>
        <w:rPr>
          <w:b w:val="0"/>
          <w:sz w:val="22"/>
          <w:szCs w:val="22"/>
        </w:rPr>
      </w:pPr>
      <w:r w:rsidRPr="008B3AE7">
        <w:rPr>
          <w:b w:val="0"/>
          <w:sz w:val="22"/>
          <w:szCs w:val="22"/>
        </w:rPr>
        <w:t>S</w:t>
      </w:r>
      <w:r w:rsidR="00D674B3" w:rsidRPr="008B3AE7">
        <w:rPr>
          <w:b w:val="0"/>
          <w:sz w:val="22"/>
          <w:szCs w:val="22"/>
        </w:rPr>
        <w:t xml:space="preserve">ome </w:t>
      </w:r>
      <w:proofErr w:type="gramStart"/>
      <w:r w:rsidRPr="008B3AE7">
        <w:rPr>
          <w:b w:val="0"/>
          <w:sz w:val="22"/>
          <w:szCs w:val="22"/>
        </w:rPr>
        <w:t xml:space="preserve">countries </w:t>
      </w:r>
      <w:r w:rsidR="00D674B3" w:rsidRPr="008B3AE7">
        <w:rPr>
          <w:b w:val="0"/>
          <w:sz w:val="22"/>
          <w:szCs w:val="22"/>
        </w:rPr>
        <w:t xml:space="preserve"> assess</w:t>
      </w:r>
      <w:proofErr w:type="gramEnd"/>
      <w:r w:rsidR="00D674B3" w:rsidRPr="00467ED2">
        <w:rPr>
          <w:b w:val="0"/>
          <w:sz w:val="22"/>
          <w:szCs w:val="22"/>
        </w:rPr>
        <w:t xml:space="preserve"> tampering </w:t>
      </w:r>
      <w:r w:rsidRPr="00467ED2">
        <w:rPr>
          <w:b w:val="0"/>
          <w:sz w:val="22"/>
          <w:szCs w:val="22"/>
        </w:rPr>
        <w:t>impact on</w:t>
      </w:r>
      <w:r w:rsidR="00D674B3" w:rsidRPr="00467ED2">
        <w:rPr>
          <w:b w:val="0"/>
          <w:sz w:val="22"/>
          <w:szCs w:val="22"/>
        </w:rPr>
        <w:t xml:space="preserve"> their roads.</w:t>
      </w:r>
      <w:r w:rsidRPr="00467ED2">
        <w:rPr>
          <w:b w:val="0"/>
          <w:sz w:val="22"/>
          <w:szCs w:val="22"/>
        </w:rPr>
        <w:t xml:space="preserve"> There is not yet precise data to estimate related risks and develop cost effective measures.</w:t>
      </w:r>
    </w:p>
    <w:p w:rsidR="00467ED2" w:rsidRPr="00467ED2" w:rsidRDefault="00D674B3" w:rsidP="00467ED2">
      <w:pPr>
        <w:pStyle w:val="HChG"/>
        <w:keepNext w:val="0"/>
        <w:keepLines w:val="0"/>
        <w:tabs>
          <w:tab w:val="clear" w:pos="851"/>
          <w:tab w:val="right" w:pos="709"/>
        </w:tabs>
        <w:suppressAutoHyphens w:val="0"/>
        <w:spacing w:before="0" w:after="0" w:line="240" w:lineRule="auto"/>
        <w:ind w:left="709" w:right="6" w:firstLine="0"/>
        <w:jc w:val="both"/>
        <w:rPr>
          <w:b w:val="0"/>
          <w:sz w:val="22"/>
          <w:szCs w:val="22"/>
        </w:rPr>
      </w:pPr>
      <w:r w:rsidRPr="00467ED2">
        <w:rPr>
          <w:b w:val="0"/>
          <w:sz w:val="22"/>
          <w:szCs w:val="22"/>
        </w:rPr>
        <w:t xml:space="preserve">CITA informed that by the end of April, </w:t>
      </w:r>
      <w:r w:rsidR="00ED7032" w:rsidRPr="00467ED2">
        <w:rPr>
          <w:b w:val="0"/>
          <w:sz w:val="22"/>
          <w:szCs w:val="22"/>
        </w:rPr>
        <w:t xml:space="preserve">2018 </w:t>
      </w:r>
      <w:r w:rsidRPr="00467ED2">
        <w:rPr>
          <w:b w:val="0"/>
          <w:sz w:val="22"/>
          <w:szCs w:val="22"/>
        </w:rPr>
        <w:t>the results of its working group on Emissions tampering will be available.</w:t>
      </w:r>
      <w:r w:rsidR="00ED7032" w:rsidRPr="00467ED2">
        <w:rPr>
          <w:b w:val="0"/>
          <w:sz w:val="22"/>
          <w:szCs w:val="22"/>
        </w:rPr>
        <w:t xml:space="preserve"> </w:t>
      </w:r>
      <w:r w:rsidR="00F851F7">
        <w:rPr>
          <w:b w:val="0"/>
          <w:sz w:val="22"/>
          <w:szCs w:val="22"/>
        </w:rPr>
        <w:t>Their findings could assist to develop t</w:t>
      </w:r>
      <w:r w:rsidR="00ED7032" w:rsidRPr="00467ED2">
        <w:rPr>
          <w:b w:val="0"/>
          <w:sz w:val="22"/>
          <w:szCs w:val="22"/>
        </w:rPr>
        <w:t xml:space="preserve">echnical strategies </w:t>
      </w:r>
      <w:r w:rsidR="00F851F7">
        <w:rPr>
          <w:b w:val="0"/>
          <w:sz w:val="22"/>
          <w:szCs w:val="22"/>
        </w:rPr>
        <w:t>on</w:t>
      </w:r>
      <w:r w:rsidR="00ED7032" w:rsidRPr="00467ED2">
        <w:rPr>
          <w:b w:val="0"/>
          <w:sz w:val="22"/>
          <w:szCs w:val="22"/>
        </w:rPr>
        <w:t xml:space="preserve"> tampering</w:t>
      </w:r>
      <w:r w:rsidR="00F851F7">
        <w:rPr>
          <w:b w:val="0"/>
          <w:sz w:val="22"/>
          <w:szCs w:val="22"/>
        </w:rPr>
        <w:t>.</w:t>
      </w:r>
    </w:p>
    <w:p w:rsidR="00467ED2" w:rsidRPr="00467ED2" w:rsidRDefault="00D674B3" w:rsidP="00467ED2">
      <w:pPr>
        <w:pStyle w:val="HChG"/>
        <w:keepNext w:val="0"/>
        <w:keepLines w:val="0"/>
        <w:tabs>
          <w:tab w:val="clear" w:pos="851"/>
          <w:tab w:val="right" w:pos="709"/>
        </w:tabs>
        <w:suppressAutoHyphens w:val="0"/>
        <w:spacing w:before="0" w:after="0" w:line="240" w:lineRule="auto"/>
        <w:ind w:left="709" w:right="6" w:firstLine="0"/>
        <w:jc w:val="both"/>
        <w:rPr>
          <w:b w:val="0"/>
          <w:sz w:val="22"/>
          <w:szCs w:val="22"/>
        </w:rPr>
      </w:pPr>
      <w:r w:rsidRPr="00467ED2">
        <w:rPr>
          <w:b w:val="0"/>
          <w:sz w:val="22"/>
          <w:szCs w:val="22"/>
        </w:rPr>
        <w:t>The involvement of OEMs is essential to fight against tampering, producing des</w:t>
      </w:r>
      <w:r w:rsidR="00ED7032" w:rsidRPr="00467ED2">
        <w:rPr>
          <w:b w:val="0"/>
          <w:sz w:val="22"/>
          <w:szCs w:val="22"/>
        </w:rPr>
        <w:t>igns more tampering-proof. The G</w:t>
      </w:r>
      <w:r w:rsidRPr="00467ED2">
        <w:rPr>
          <w:b w:val="0"/>
          <w:sz w:val="22"/>
          <w:szCs w:val="22"/>
        </w:rPr>
        <w:t>roup consider</w:t>
      </w:r>
      <w:r w:rsidR="00F851F7">
        <w:rPr>
          <w:b w:val="0"/>
          <w:sz w:val="22"/>
          <w:szCs w:val="22"/>
        </w:rPr>
        <w:t>s</w:t>
      </w:r>
      <w:r w:rsidRPr="00467ED2">
        <w:rPr>
          <w:b w:val="0"/>
          <w:sz w:val="22"/>
          <w:szCs w:val="22"/>
        </w:rPr>
        <w:t xml:space="preserve"> that the collaboration between OEMs, type approval</w:t>
      </w:r>
      <w:r w:rsidR="00ED7032" w:rsidRPr="00467ED2">
        <w:rPr>
          <w:b w:val="0"/>
          <w:sz w:val="22"/>
          <w:szCs w:val="22"/>
        </w:rPr>
        <w:t xml:space="preserve"> authorities</w:t>
      </w:r>
      <w:r w:rsidRPr="00467ED2">
        <w:rPr>
          <w:b w:val="0"/>
          <w:sz w:val="22"/>
          <w:szCs w:val="22"/>
        </w:rPr>
        <w:t xml:space="preserve"> and vehicle inspection is the only way to cope with tampering issues.</w:t>
      </w:r>
    </w:p>
    <w:p w:rsidR="00D674B3" w:rsidRPr="00F851F7" w:rsidRDefault="008B3AE7" w:rsidP="00F851F7">
      <w:pPr>
        <w:pStyle w:val="HChG"/>
        <w:keepNext w:val="0"/>
        <w:keepLines w:val="0"/>
        <w:tabs>
          <w:tab w:val="clear" w:pos="851"/>
          <w:tab w:val="right" w:pos="709"/>
        </w:tabs>
        <w:suppressAutoHyphens w:val="0"/>
        <w:spacing w:before="0" w:after="0" w:line="240" w:lineRule="auto"/>
        <w:ind w:left="709" w:right="6" w:firstLine="0"/>
        <w:jc w:val="both"/>
        <w:rPr>
          <w:b w:val="0"/>
          <w:sz w:val="22"/>
          <w:szCs w:val="22"/>
        </w:rPr>
      </w:pPr>
      <w:r>
        <w:rPr>
          <w:b w:val="0"/>
          <w:sz w:val="22"/>
          <w:szCs w:val="22"/>
        </w:rPr>
        <w:t>The G</w:t>
      </w:r>
      <w:r w:rsidR="00D674B3" w:rsidRPr="00467ED2">
        <w:rPr>
          <w:b w:val="0"/>
          <w:sz w:val="22"/>
          <w:szCs w:val="22"/>
        </w:rPr>
        <w:t xml:space="preserve">roup </w:t>
      </w:r>
      <w:r w:rsidR="00ED7032" w:rsidRPr="00467ED2">
        <w:rPr>
          <w:b w:val="0"/>
          <w:sz w:val="22"/>
          <w:szCs w:val="22"/>
        </w:rPr>
        <w:t>not</w:t>
      </w:r>
      <w:r w:rsidR="00D674B3" w:rsidRPr="00467ED2">
        <w:rPr>
          <w:b w:val="0"/>
          <w:sz w:val="22"/>
          <w:szCs w:val="22"/>
        </w:rPr>
        <w:t xml:space="preserve">ed </w:t>
      </w:r>
      <w:r w:rsidR="00F851F7">
        <w:rPr>
          <w:b w:val="0"/>
          <w:sz w:val="22"/>
          <w:szCs w:val="22"/>
        </w:rPr>
        <w:t>the</w:t>
      </w:r>
      <w:r w:rsidR="00F851F7">
        <w:rPr>
          <w:sz w:val="22"/>
          <w:szCs w:val="22"/>
        </w:rPr>
        <w:t xml:space="preserve"> </w:t>
      </w:r>
      <w:r w:rsidR="00F851F7" w:rsidRPr="00F851F7">
        <w:rPr>
          <w:b w:val="0"/>
          <w:sz w:val="22"/>
          <w:szCs w:val="22"/>
        </w:rPr>
        <w:t>nec</w:t>
      </w:r>
      <w:r w:rsidR="00D674B3" w:rsidRPr="00F851F7">
        <w:rPr>
          <w:b w:val="0"/>
          <w:sz w:val="22"/>
          <w:szCs w:val="22"/>
        </w:rPr>
        <w:t>ess</w:t>
      </w:r>
      <w:r w:rsidR="00F851F7" w:rsidRPr="00F851F7">
        <w:rPr>
          <w:b w:val="0"/>
          <w:sz w:val="22"/>
          <w:szCs w:val="22"/>
        </w:rPr>
        <w:t xml:space="preserve">ity </w:t>
      </w:r>
      <w:r w:rsidR="00F851F7">
        <w:rPr>
          <w:b w:val="0"/>
          <w:sz w:val="22"/>
          <w:szCs w:val="22"/>
        </w:rPr>
        <w:t>to</w:t>
      </w:r>
      <w:r w:rsidR="00D674B3" w:rsidRPr="00F851F7">
        <w:rPr>
          <w:b w:val="0"/>
          <w:sz w:val="22"/>
          <w:szCs w:val="22"/>
        </w:rPr>
        <w:t xml:space="preserve"> reinforce the frame for legal enforcement, like in the case of </w:t>
      </w:r>
      <w:proofErr w:type="spellStart"/>
      <w:r w:rsidR="00D674B3" w:rsidRPr="00F851F7">
        <w:rPr>
          <w:b w:val="0"/>
          <w:sz w:val="22"/>
          <w:szCs w:val="22"/>
        </w:rPr>
        <w:t>tachographs</w:t>
      </w:r>
      <w:proofErr w:type="spellEnd"/>
      <w:r w:rsidR="00D674B3" w:rsidRPr="00F851F7">
        <w:rPr>
          <w:b w:val="0"/>
          <w:sz w:val="22"/>
          <w:szCs w:val="22"/>
        </w:rPr>
        <w:t xml:space="preserve"> where the trade of tampering tools and the manipulation of devices is punished by law.</w:t>
      </w:r>
    </w:p>
    <w:p w:rsidR="00D674B3" w:rsidRDefault="00D674B3" w:rsidP="00D674B3">
      <w:pPr>
        <w:pStyle w:val="SingleTxtG"/>
        <w:tabs>
          <w:tab w:val="right" w:pos="709"/>
        </w:tabs>
        <w:suppressAutoHyphens w:val="0"/>
        <w:ind w:left="1035" w:right="4"/>
        <w:rPr>
          <w:b/>
          <w:sz w:val="22"/>
          <w:szCs w:val="22"/>
          <w:lang w:val="en-GB"/>
        </w:rPr>
      </w:pPr>
    </w:p>
    <w:p w:rsidR="007C511B" w:rsidRPr="008B3AE7" w:rsidRDefault="008B3AE7" w:rsidP="008B3AE7">
      <w:pPr>
        <w:pStyle w:val="SingleTxtG"/>
        <w:numPr>
          <w:ilvl w:val="0"/>
          <w:numId w:val="11"/>
        </w:numPr>
        <w:tabs>
          <w:tab w:val="right" w:pos="709"/>
        </w:tabs>
        <w:suppressAutoHyphens w:val="0"/>
        <w:ind w:right="4"/>
        <w:rPr>
          <w:b/>
          <w:sz w:val="22"/>
          <w:szCs w:val="22"/>
        </w:rPr>
      </w:pPr>
      <w:r w:rsidRPr="008B3AE7">
        <w:rPr>
          <w:b/>
          <w:sz w:val="22"/>
          <w:szCs w:val="22"/>
        </w:rPr>
        <w:t>T</w:t>
      </w:r>
      <w:r w:rsidR="00865ADB">
        <w:rPr>
          <w:b/>
          <w:sz w:val="22"/>
          <w:szCs w:val="22"/>
        </w:rPr>
        <w:t>he updated Terms of R</w:t>
      </w:r>
      <w:r w:rsidRPr="008B3AE7">
        <w:rPr>
          <w:b/>
          <w:sz w:val="22"/>
          <w:szCs w:val="22"/>
        </w:rPr>
        <w:t>eference</w:t>
      </w:r>
    </w:p>
    <w:p w:rsidR="00865ADB" w:rsidRPr="00865ADB" w:rsidRDefault="00091DA3" w:rsidP="00865ADB">
      <w:pPr>
        <w:ind w:left="675"/>
        <w:rPr>
          <w:rFonts w:ascii="Times New Roman" w:hAnsi="Times New Roman"/>
        </w:rPr>
      </w:pPr>
      <w:r w:rsidRPr="00091DA3">
        <w:rPr>
          <w:rFonts w:ascii="Times New Roman" w:hAnsi="Times New Roman"/>
        </w:rPr>
        <w:t>At it’s the 173</w:t>
      </w:r>
      <w:r w:rsidRPr="00091DA3">
        <w:rPr>
          <w:rFonts w:ascii="Times New Roman" w:hAnsi="Times New Roman"/>
          <w:vertAlign w:val="superscript"/>
        </w:rPr>
        <w:t>d</w:t>
      </w:r>
      <w:r w:rsidRPr="00091DA3">
        <w:rPr>
          <w:rFonts w:ascii="Times New Roman" w:hAnsi="Times New Roman"/>
        </w:rPr>
        <w:t xml:space="preserve"> </w:t>
      </w:r>
      <w:r>
        <w:rPr>
          <w:rFonts w:ascii="Times New Roman" w:hAnsi="Times New Roman"/>
        </w:rPr>
        <w:t xml:space="preserve">session </w:t>
      </w:r>
      <w:r w:rsidR="0033551D" w:rsidRPr="00091DA3">
        <w:rPr>
          <w:rFonts w:ascii="Times New Roman" w:hAnsi="Times New Roman"/>
        </w:rPr>
        <w:t xml:space="preserve">WP.29 noted that the mandate of the IWG on PTI was about to expire and agreed to extend the mandate of the Group by two years. </w:t>
      </w:r>
      <w:r w:rsidR="00EE48A0">
        <w:rPr>
          <w:rFonts w:ascii="Times New Roman" w:hAnsi="Times New Roman"/>
        </w:rPr>
        <w:t xml:space="preserve">The Group proposed </w:t>
      </w:r>
      <w:r w:rsidR="0033551D" w:rsidRPr="00091DA3">
        <w:rPr>
          <w:rFonts w:ascii="Times New Roman" w:hAnsi="Times New Roman"/>
        </w:rPr>
        <w:t>to present the updated terms of reference at the March 2018 session of WP.29.</w:t>
      </w:r>
      <w:r w:rsidR="00EE48A0">
        <w:rPr>
          <w:rFonts w:ascii="Times New Roman" w:hAnsi="Times New Roman"/>
        </w:rPr>
        <w:t xml:space="preserve"> </w:t>
      </w:r>
      <w:r w:rsidR="008B3AE7" w:rsidRPr="008B3AE7">
        <w:rPr>
          <w:rFonts w:ascii="Times New Roman" w:hAnsi="Times New Roman"/>
        </w:rPr>
        <w:t>T</w:t>
      </w:r>
      <w:r w:rsidR="00FB68D9" w:rsidRPr="008B3AE7">
        <w:rPr>
          <w:rFonts w:ascii="Times New Roman" w:hAnsi="Times New Roman"/>
        </w:rPr>
        <w:t>he priority issues</w:t>
      </w:r>
      <w:r w:rsidR="008B3AE7" w:rsidRPr="008B3AE7">
        <w:rPr>
          <w:rFonts w:ascii="Times New Roman" w:hAnsi="Times New Roman"/>
        </w:rPr>
        <w:t xml:space="preserve"> to be treated by the Group and WP.29</w:t>
      </w:r>
      <w:r w:rsidR="008B3AE7">
        <w:rPr>
          <w:rFonts w:ascii="Times New Roman" w:hAnsi="Times New Roman"/>
        </w:rPr>
        <w:t xml:space="preserve"> were reviewed</w:t>
      </w:r>
      <w:r w:rsidR="00FB68D9" w:rsidRPr="008B3AE7">
        <w:rPr>
          <w:rFonts w:ascii="Times New Roman" w:hAnsi="Times New Roman"/>
        </w:rPr>
        <w:t xml:space="preserve">. </w:t>
      </w:r>
      <w:r w:rsidR="008B3AE7">
        <w:rPr>
          <w:rFonts w:ascii="Times New Roman" w:hAnsi="Times New Roman"/>
        </w:rPr>
        <w:t>It was noted that s</w:t>
      </w:r>
      <w:r w:rsidR="000757D4" w:rsidRPr="000757D4">
        <w:rPr>
          <w:rFonts w:ascii="Times New Roman" w:hAnsi="Times New Roman"/>
        </w:rPr>
        <w:t>oftware of the vehicles, and specifically over the air updates of the software lead to a new situation where modification to functions and performance can easily be realized on large scale. This is an important difference with the traditional situation where a vehicle can be changed on individual basis at a specific location.</w:t>
      </w:r>
      <w:r w:rsidR="008B3AE7">
        <w:rPr>
          <w:rFonts w:ascii="Times New Roman" w:hAnsi="Times New Roman"/>
        </w:rPr>
        <w:t xml:space="preserve"> </w:t>
      </w:r>
      <w:r w:rsidR="000757D4" w:rsidRPr="000757D4">
        <w:rPr>
          <w:rFonts w:ascii="Times New Roman" w:hAnsi="Times New Roman"/>
        </w:rPr>
        <w:t xml:space="preserve">Malfunction of, or tampering with, </w:t>
      </w:r>
      <w:r w:rsidR="000757D4" w:rsidRPr="000757D4">
        <w:rPr>
          <w:rFonts w:ascii="Times New Roman" w:hAnsi="Times New Roman"/>
          <w:lang w:val="ru-RU"/>
        </w:rPr>
        <w:t>е</w:t>
      </w:r>
      <w:proofErr w:type="spellStart"/>
      <w:r w:rsidR="000757D4" w:rsidRPr="000757D4">
        <w:rPr>
          <w:rFonts w:ascii="Times New Roman" w:hAnsi="Times New Roman"/>
        </w:rPr>
        <w:t>ngine</w:t>
      </w:r>
      <w:proofErr w:type="spellEnd"/>
      <w:r w:rsidR="000757D4" w:rsidRPr="000757D4">
        <w:rPr>
          <w:rFonts w:ascii="Times New Roman" w:hAnsi="Times New Roman"/>
        </w:rPr>
        <w:t xml:space="preserve"> management systems, catalytic converters and related technologies that are significantly reducing emission levels result in higher emissions and the loss of the benefits of the vehicle emission regulations.</w:t>
      </w:r>
      <w:r w:rsidR="008B3AE7">
        <w:rPr>
          <w:rFonts w:ascii="Times New Roman" w:hAnsi="Times New Roman"/>
        </w:rPr>
        <w:t xml:space="preserve"> </w:t>
      </w:r>
      <w:r w:rsidR="000757D4" w:rsidRPr="000757D4">
        <w:rPr>
          <w:rFonts w:ascii="Times New Roman" w:hAnsi="Times New Roman"/>
        </w:rPr>
        <w:t>This increased reliance on advanced technology requires future options for roadworthiness enforcement to be developed by the Informal Working Group on Periodical Technical Inspections (IWG on PTI)</w:t>
      </w:r>
      <w:r w:rsidR="00865ADB">
        <w:rPr>
          <w:rFonts w:ascii="Times New Roman" w:hAnsi="Times New Roman"/>
        </w:rPr>
        <w:t xml:space="preserve">. The Group proposed for approval of WP.29 the following </w:t>
      </w:r>
      <w:r w:rsidR="00865ADB" w:rsidRPr="00865ADB">
        <w:rPr>
          <w:rFonts w:ascii="Times New Roman" w:hAnsi="Times New Roman"/>
        </w:rPr>
        <w:t>working items to be covered</w:t>
      </w:r>
      <w:r w:rsidR="00865ADB">
        <w:rPr>
          <w:rFonts w:ascii="Times New Roman" w:hAnsi="Times New Roman"/>
        </w:rPr>
        <w:t>:</w:t>
      </w:r>
    </w:p>
    <w:p w:rsidR="00865ADB" w:rsidRDefault="00865ADB" w:rsidP="008B3AE7">
      <w:pPr>
        <w:ind w:left="675"/>
        <w:rPr>
          <w:rFonts w:ascii="Times New Roman" w:hAnsi="Times New Roman"/>
        </w:rPr>
      </w:pPr>
    </w:p>
    <w:p w:rsidR="00865ADB" w:rsidRDefault="00865ADB" w:rsidP="008B3AE7">
      <w:pPr>
        <w:ind w:left="675"/>
        <w:rPr>
          <w:rFonts w:ascii="Times New Roman" w:hAnsi="Times New Roman"/>
        </w:rPr>
      </w:pPr>
    </w:p>
    <w:p w:rsidR="008B3AE7" w:rsidRPr="00865ADB" w:rsidRDefault="00865ADB" w:rsidP="00865ADB">
      <w:pPr>
        <w:pStyle w:val="ListParagraph"/>
        <w:numPr>
          <w:ilvl w:val="0"/>
          <w:numId w:val="15"/>
        </w:numPr>
        <w:ind w:leftChars="0"/>
        <w:rPr>
          <w:sz w:val="22"/>
          <w:szCs w:val="22"/>
        </w:rPr>
      </w:pPr>
      <w:r w:rsidRPr="00865ADB">
        <w:rPr>
          <w:rFonts w:eastAsia="SimSun"/>
          <w:color w:val="000000"/>
          <w:sz w:val="22"/>
          <w:szCs w:val="22"/>
          <w:lang w:eastAsia="ja-JP"/>
        </w:rPr>
        <w:lastRenderedPageBreak/>
        <w:t>m</w:t>
      </w:r>
      <w:r w:rsidR="008B3AE7" w:rsidRPr="00865ADB">
        <w:rPr>
          <w:rFonts w:eastAsia="SimSun"/>
          <w:color w:val="000000"/>
          <w:sz w:val="22"/>
          <w:szCs w:val="22"/>
          <w:lang w:eastAsia="ja-JP"/>
        </w:rPr>
        <w:t>easures to ensure in-service conformity of vehicles or their systems and components type approved under the UN Regulations, attached to the 1958 Geneva Agreement</w:t>
      </w:r>
      <w:r w:rsidRPr="00865ADB">
        <w:rPr>
          <w:rFonts w:eastAsia="SimSun"/>
          <w:color w:val="000000"/>
          <w:sz w:val="22"/>
          <w:szCs w:val="22"/>
          <w:lang w:eastAsia="ja-JP"/>
        </w:rPr>
        <w:t>;</w:t>
      </w:r>
      <w:r w:rsidR="008B3AE7" w:rsidRPr="00865ADB">
        <w:rPr>
          <w:sz w:val="22"/>
          <w:szCs w:val="22"/>
        </w:rPr>
        <w:t xml:space="preserve"> </w:t>
      </w:r>
    </w:p>
    <w:p w:rsidR="00865ADB" w:rsidRPr="000757D4" w:rsidRDefault="00865ADB" w:rsidP="00865ADB">
      <w:pPr>
        <w:pStyle w:val="SingleTxtG"/>
        <w:numPr>
          <w:ilvl w:val="0"/>
          <w:numId w:val="15"/>
        </w:numPr>
        <w:spacing w:after="0" w:line="240" w:lineRule="auto"/>
        <w:ind w:right="0"/>
        <w:rPr>
          <w:sz w:val="22"/>
          <w:szCs w:val="22"/>
        </w:rPr>
      </w:pPr>
      <w:r w:rsidRPr="00865ADB">
        <w:rPr>
          <w:sz w:val="22"/>
          <w:szCs w:val="22"/>
        </w:rPr>
        <w:t>measures to detect tampering: methods and supervision</w:t>
      </w:r>
      <w:r>
        <w:rPr>
          <w:sz w:val="22"/>
          <w:szCs w:val="22"/>
        </w:rPr>
        <w:t>;</w:t>
      </w:r>
    </w:p>
    <w:p w:rsidR="00865ADB" w:rsidRPr="000757D4" w:rsidRDefault="00865ADB" w:rsidP="00865ADB">
      <w:pPr>
        <w:pStyle w:val="SingleTxtG"/>
        <w:numPr>
          <w:ilvl w:val="0"/>
          <w:numId w:val="15"/>
        </w:numPr>
        <w:spacing w:after="0" w:line="240" w:lineRule="auto"/>
        <w:ind w:right="0"/>
        <w:rPr>
          <w:sz w:val="22"/>
          <w:szCs w:val="22"/>
        </w:rPr>
      </w:pPr>
      <w:r>
        <w:rPr>
          <w:sz w:val="22"/>
          <w:szCs w:val="22"/>
        </w:rPr>
        <w:t>p</w:t>
      </w:r>
      <w:r w:rsidRPr="000757D4">
        <w:rPr>
          <w:sz w:val="22"/>
          <w:szCs w:val="22"/>
        </w:rPr>
        <w:t xml:space="preserve">roposals for establishment of requirements for the performance of vehicles, their equipment and systems including automated/autonomous driving systems in all the relevant driving conditions outside of type approval testing boundaries, including recommendations for </w:t>
      </w:r>
      <w:r w:rsidRPr="000757D4">
        <w:rPr>
          <w:color w:val="000000"/>
          <w:sz w:val="22"/>
          <w:szCs w:val="22"/>
        </w:rPr>
        <w:t>methods of assessment</w:t>
      </w:r>
      <w:r>
        <w:rPr>
          <w:color w:val="000000"/>
          <w:sz w:val="22"/>
          <w:szCs w:val="22"/>
        </w:rPr>
        <w:t>;</w:t>
      </w:r>
    </w:p>
    <w:p w:rsidR="00865ADB" w:rsidRPr="000757D4" w:rsidRDefault="00865ADB" w:rsidP="00865ADB">
      <w:pPr>
        <w:pStyle w:val="SingleTxtG"/>
        <w:numPr>
          <w:ilvl w:val="0"/>
          <w:numId w:val="15"/>
        </w:numPr>
        <w:spacing w:after="0" w:line="240" w:lineRule="auto"/>
        <w:ind w:right="0"/>
        <w:rPr>
          <w:sz w:val="22"/>
          <w:szCs w:val="22"/>
        </w:rPr>
      </w:pPr>
      <w:r>
        <w:rPr>
          <w:sz w:val="22"/>
          <w:szCs w:val="22"/>
        </w:rPr>
        <w:t>c</w:t>
      </w:r>
      <w:r w:rsidRPr="000757D4">
        <w:rPr>
          <w:sz w:val="22"/>
          <w:szCs w:val="22"/>
        </w:rPr>
        <w:t>onsistency between the provisions of the 1968 Vienna Convention and the technical provisions for vehicles against the rules in the framework of the 1997 Vienna Agreement</w:t>
      </w:r>
      <w:r>
        <w:rPr>
          <w:sz w:val="22"/>
          <w:szCs w:val="22"/>
        </w:rPr>
        <w:t>;</w:t>
      </w:r>
    </w:p>
    <w:p w:rsidR="00865ADB" w:rsidRPr="000757D4" w:rsidRDefault="00865ADB" w:rsidP="00865ADB">
      <w:pPr>
        <w:pStyle w:val="SingleTxtG"/>
        <w:numPr>
          <w:ilvl w:val="0"/>
          <w:numId w:val="15"/>
        </w:numPr>
        <w:spacing w:after="0" w:line="240" w:lineRule="auto"/>
        <w:ind w:right="0"/>
        <w:rPr>
          <w:sz w:val="22"/>
          <w:szCs w:val="22"/>
        </w:rPr>
      </w:pPr>
      <w:r>
        <w:rPr>
          <w:sz w:val="22"/>
          <w:szCs w:val="22"/>
        </w:rPr>
        <w:t>s</w:t>
      </w:r>
      <w:r w:rsidRPr="000757D4">
        <w:rPr>
          <w:sz w:val="22"/>
          <w:szCs w:val="22"/>
        </w:rPr>
        <w:t>olutions in the PTI field to support the safe operation of highly automated and autonomous vehicles</w:t>
      </w:r>
    </w:p>
    <w:p w:rsidR="00865ADB" w:rsidRDefault="00865ADB" w:rsidP="00865ADB">
      <w:pPr>
        <w:pStyle w:val="SingleTxtG"/>
        <w:numPr>
          <w:ilvl w:val="0"/>
          <w:numId w:val="15"/>
        </w:numPr>
        <w:spacing w:after="0" w:line="240" w:lineRule="auto"/>
        <w:ind w:right="0"/>
        <w:rPr>
          <w:sz w:val="22"/>
          <w:szCs w:val="22"/>
        </w:rPr>
      </w:pPr>
      <w:r>
        <w:rPr>
          <w:sz w:val="22"/>
          <w:szCs w:val="22"/>
        </w:rPr>
        <w:t>g</w:t>
      </w:r>
      <w:r w:rsidRPr="000757D4">
        <w:rPr>
          <w:sz w:val="22"/>
          <w:szCs w:val="22"/>
        </w:rPr>
        <w:t>uidance for road-side technical inspections and enforcement</w:t>
      </w:r>
      <w:r>
        <w:rPr>
          <w:sz w:val="22"/>
          <w:szCs w:val="22"/>
        </w:rPr>
        <w:t>;</w:t>
      </w:r>
    </w:p>
    <w:p w:rsidR="00865ADB" w:rsidRPr="000757D4" w:rsidRDefault="00865ADB" w:rsidP="00865ADB">
      <w:pPr>
        <w:pStyle w:val="SingleTxtG"/>
        <w:numPr>
          <w:ilvl w:val="0"/>
          <w:numId w:val="15"/>
        </w:numPr>
        <w:spacing w:after="0" w:line="240" w:lineRule="auto"/>
        <w:ind w:right="0"/>
        <w:rPr>
          <w:sz w:val="22"/>
          <w:szCs w:val="22"/>
        </w:rPr>
      </w:pPr>
      <w:r>
        <w:rPr>
          <w:sz w:val="22"/>
          <w:szCs w:val="22"/>
        </w:rPr>
        <w:t>g</w:t>
      </w:r>
      <w:r w:rsidRPr="000757D4">
        <w:rPr>
          <w:sz w:val="22"/>
          <w:szCs w:val="22"/>
        </w:rPr>
        <w:t>uidance for education and attestation of experts implementing PTI, supervision for PTI quality and supervision of testing centers</w:t>
      </w:r>
      <w:r>
        <w:rPr>
          <w:sz w:val="22"/>
          <w:szCs w:val="22"/>
        </w:rPr>
        <w:t>;</w:t>
      </w:r>
    </w:p>
    <w:p w:rsidR="00865ADB" w:rsidRPr="000757D4" w:rsidRDefault="00865ADB" w:rsidP="00865ADB">
      <w:pPr>
        <w:pStyle w:val="SingleTxtG"/>
        <w:numPr>
          <w:ilvl w:val="0"/>
          <w:numId w:val="15"/>
        </w:numPr>
        <w:spacing w:after="0" w:line="240" w:lineRule="auto"/>
        <w:ind w:right="0"/>
        <w:rPr>
          <w:sz w:val="22"/>
          <w:szCs w:val="22"/>
        </w:rPr>
      </w:pPr>
      <w:r>
        <w:rPr>
          <w:sz w:val="22"/>
          <w:szCs w:val="22"/>
        </w:rPr>
        <w:t>u</w:t>
      </w:r>
      <w:r w:rsidRPr="000757D4">
        <w:rPr>
          <w:sz w:val="22"/>
          <w:szCs w:val="22"/>
        </w:rPr>
        <w:t>niform provisions for periodical technical inspections of wheeled agricultural and forestry tractors with regard to their roadworthiness</w:t>
      </w:r>
      <w:r>
        <w:rPr>
          <w:sz w:val="22"/>
          <w:szCs w:val="22"/>
        </w:rPr>
        <w:t>.</w:t>
      </w:r>
    </w:p>
    <w:p w:rsidR="00865ADB" w:rsidRPr="000757D4" w:rsidRDefault="006B0EA8" w:rsidP="00865ADB">
      <w:pPr>
        <w:pStyle w:val="SingleTxtG"/>
        <w:spacing w:after="0" w:line="240" w:lineRule="auto"/>
        <w:ind w:left="420" w:right="0"/>
        <w:rPr>
          <w:sz w:val="22"/>
          <w:szCs w:val="22"/>
        </w:rPr>
      </w:pPr>
      <w:r>
        <w:rPr>
          <w:sz w:val="22"/>
          <w:szCs w:val="22"/>
        </w:rPr>
        <w:t xml:space="preserve">The draft </w:t>
      </w:r>
      <w:proofErr w:type="spellStart"/>
      <w:r>
        <w:rPr>
          <w:sz w:val="22"/>
          <w:szCs w:val="22"/>
        </w:rPr>
        <w:t>ToR</w:t>
      </w:r>
      <w:proofErr w:type="spellEnd"/>
      <w:r>
        <w:rPr>
          <w:sz w:val="22"/>
          <w:szCs w:val="22"/>
        </w:rPr>
        <w:t xml:space="preserve"> has been submitted to WP.29 for approval at it’s the 174</w:t>
      </w:r>
      <w:r w:rsidRPr="006B0EA8">
        <w:rPr>
          <w:sz w:val="22"/>
          <w:szCs w:val="22"/>
          <w:vertAlign w:val="superscript"/>
        </w:rPr>
        <w:t>th</w:t>
      </w:r>
      <w:r>
        <w:rPr>
          <w:sz w:val="22"/>
          <w:szCs w:val="22"/>
        </w:rPr>
        <w:t xml:space="preserve"> session.</w:t>
      </w:r>
    </w:p>
    <w:p w:rsidR="00865ADB" w:rsidRPr="008B3AE7" w:rsidRDefault="00865ADB" w:rsidP="008B3AE7">
      <w:pPr>
        <w:ind w:left="675"/>
        <w:rPr>
          <w:rFonts w:ascii="Times New Roman" w:hAnsi="Times New Roman"/>
        </w:rPr>
      </w:pPr>
    </w:p>
    <w:p w:rsidR="008B3AE7" w:rsidRPr="000757D4" w:rsidRDefault="008B3AE7" w:rsidP="008B3AE7">
      <w:pPr>
        <w:ind w:left="675"/>
        <w:rPr>
          <w:rFonts w:ascii="Times New Roman" w:hAnsi="Times New Roman"/>
        </w:rPr>
      </w:pPr>
    </w:p>
    <w:sectPr w:rsidR="008B3AE7" w:rsidRPr="000757D4" w:rsidSect="00884F75">
      <w:headerReference w:type="default" r:id="rId8"/>
      <w:footerReference w:type="even" r:id="rId9"/>
      <w:footerReference w:type="default" r:id="rId10"/>
      <w:footerReference w:type="first" r:id="rId11"/>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D0" w:rsidRDefault="00F24DD0">
      <w:pPr>
        <w:spacing w:after="0" w:line="240" w:lineRule="auto"/>
      </w:pPr>
      <w:r>
        <w:separator/>
      </w:r>
    </w:p>
  </w:endnote>
  <w:endnote w:type="continuationSeparator" w:id="0">
    <w:p w:rsidR="00F24DD0" w:rsidRDefault="00F2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6E6E75" w:rsidP="00884F75">
    <w:pPr>
      <w:suppressAutoHyphens/>
      <w:spacing w:after="0" w:line="240" w:lineRule="auto"/>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503314">
      <w:rPr>
        <w:rFonts w:ascii="Times New Roman" w:eastAsia="Times New Roman" w:hAnsi="Times New Roman"/>
        <w:b/>
        <w:noProof/>
        <w:sz w:val="20"/>
        <w:szCs w:val="20"/>
        <w:lang w:val="en-GB"/>
      </w:rPr>
      <w:t>2</w:t>
    </w:r>
    <w:r w:rsidRPr="00884F75">
      <w:rPr>
        <w:rFonts w:ascii="Times New Roman" w:eastAsia="Times New Roman" w:hAnsi="Times New Roman"/>
        <w:b/>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59" w:rsidRPr="00884F75" w:rsidRDefault="006E6E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503314">
      <w:rPr>
        <w:rFonts w:ascii="Times New Roman" w:eastAsia="Times New Roman" w:hAnsi="Times New Roman"/>
        <w:b/>
        <w:noProof/>
        <w:sz w:val="20"/>
        <w:szCs w:val="20"/>
        <w:lang w:val="en-GB"/>
      </w:rPr>
      <w:t>3</w:t>
    </w:r>
    <w:r w:rsidRPr="00884F75">
      <w:rPr>
        <w:rFonts w:ascii="Times New Roman" w:eastAsia="Times New Roman" w:hAnsi="Times New Roman"/>
        <w:b/>
        <w:sz w:val="20"/>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59" w:rsidRPr="00884F75" w:rsidRDefault="006E6E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503314">
      <w:rPr>
        <w:rFonts w:ascii="Times New Roman" w:eastAsia="Times New Roman" w:hAnsi="Times New Roman"/>
        <w:b/>
        <w:noProof/>
        <w:sz w:val="20"/>
        <w:szCs w:val="20"/>
        <w:lang w:val="en-GB"/>
      </w:rPr>
      <w:t>1</w:t>
    </w:r>
    <w:r w:rsidRPr="00884F75">
      <w:rPr>
        <w:rFonts w:ascii="Times New Roman" w:eastAsia="Times New Roman" w:hAnsi="Times New Roman"/>
        <w:b/>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D0" w:rsidRDefault="00F24DD0">
      <w:pPr>
        <w:spacing w:after="0" w:line="240" w:lineRule="auto"/>
      </w:pPr>
      <w:r>
        <w:separator/>
      </w:r>
    </w:p>
  </w:footnote>
  <w:footnote w:type="continuationSeparator" w:id="0">
    <w:p w:rsidR="00F24DD0" w:rsidRDefault="00F24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884F75" w:rsidP="00884F75">
    <w:pPr>
      <w:pBdr>
        <w:bottom w:val="single" w:sz="4" w:space="1" w:color="auto"/>
      </w:pBdr>
      <w:suppressAutoHyphens/>
      <w:spacing w:after="0" w:line="240" w:lineRule="auto"/>
      <w:jc w:val="right"/>
      <w:rPr>
        <w:rFonts w:ascii="Times New Roman" w:eastAsia="Times New Roman" w:hAnsi="Times New Roman"/>
        <w:b/>
        <w:sz w:val="18"/>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9495A78"/>
    <w:multiLevelType w:val="hybridMultilevel"/>
    <w:tmpl w:val="DFEE5A36"/>
    <w:lvl w:ilvl="0" w:tplc="2BD29E50">
      <w:start w:val="1"/>
      <w:numFmt w:val="bullet"/>
      <w:lvlText w:val="•"/>
      <w:lvlJc w:val="left"/>
      <w:pPr>
        <w:tabs>
          <w:tab w:val="num" w:pos="720"/>
        </w:tabs>
        <w:ind w:left="720" w:hanging="360"/>
      </w:pPr>
      <w:rPr>
        <w:rFonts w:ascii="Arial" w:hAnsi="Arial" w:hint="default"/>
      </w:rPr>
    </w:lvl>
    <w:lvl w:ilvl="1" w:tplc="D6726964" w:tentative="1">
      <w:start w:val="1"/>
      <w:numFmt w:val="bullet"/>
      <w:lvlText w:val="•"/>
      <w:lvlJc w:val="left"/>
      <w:pPr>
        <w:tabs>
          <w:tab w:val="num" w:pos="1440"/>
        </w:tabs>
        <w:ind w:left="1440" w:hanging="360"/>
      </w:pPr>
      <w:rPr>
        <w:rFonts w:ascii="Arial" w:hAnsi="Arial" w:hint="default"/>
      </w:rPr>
    </w:lvl>
    <w:lvl w:ilvl="2" w:tplc="90DE4036" w:tentative="1">
      <w:start w:val="1"/>
      <w:numFmt w:val="bullet"/>
      <w:lvlText w:val="•"/>
      <w:lvlJc w:val="left"/>
      <w:pPr>
        <w:tabs>
          <w:tab w:val="num" w:pos="2160"/>
        </w:tabs>
        <w:ind w:left="2160" w:hanging="360"/>
      </w:pPr>
      <w:rPr>
        <w:rFonts w:ascii="Arial" w:hAnsi="Arial" w:hint="default"/>
      </w:rPr>
    </w:lvl>
    <w:lvl w:ilvl="3" w:tplc="E9FE6402" w:tentative="1">
      <w:start w:val="1"/>
      <w:numFmt w:val="bullet"/>
      <w:lvlText w:val="•"/>
      <w:lvlJc w:val="left"/>
      <w:pPr>
        <w:tabs>
          <w:tab w:val="num" w:pos="2880"/>
        </w:tabs>
        <w:ind w:left="2880" w:hanging="360"/>
      </w:pPr>
      <w:rPr>
        <w:rFonts w:ascii="Arial" w:hAnsi="Arial" w:hint="default"/>
      </w:rPr>
    </w:lvl>
    <w:lvl w:ilvl="4" w:tplc="0A1C2FE8" w:tentative="1">
      <w:start w:val="1"/>
      <w:numFmt w:val="bullet"/>
      <w:lvlText w:val="•"/>
      <w:lvlJc w:val="left"/>
      <w:pPr>
        <w:tabs>
          <w:tab w:val="num" w:pos="3600"/>
        </w:tabs>
        <w:ind w:left="3600" w:hanging="360"/>
      </w:pPr>
      <w:rPr>
        <w:rFonts w:ascii="Arial" w:hAnsi="Arial" w:hint="default"/>
      </w:rPr>
    </w:lvl>
    <w:lvl w:ilvl="5" w:tplc="3A1C9610" w:tentative="1">
      <w:start w:val="1"/>
      <w:numFmt w:val="bullet"/>
      <w:lvlText w:val="•"/>
      <w:lvlJc w:val="left"/>
      <w:pPr>
        <w:tabs>
          <w:tab w:val="num" w:pos="4320"/>
        </w:tabs>
        <w:ind w:left="4320" w:hanging="360"/>
      </w:pPr>
      <w:rPr>
        <w:rFonts w:ascii="Arial" w:hAnsi="Arial" w:hint="default"/>
      </w:rPr>
    </w:lvl>
    <w:lvl w:ilvl="6" w:tplc="4CE4349A" w:tentative="1">
      <w:start w:val="1"/>
      <w:numFmt w:val="bullet"/>
      <w:lvlText w:val="•"/>
      <w:lvlJc w:val="left"/>
      <w:pPr>
        <w:tabs>
          <w:tab w:val="num" w:pos="5040"/>
        </w:tabs>
        <w:ind w:left="5040" w:hanging="360"/>
      </w:pPr>
      <w:rPr>
        <w:rFonts w:ascii="Arial" w:hAnsi="Arial" w:hint="default"/>
      </w:rPr>
    </w:lvl>
    <w:lvl w:ilvl="7" w:tplc="7A127AB2" w:tentative="1">
      <w:start w:val="1"/>
      <w:numFmt w:val="bullet"/>
      <w:lvlText w:val="•"/>
      <w:lvlJc w:val="left"/>
      <w:pPr>
        <w:tabs>
          <w:tab w:val="num" w:pos="5760"/>
        </w:tabs>
        <w:ind w:left="5760" w:hanging="360"/>
      </w:pPr>
      <w:rPr>
        <w:rFonts w:ascii="Arial" w:hAnsi="Arial" w:hint="default"/>
      </w:rPr>
    </w:lvl>
    <w:lvl w:ilvl="8" w:tplc="825C643A" w:tentative="1">
      <w:start w:val="1"/>
      <w:numFmt w:val="bullet"/>
      <w:lvlText w:val="•"/>
      <w:lvlJc w:val="left"/>
      <w:pPr>
        <w:tabs>
          <w:tab w:val="num" w:pos="6480"/>
        </w:tabs>
        <w:ind w:left="6480" w:hanging="360"/>
      </w:pPr>
      <w:rPr>
        <w:rFonts w:ascii="Arial" w:hAnsi="Arial" w:hint="default"/>
      </w:rPr>
    </w:lvl>
  </w:abstractNum>
  <w:abstractNum w:abstractNumId="2">
    <w:nsid w:val="0E3B21EA"/>
    <w:multiLevelType w:val="hybridMultilevel"/>
    <w:tmpl w:val="278CB2BA"/>
    <w:lvl w:ilvl="0" w:tplc="3A6CA340">
      <w:start w:val="6"/>
      <w:numFmt w:val="decimal"/>
      <w:lvlText w:val="%1."/>
      <w:lvlJc w:val="left"/>
      <w:pPr>
        <w:ind w:left="1211" w:hanging="360"/>
      </w:pPr>
      <w:rPr>
        <w:rFonts w:hint="default"/>
        <w:sz w:val="22"/>
        <w:szCs w:val="22"/>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18815269"/>
    <w:multiLevelType w:val="hybridMultilevel"/>
    <w:tmpl w:val="BD306576"/>
    <w:lvl w:ilvl="0" w:tplc="4F6C4F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64A0BB8"/>
    <w:multiLevelType w:val="hybridMultilevel"/>
    <w:tmpl w:val="583C57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8D171D"/>
    <w:multiLevelType w:val="hybridMultilevel"/>
    <w:tmpl w:val="4EFA29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37917DE4"/>
    <w:multiLevelType w:val="hybridMultilevel"/>
    <w:tmpl w:val="C9FA2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1784D84"/>
    <w:multiLevelType w:val="hybridMultilevel"/>
    <w:tmpl w:val="F4A4F28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8">
    <w:nsid w:val="49C72886"/>
    <w:multiLevelType w:val="hybridMultilevel"/>
    <w:tmpl w:val="9FC6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D31B11"/>
    <w:multiLevelType w:val="multilevel"/>
    <w:tmpl w:val="9B22EA08"/>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nsid w:val="59C22050"/>
    <w:multiLevelType w:val="hybridMultilevel"/>
    <w:tmpl w:val="C9D0BE50"/>
    <w:lvl w:ilvl="0" w:tplc="1FCE96E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3D6A5B"/>
    <w:multiLevelType w:val="hybridMultilevel"/>
    <w:tmpl w:val="FF0C2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F440042"/>
    <w:multiLevelType w:val="hybridMultilevel"/>
    <w:tmpl w:val="320C6844"/>
    <w:lvl w:ilvl="0" w:tplc="69C62B56">
      <w:start w:val="1"/>
      <w:numFmt w:val="bullet"/>
      <w:lvlText w:val="•"/>
      <w:lvlJc w:val="left"/>
      <w:pPr>
        <w:tabs>
          <w:tab w:val="num" w:pos="720"/>
        </w:tabs>
        <w:ind w:left="720" w:hanging="360"/>
      </w:pPr>
      <w:rPr>
        <w:rFonts w:ascii="Arial" w:hAnsi="Arial" w:hint="default"/>
      </w:rPr>
    </w:lvl>
    <w:lvl w:ilvl="1" w:tplc="063201D2" w:tentative="1">
      <w:start w:val="1"/>
      <w:numFmt w:val="bullet"/>
      <w:lvlText w:val="•"/>
      <w:lvlJc w:val="left"/>
      <w:pPr>
        <w:tabs>
          <w:tab w:val="num" w:pos="1440"/>
        </w:tabs>
        <w:ind w:left="1440" w:hanging="360"/>
      </w:pPr>
      <w:rPr>
        <w:rFonts w:ascii="Arial" w:hAnsi="Arial" w:hint="default"/>
      </w:rPr>
    </w:lvl>
    <w:lvl w:ilvl="2" w:tplc="1D640176" w:tentative="1">
      <w:start w:val="1"/>
      <w:numFmt w:val="bullet"/>
      <w:lvlText w:val="•"/>
      <w:lvlJc w:val="left"/>
      <w:pPr>
        <w:tabs>
          <w:tab w:val="num" w:pos="2160"/>
        </w:tabs>
        <w:ind w:left="2160" w:hanging="360"/>
      </w:pPr>
      <w:rPr>
        <w:rFonts w:ascii="Arial" w:hAnsi="Arial" w:hint="default"/>
      </w:rPr>
    </w:lvl>
    <w:lvl w:ilvl="3" w:tplc="468012FC" w:tentative="1">
      <w:start w:val="1"/>
      <w:numFmt w:val="bullet"/>
      <w:lvlText w:val="•"/>
      <w:lvlJc w:val="left"/>
      <w:pPr>
        <w:tabs>
          <w:tab w:val="num" w:pos="2880"/>
        </w:tabs>
        <w:ind w:left="2880" w:hanging="360"/>
      </w:pPr>
      <w:rPr>
        <w:rFonts w:ascii="Arial" w:hAnsi="Arial" w:hint="default"/>
      </w:rPr>
    </w:lvl>
    <w:lvl w:ilvl="4" w:tplc="BCAEE9F8" w:tentative="1">
      <w:start w:val="1"/>
      <w:numFmt w:val="bullet"/>
      <w:lvlText w:val="•"/>
      <w:lvlJc w:val="left"/>
      <w:pPr>
        <w:tabs>
          <w:tab w:val="num" w:pos="3600"/>
        </w:tabs>
        <w:ind w:left="3600" w:hanging="360"/>
      </w:pPr>
      <w:rPr>
        <w:rFonts w:ascii="Arial" w:hAnsi="Arial" w:hint="default"/>
      </w:rPr>
    </w:lvl>
    <w:lvl w:ilvl="5" w:tplc="60B09FCC" w:tentative="1">
      <w:start w:val="1"/>
      <w:numFmt w:val="bullet"/>
      <w:lvlText w:val="•"/>
      <w:lvlJc w:val="left"/>
      <w:pPr>
        <w:tabs>
          <w:tab w:val="num" w:pos="4320"/>
        </w:tabs>
        <w:ind w:left="4320" w:hanging="360"/>
      </w:pPr>
      <w:rPr>
        <w:rFonts w:ascii="Arial" w:hAnsi="Arial" w:hint="default"/>
      </w:rPr>
    </w:lvl>
    <w:lvl w:ilvl="6" w:tplc="018CDB1E" w:tentative="1">
      <w:start w:val="1"/>
      <w:numFmt w:val="bullet"/>
      <w:lvlText w:val="•"/>
      <w:lvlJc w:val="left"/>
      <w:pPr>
        <w:tabs>
          <w:tab w:val="num" w:pos="5040"/>
        </w:tabs>
        <w:ind w:left="5040" w:hanging="360"/>
      </w:pPr>
      <w:rPr>
        <w:rFonts w:ascii="Arial" w:hAnsi="Arial" w:hint="default"/>
      </w:rPr>
    </w:lvl>
    <w:lvl w:ilvl="7" w:tplc="ABA4638C" w:tentative="1">
      <w:start w:val="1"/>
      <w:numFmt w:val="bullet"/>
      <w:lvlText w:val="•"/>
      <w:lvlJc w:val="left"/>
      <w:pPr>
        <w:tabs>
          <w:tab w:val="num" w:pos="5760"/>
        </w:tabs>
        <w:ind w:left="5760" w:hanging="360"/>
      </w:pPr>
      <w:rPr>
        <w:rFonts w:ascii="Arial" w:hAnsi="Arial" w:hint="default"/>
      </w:rPr>
    </w:lvl>
    <w:lvl w:ilvl="8" w:tplc="5ED2F31A" w:tentative="1">
      <w:start w:val="1"/>
      <w:numFmt w:val="bullet"/>
      <w:lvlText w:val="•"/>
      <w:lvlJc w:val="left"/>
      <w:pPr>
        <w:tabs>
          <w:tab w:val="num" w:pos="6480"/>
        </w:tabs>
        <w:ind w:left="6480" w:hanging="360"/>
      </w:pPr>
      <w:rPr>
        <w:rFonts w:ascii="Arial" w:hAnsi="Arial" w:hint="default"/>
      </w:rPr>
    </w:lvl>
  </w:abstractNum>
  <w:abstractNum w:abstractNumId="13">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6CAF3CA7"/>
    <w:multiLevelType w:val="multilevel"/>
    <w:tmpl w:val="CFF2F036"/>
    <w:lvl w:ilvl="0">
      <w:start w:val="2"/>
      <w:numFmt w:val="decimal"/>
      <w:lvlText w:val="%1."/>
      <w:lvlJc w:val="left"/>
      <w:pPr>
        <w:ind w:left="1800" w:hanging="360"/>
      </w:pPr>
      <w:rPr>
        <w:rFonts w:hint="default"/>
      </w:rPr>
    </w:lvl>
    <w:lvl w:ilvl="1">
      <w:start w:val="1"/>
      <w:numFmt w:val="decimal"/>
      <w:isLgl/>
      <w:lvlText w:val="%1.%2."/>
      <w:lvlJc w:val="left"/>
      <w:pPr>
        <w:ind w:left="2148" w:hanging="708"/>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nsid w:val="7C3020F0"/>
    <w:multiLevelType w:val="hybridMultilevel"/>
    <w:tmpl w:val="7E2A6DBA"/>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num w:numId="1">
    <w:abstractNumId w:val="6"/>
  </w:num>
  <w:num w:numId="2">
    <w:abstractNumId w:val="11"/>
  </w:num>
  <w:num w:numId="3">
    <w:abstractNumId w:val="1"/>
  </w:num>
  <w:num w:numId="4">
    <w:abstractNumId w:val="12"/>
  </w:num>
  <w:num w:numId="5">
    <w:abstractNumId w:val="7"/>
  </w:num>
  <w:num w:numId="6">
    <w:abstractNumId w:val="15"/>
  </w:num>
  <w:num w:numId="7">
    <w:abstractNumId w:val="13"/>
  </w:num>
  <w:num w:numId="8">
    <w:abstractNumId w:val="2"/>
  </w:num>
  <w:num w:numId="9">
    <w:abstractNumId w:val="14"/>
  </w:num>
  <w:num w:numId="10">
    <w:abstractNumId w:val="8"/>
  </w:num>
  <w:num w:numId="11">
    <w:abstractNumId w:val="3"/>
  </w:num>
  <w:num w:numId="12">
    <w:abstractNumId w:val="0"/>
  </w:num>
  <w:num w:numId="13">
    <w:abstractNumId w:val="9"/>
  </w:num>
  <w:num w:numId="14">
    <w:abstractNumId w:val="4"/>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evenAndOddHeaders/>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AC"/>
    <w:rsid w:val="00014134"/>
    <w:rsid w:val="00016529"/>
    <w:rsid w:val="000225C9"/>
    <w:rsid w:val="0003647D"/>
    <w:rsid w:val="000757D4"/>
    <w:rsid w:val="00086E75"/>
    <w:rsid w:val="00091DA3"/>
    <w:rsid w:val="000C2F32"/>
    <w:rsid w:val="000D250C"/>
    <w:rsid w:val="000D580F"/>
    <w:rsid w:val="000E0C85"/>
    <w:rsid w:val="000F245B"/>
    <w:rsid w:val="00104BDA"/>
    <w:rsid w:val="001142E7"/>
    <w:rsid w:val="001167C7"/>
    <w:rsid w:val="001252DC"/>
    <w:rsid w:val="00152ADB"/>
    <w:rsid w:val="001577FE"/>
    <w:rsid w:val="001A092B"/>
    <w:rsid w:val="001D268F"/>
    <w:rsid w:val="001D3D87"/>
    <w:rsid w:val="001E48A0"/>
    <w:rsid w:val="002167CB"/>
    <w:rsid w:val="00222811"/>
    <w:rsid w:val="00245CA6"/>
    <w:rsid w:val="00293AFB"/>
    <w:rsid w:val="00296E4B"/>
    <w:rsid w:val="00297B7A"/>
    <w:rsid w:val="002A1092"/>
    <w:rsid w:val="002C2FCA"/>
    <w:rsid w:val="002C6E1D"/>
    <w:rsid w:val="002F01A9"/>
    <w:rsid w:val="00326383"/>
    <w:rsid w:val="0033551D"/>
    <w:rsid w:val="00377C11"/>
    <w:rsid w:val="003A2E93"/>
    <w:rsid w:val="003B25EC"/>
    <w:rsid w:val="003C642F"/>
    <w:rsid w:val="003C749F"/>
    <w:rsid w:val="003D30DA"/>
    <w:rsid w:val="003D7634"/>
    <w:rsid w:val="00437DE3"/>
    <w:rsid w:val="00452FAE"/>
    <w:rsid w:val="00467ED2"/>
    <w:rsid w:val="00491531"/>
    <w:rsid w:val="004A136B"/>
    <w:rsid w:val="004A3AA7"/>
    <w:rsid w:val="004B54BD"/>
    <w:rsid w:val="004C2791"/>
    <w:rsid w:val="004C39D4"/>
    <w:rsid w:val="004D3BFD"/>
    <w:rsid w:val="004E55FE"/>
    <w:rsid w:val="00503314"/>
    <w:rsid w:val="005709B5"/>
    <w:rsid w:val="00571394"/>
    <w:rsid w:val="00582977"/>
    <w:rsid w:val="00590DDE"/>
    <w:rsid w:val="005922AF"/>
    <w:rsid w:val="005C3B59"/>
    <w:rsid w:val="005D07D8"/>
    <w:rsid w:val="005F4C64"/>
    <w:rsid w:val="00662844"/>
    <w:rsid w:val="006A4085"/>
    <w:rsid w:val="006B0EA8"/>
    <w:rsid w:val="006D7462"/>
    <w:rsid w:val="006E5D10"/>
    <w:rsid w:val="006E6E75"/>
    <w:rsid w:val="00734CD0"/>
    <w:rsid w:val="0073698B"/>
    <w:rsid w:val="00756047"/>
    <w:rsid w:val="00761FE8"/>
    <w:rsid w:val="007C511B"/>
    <w:rsid w:val="007C57A4"/>
    <w:rsid w:val="007F136D"/>
    <w:rsid w:val="00840533"/>
    <w:rsid w:val="0084655F"/>
    <w:rsid w:val="008610E7"/>
    <w:rsid w:val="00863BC1"/>
    <w:rsid w:val="00864636"/>
    <w:rsid w:val="00865ADB"/>
    <w:rsid w:val="00884F75"/>
    <w:rsid w:val="008A118A"/>
    <w:rsid w:val="008B3AE7"/>
    <w:rsid w:val="008C3BC4"/>
    <w:rsid w:val="008C7955"/>
    <w:rsid w:val="00914361"/>
    <w:rsid w:val="00920BE8"/>
    <w:rsid w:val="00991A14"/>
    <w:rsid w:val="00997F7F"/>
    <w:rsid w:val="009A3E50"/>
    <w:rsid w:val="009B660D"/>
    <w:rsid w:val="009B76AA"/>
    <w:rsid w:val="00A20D2A"/>
    <w:rsid w:val="00A34048"/>
    <w:rsid w:val="00A500C9"/>
    <w:rsid w:val="00A63A58"/>
    <w:rsid w:val="00A834CE"/>
    <w:rsid w:val="00AB4941"/>
    <w:rsid w:val="00AB544E"/>
    <w:rsid w:val="00AB6C0F"/>
    <w:rsid w:val="00AC6F95"/>
    <w:rsid w:val="00AE42DF"/>
    <w:rsid w:val="00B30BA9"/>
    <w:rsid w:val="00B530CC"/>
    <w:rsid w:val="00B63DA0"/>
    <w:rsid w:val="00B65905"/>
    <w:rsid w:val="00B926AC"/>
    <w:rsid w:val="00B97185"/>
    <w:rsid w:val="00BC1361"/>
    <w:rsid w:val="00BC221C"/>
    <w:rsid w:val="00C15611"/>
    <w:rsid w:val="00C23102"/>
    <w:rsid w:val="00C34E9E"/>
    <w:rsid w:val="00C658D0"/>
    <w:rsid w:val="00C850FC"/>
    <w:rsid w:val="00C87232"/>
    <w:rsid w:val="00CD3D37"/>
    <w:rsid w:val="00CE0648"/>
    <w:rsid w:val="00CF448E"/>
    <w:rsid w:val="00D602B6"/>
    <w:rsid w:val="00D674B3"/>
    <w:rsid w:val="00D7380F"/>
    <w:rsid w:val="00D74066"/>
    <w:rsid w:val="00D74E03"/>
    <w:rsid w:val="00D850FE"/>
    <w:rsid w:val="00DB1477"/>
    <w:rsid w:val="00DB377D"/>
    <w:rsid w:val="00DC1BF6"/>
    <w:rsid w:val="00DC2F89"/>
    <w:rsid w:val="00DD19A4"/>
    <w:rsid w:val="00DD6021"/>
    <w:rsid w:val="00DF2435"/>
    <w:rsid w:val="00E04683"/>
    <w:rsid w:val="00E07FAE"/>
    <w:rsid w:val="00E475E5"/>
    <w:rsid w:val="00E86ECB"/>
    <w:rsid w:val="00E91830"/>
    <w:rsid w:val="00E9566A"/>
    <w:rsid w:val="00EA3C85"/>
    <w:rsid w:val="00EC4E93"/>
    <w:rsid w:val="00ED7032"/>
    <w:rsid w:val="00EE48A0"/>
    <w:rsid w:val="00F20D61"/>
    <w:rsid w:val="00F24DD0"/>
    <w:rsid w:val="00F6091B"/>
    <w:rsid w:val="00F72A89"/>
    <w:rsid w:val="00F76FDB"/>
    <w:rsid w:val="00F83662"/>
    <w:rsid w:val="00F851F7"/>
    <w:rsid w:val="00F93640"/>
    <w:rsid w:val="00FB68D9"/>
    <w:rsid w:val="00FD2428"/>
    <w:rsid w:val="00FE0B20"/>
    <w:rsid w:val="00FF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AC"/>
    <w:rPr>
      <w:rFonts w:ascii="Calibri" w:eastAsia="Calibri" w:hAnsi="Calibri" w:cs="Times New Roman"/>
      <w:lang w:val="en-US"/>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B97185"/>
    <w:rPr>
      <w:color w:val="auto"/>
      <w:u w:val="none"/>
    </w:rPr>
  </w:style>
  <w:style w:type="character" w:customStyle="1" w:styleId="hvr">
    <w:name w:val="hvr"/>
    <w:basedOn w:val="DefaultParagraphFont"/>
    <w:rsid w:val="00B30BA9"/>
  </w:style>
  <w:style w:type="paragraph" w:customStyle="1" w:styleId="H1G">
    <w:name w:val="_ H_1_G"/>
    <w:basedOn w:val="Normal"/>
    <w:next w:val="Normal"/>
    <w:link w:val="H1GChar"/>
    <w:rsid w:val="0001652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016529"/>
    <w:rPr>
      <w:rFonts w:ascii="Times New Roman" w:eastAsia="Times New Roman" w:hAnsi="Times New Roman" w:cs="Times New Roman"/>
      <w:b/>
      <w:sz w:val="24"/>
      <w:szCs w:val="20"/>
      <w:lang w:val="en-GB"/>
    </w:rPr>
  </w:style>
  <w:style w:type="paragraph" w:customStyle="1" w:styleId="Bullet1G">
    <w:name w:val="_Bullet 1_G"/>
    <w:basedOn w:val="Normal"/>
    <w:rsid w:val="00016529"/>
    <w:pPr>
      <w:tabs>
        <w:tab w:val="num" w:pos="1701"/>
      </w:tabs>
      <w:suppressAutoHyphens/>
      <w:spacing w:after="120" w:line="240" w:lineRule="atLeast"/>
      <w:ind w:left="1701" w:right="1134" w:hanging="170"/>
      <w:jc w:val="both"/>
    </w:pPr>
    <w:rPr>
      <w:rFonts w:ascii="Times New Roman" w:eastAsia="Times New Roman" w:hAnsi="Times New Roman"/>
      <w:sz w:val="20"/>
      <w:szCs w:val="20"/>
      <w:lang w:val="en-GB"/>
    </w:rPr>
  </w:style>
  <w:style w:type="paragraph" w:styleId="ListParagraph">
    <w:name w:val="List Paragraph"/>
    <w:basedOn w:val="Normal"/>
    <w:uiPriority w:val="34"/>
    <w:qFormat/>
    <w:rsid w:val="00152ADB"/>
    <w:pPr>
      <w:suppressAutoHyphens/>
      <w:spacing w:after="0" w:line="240" w:lineRule="atLeast"/>
      <w:ind w:leftChars="400" w:left="840"/>
    </w:pPr>
    <w:rPr>
      <w:rFonts w:ascii="Times New Roman" w:eastAsia="MS Mincho" w:hAnsi="Times New Roman"/>
      <w:sz w:val="20"/>
      <w:szCs w:val="20"/>
    </w:rPr>
  </w:style>
  <w:style w:type="paragraph" w:styleId="FootnoteText">
    <w:name w:val="footnote text"/>
    <w:basedOn w:val="Normal"/>
    <w:link w:val="FootnoteTextChar"/>
    <w:uiPriority w:val="99"/>
    <w:semiHidden/>
    <w:unhideWhenUsed/>
    <w:rsid w:val="00864636"/>
    <w:rPr>
      <w:sz w:val="20"/>
      <w:szCs w:val="20"/>
    </w:rPr>
  </w:style>
  <w:style w:type="character" w:customStyle="1" w:styleId="FootnoteTextChar">
    <w:name w:val="Footnote Text Char"/>
    <w:basedOn w:val="DefaultParagraphFont"/>
    <w:link w:val="FootnoteText"/>
    <w:uiPriority w:val="99"/>
    <w:semiHidden/>
    <w:rsid w:val="00864636"/>
    <w:rPr>
      <w:rFonts w:ascii="Calibri" w:eastAsia="Calibri" w:hAnsi="Calibri" w:cs="Times New Roman"/>
      <w:sz w:val="20"/>
      <w:szCs w:val="20"/>
      <w:lang w:val="en-US"/>
    </w:rPr>
  </w:style>
  <w:style w:type="character" w:styleId="FootnoteReference">
    <w:name w:val="footnote reference"/>
    <w:uiPriority w:val="99"/>
    <w:semiHidden/>
    <w:unhideWhenUsed/>
    <w:rsid w:val="00864636"/>
    <w:rPr>
      <w:vertAlign w:val="superscript"/>
    </w:rPr>
  </w:style>
  <w:style w:type="character" w:styleId="Strong">
    <w:name w:val="Strong"/>
    <w:basedOn w:val="DefaultParagraphFont"/>
    <w:uiPriority w:val="22"/>
    <w:qFormat/>
    <w:rsid w:val="006A40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AC"/>
    <w:rPr>
      <w:rFonts w:ascii="Calibri" w:eastAsia="Calibri" w:hAnsi="Calibri" w:cs="Times New Roman"/>
      <w:lang w:val="en-US"/>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B97185"/>
    <w:rPr>
      <w:color w:val="auto"/>
      <w:u w:val="none"/>
    </w:rPr>
  </w:style>
  <w:style w:type="character" w:customStyle="1" w:styleId="hvr">
    <w:name w:val="hvr"/>
    <w:basedOn w:val="DefaultParagraphFont"/>
    <w:rsid w:val="00B30BA9"/>
  </w:style>
  <w:style w:type="paragraph" w:customStyle="1" w:styleId="H1G">
    <w:name w:val="_ H_1_G"/>
    <w:basedOn w:val="Normal"/>
    <w:next w:val="Normal"/>
    <w:link w:val="H1GChar"/>
    <w:rsid w:val="0001652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016529"/>
    <w:rPr>
      <w:rFonts w:ascii="Times New Roman" w:eastAsia="Times New Roman" w:hAnsi="Times New Roman" w:cs="Times New Roman"/>
      <w:b/>
      <w:sz w:val="24"/>
      <w:szCs w:val="20"/>
      <w:lang w:val="en-GB"/>
    </w:rPr>
  </w:style>
  <w:style w:type="paragraph" w:customStyle="1" w:styleId="Bullet1G">
    <w:name w:val="_Bullet 1_G"/>
    <w:basedOn w:val="Normal"/>
    <w:rsid w:val="00016529"/>
    <w:pPr>
      <w:tabs>
        <w:tab w:val="num" w:pos="1701"/>
      </w:tabs>
      <w:suppressAutoHyphens/>
      <w:spacing w:after="120" w:line="240" w:lineRule="atLeast"/>
      <w:ind w:left="1701" w:right="1134" w:hanging="170"/>
      <w:jc w:val="both"/>
    </w:pPr>
    <w:rPr>
      <w:rFonts w:ascii="Times New Roman" w:eastAsia="Times New Roman" w:hAnsi="Times New Roman"/>
      <w:sz w:val="20"/>
      <w:szCs w:val="20"/>
      <w:lang w:val="en-GB"/>
    </w:rPr>
  </w:style>
  <w:style w:type="paragraph" w:styleId="ListParagraph">
    <w:name w:val="List Paragraph"/>
    <w:basedOn w:val="Normal"/>
    <w:uiPriority w:val="34"/>
    <w:qFormat/>
    <w:rsid w:val="00152ADB"/>
    <w:pPr>
      <w:suppressAutoHyphens/>
      <w:spacing w:after="0" w:line="240" w:lineRule="atLeast"/>
      <w:ind w:leftChars="400" w:left="840"/>
    </w:pPr>
    <w:rPr>
      <w:rFonts w:ascii="Times New Roman" w:eastAsia="MS Mincho" w:hAnsi="Times New Roman"/>
      <w:sz w:val="20"/>
      <w:szCs w:val="20"/>
    </w:rPr>
  </w:style>
  <w:style w:type="paragraph" w:styleId="FootnoteText">
    <w:name w:val="footnote text"/>
    <w:basedOn w:val="Normal"/>
    <w:link w:val="FootnoteTextChar"/>
    <w:uiPriority w:val="99"/>
    <w:semiHidden/>
    <w:unhideWhenUsed/>
    <w:rsid w:val="00864636"/>
    <w:rPr>
      <w:sz w:val="20"/>
      <w:szCs w:val="20"/>
    </w:rPr>
  </w:style>
  <w:style w:type="character" w:customStyle="1" w:styleId="FootnoteTextChar">
    <w:name w:val="Footnote Text Char"/>
    <w:basedOn w:val="DefaultParagraphFont"/>
    <w:link w:val="FootnoteText"/>
    <w:uiPriority w:val="99"/>
    <w:semiHidden/>
    <w:rsid w:val="00864636"/>
    <w:rPr>
      <w:rFonts w:ascii="Calibri" w:eastAsia="Calibri" w:hAnsi="Calibri" w:cs="Times New Roman"/>
      <w:sz w:val="20"/>
      <w:szCs w:val="20"/>
      <w:lang w:val="en-US"/>
    </w:rPr>
  </w:style>
  <w:style w:type="character" w:styleId="FootnoteReference">
    <w:name w:val="footnote reference"/>
    <w:uiPriority w:val="99"/>
    <w:semiHidden/>
    <w:unhideWhenUsed/>
    <w:rsid w:val="00864636"/>
    <w:rPr>
      <w:vertAlign w:val="superscript"/>
    </w:rPr>
  </w:style>
  <w:style w:type="character" w:styleId="Strong">
    <w:name w:val="Strong"/>
    <w:basedOn w:val="DefaultParagraphFont"/>
    <w:uiPriority w:val="22"/>
    <w:qFormat/>
    <w:rsid w:val="006A4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6593</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Nissler</cp:lastModifiedBy>
  <cp:revision>2</cp:revision>
  <cp:lastPrinted>2016-06-17T14:33:00Z</cp:lastPrinted>
  <dcterms:created xsi:type="dcterms:W3CDTF">2018-03-12T08:15:00Z</dcterms:created>
  <dcterms:modified xsi:type="dcterms:W3CDTF">2018-03-12T08:15:00Z</dcterms:modified>
</cp:coreProperties>
</file>