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3353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33534" w:rsidP="00F33534">
            <w:pPr>
              <w:jc w:val="right"/>
            </w:pPr>
            <w:r w:rsidRPr="00F33534">
              <w:rPr>
                <w:sz w:val="40"/>
              </w:rPr>
              <w:t>ECE</w:t>
            </w:r>
            <w:r>
              <w:t>/TRANS/WP.29/AC.3/50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33534" w:rsidP="00C97039">
            <w:pPr>
              <w:spacing w:before="240"/>
            </w:pPr>
            <w:r>
              <w:t>Distr. générale</w:t>
            </w:r>
          </w:p>
          <w:p w:rsidR="00F33534" w:rsidRDefault="00F33534" w:rsidP="00F33534">
            <w:pPr>
              <w:spacing w:line="240" w:lineRule="exact"/>
            </w:pPr>
            <w:r>
              <w:t>4 janvier 2018</w:t>
            </w:r>
          </w:p>
          <w:p w:rsidR="00F33534" w:rsidRDefault="00F33534" w:rsidP="00F33534">
            <w:pPr>
              <w:spacing w:line="240" w:lineRule="exact"/>
            </w:pPr>
            <w:r>
              <w:t>Français</w:t>
            </w:r>
          </w:p>
          <w:p w:rsidR="00F33534" w:rsidRPr="00DB58B5" w:rsidRDefault="00F33534" w:rsidP="00F3353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3353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33534" w:rsidRDefault="00F33534"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33534" w:rsidRDefault="00F33534" w:rsidP="00AF0CB5">
      <w:pPr>
        <w:spacing w:before="120" w:line="240" w:lineRule="exact"/>
        <w:rPr>
          <w:b/>
        </w:rPr>
      </w:pPr>
      <w:r>
        <w:rPr>
          <w:b/>
        </w:rPr>
        <w:t>174</w:t>
      </w:r>
      <w:r w:rsidRPr="00F33534">
        <w:rPr>
          <w:b/>
          <w:vertAlign w:val="superscript"/>
        </w:rPr>
        <w:t>e</w:t>
      </w:r>
      <w:r>
        <w:rPr>
          <w:b/>
        </w:rPr>
        <w:t> session</w:t>
      </w:r>
    </w:p>
    <w:p w:rsidR="00F33534" w:rsidRDefault="00F33534" w:rsidP="00AF0CB5">
      <w:pPr>
        <w:spacing w:line="240" w:lineRule="exact"/>
      </w:pPr>
      <w:r>
        <w:t xml:space="preserve">Genève, </w:t>
      </w:r>
      <w:r w:rsidRPr="003C70EE">
        <w:rPr>
          <w:szCs w:val="24"/>
        </w:rPr>
        <w:t>13-16</w:t>
      </w:r>
      <w:r>
        <w:rPr>
          <w:szCs w:val="24"/>
        </w:rPr>
        <w:t> </w:t>
      </w:r>
      <w:r w:rsidRPr="003C70EE">
        <w:rPr>
          <w:szCs w:val="24"/>
        </w:rPr>
        <w:t>mars 2018</w:t>
      </w:r>
    </w:p>
    <w:p w:rsidR="00F33534" w:rsidRDefault="00F33534" w:rsidP="00F33534">
      <w:pPr>
        <w:spacing w:line="240" w:lineRule="exact"/>
      </w:pPr>
      <w:r>
        <w:t>Point 18.9 de l’ordre du jour provisoire</w:t>
      </w:r>
    </w:p>
    <w:p w:rsidR="00F33534" w:rsidRPr="003C70EE" w:rsidRDefault="00F33534" w:rsidP="00F33534">
      <w:pPr>
        <w:spacing w:line="240" w:lineRule="auto"/>
        <w:rPr>
          <w:b/>
        </w:rPr>
      </w:pPr>
      <w:r w:rsidRPr="003C70EE">
        <w:rPr>
          <w:b/>
        </w:rPr>
        <w:t>État d</w:t>
      </w:r>
      <w:r>
        <w:rPr>
          <w:b/>
        </w:rPr>
        <w:t>’</w:t>
      </w:r>
      <w:r w:rsidRPr="003C70EE">
        <w:rPr>
          <w:b/>
        </w:rPr>
        <w:t>avancement de l</w:t>
      </w:r>
      <w:r>
        <w:rPr>
          <w:b/>
        </w:rPr>
        <w:t>’</w:t>
      </w:r>
      <w:r w:rsidRPr="003C70EE">
        <w:rPr>
          <w:b/>
        </w:rPr>
        <w:t xml:space="preserve">élaboration de nouveaux RTM </w:t>
      </w:r>
      <w:r>
        <w:rPr>
          <w:b/>
        </w:rPr>
        <w:br/>
      </w:r>
      <w:r w:rsidRPr="003C70EE">
        <w:rPr>
          <w:b/>
        </w:rPr>
        <w:t>ou d</w:t>
      </w:r>
      <w:r>
        <w:rPr>
          <w:b/>
        </w:rPr>
        <w:t>’</w:t>
      </w:r>
      <w:r w:rsidRPr="003C70EE">
        <w:rPr>
          <w:b/>
        </w:rPr>
        <w:t>amendements à des RTM existants</w:t>
      </w:r>
      <w:r>
        <w:rPr>
          <w:b/>
        </w:rPr>
        <w:t> </w:t>
      </w:r>
      <w:r w:rsidRPr="003C70EE">
        <w:rPr>
          <w:b/>
        </w:rPr>
        <w:t xml:space="preserve">: Projet de RTM </w:t>
      </w:r>
      <w:r w:rsidRPr="003C70EE">
        <w:rPr>
          <w:b/>
        </w:rPr>
        <w:br/>
        <w:t>sur la sécurité des véhicules électriques</w:t>
      </w:r>
    </w:p>
    <w:p w:rsidR="00F33534" w:rsidRPr="003C70EE" w:rsidRDefault="00F33534" w:rsidP="00F33534">
      <w:pPr>
        <w:pStyle w:val="HChG"/>
      </w:pPr>
      <w:r w:rsidRPr="009A61F9">
        <w:rPr>
          <w:lang w:val="fr-FR"/>
        </w:rPr>
        <w:tab/>
      </w:r>
      <w:r w:rsidRPr="009A61F9">
        <w:rPr>
          <w:lang w:val="fr-FR"/>
        </w:rPr>
        <w:tab/>
      </w:r>
      <w:r w:rsidRPr="003C70EE">
        <w:t>Autorisation d</w:t>
      </w:r>
      <w:r>
        <w:t>’</w:t>
      </w:r>
      <w:r w:rsidRPr="003C70EE">
        <w:t>élaboration de la phase 2 du RTM</w:t>
      </w:r>
    </w:p>
    <w:p w:rsidR="00F33534" w:rsidRPr="003C70EE" w:rsidRDefault="00F33534" w:rsidP="00F33534">
      <w:pPr>
        <w:pStyle w:val="H1G"/>
      </w:pPr>
      <w:r w:rsidRPr="003C70EE">
        <w:tab/>
      </w:r>
      <w:r w:rsidRPr="003C70EE">
        <w:tab/>
        <w:t>Communication des représentants de la Chine, des États-Unis d</w:t>
      </w:r>
      <w:r>
        <w:t>’</w:t>
      </w:r>
      <w:r w:rsidRPr="003C70EE">
        <w:t>Amérique, du Japon et de l</w:t>
      </w:r>
      <w:r>
        <w:t>’</w:t>
      </w:r>
      <w:r w:rsidRPr="003C70EE">
        <w:t>Union européenne</w:t>
      </w:r>
      <w:r w:rsidRPr="00F33534">
        <w:rPr>
          <w:rStyle w:val="FootnoteReference"/>
          <w:b w:val="0"/>
          <w:sz w:val="20"/>
          <w:vertAlign w:val="baseline"/>
        </w:rPr>
        <w:footnoteReference w:customMarkFollows="1" w:id="2"/>
        <w:t>*</w:t>
      </w:r>
    </w:p>
    <w:p w:rsidR="00F33534" w:rsidRDefault="00F33534" w:rsidP="00F33534">
      <w:pPr>
        <w:pStyle w:val="SingleTxtG"/>
        <w:ind w:firstLine="567"/>
      </w:pPr>
      <w:r w:rsidRPr="00543797">
        <w:t xml:space="preserve">Le texte reproduit ci-après a été établi par les représentants </w:t>
      </w:r>
      <w:r>
        <w:t xml:space="preserve">du Japon, de la République de Corée et de l’Union </w:t>
      </w:r>
      <w:r w:rsidR="00041837">
        <w:t>e</w:t>
      </w:r>
      <w:r>
        <w:t xml:space="preserve">uropéenne </w:t>
      </w:r>
      <w:r w:rsidRPr="00543797">
        <w:t>en vue de l</w:t>
      </w:r>
      <w:r>
        <w:t>’</w:t>
      </w:r>
      <w:r w:rsidRPr="00543797">
        <w:t>élaboration</w:t>
      </w:r>
      <w:r>
        <w:t xml:space="preserve">, par </w:t>
      </w:r>
      <w:r w:rsidRPr="005C5B68">
        <w:t>le groupe de travail informel des véhicules à hydrogène à pile à combustible − sous-groupe des questions de sécurité (HFCV-SGS</w:t>
      </w:r>
      <w:r>
        <w:t>),</w:t>
      </w:r>
      <w:r w:rsidRPr="005C5B68">
        <w:t xml:space="preserve"> </w:t>
      </w:r>
      <w:r w:rsidRPr="00543797">
        <w:t>de la phase 2 du Règlement technique mondial (RTM</w:t>
      </w:r>
      <w:r>
        <w:t xml:space="preserve">) </w:t>
      </w:r>
      <w:r w:rsidRPr="00543797">
        <w:t>n</w:t>
      </w:r>
      <w:r w:rsidRPr="00543797">
        <w:rPr>
          <w:vertAlign w:val="superscript"/>
        </w:rPr>
        <w:t>o</w:t>
      </w:r>
      <w:r>
        <w:t> 13</w:t>
      </w:r>
      <w:r w:rsidRPr="00543797">
        <w:t xml:space="preserve">. </w:t>
      </w:r>
      <w:r w:rsidRPr="00241E78">
        <w:t>Il a été adopté par le Comité exécutif de l</w:t>
      </w:r>
      <w:r>
        <w:t>’</w:t>
      </w:r>
      <w:r w:rsidRPr="00241E78">
        <w:t xml:space="preserve">Accord de 1998 (AC.3) à sa session de </w:t>
      </w:r>
      <w:r w:rsidRPr="00F33534">
        <w:rPr>
          <w:spacing w:val="-2"/>
        </w:rPr>
        <w:t>mars 2017 (ECE/TRANS/WP.29/1129, par. 162). Il</w:t>
      </w:r>
      <w:r>
        <w:t xml:space="preserve"> est fondé sur le document</w:t>
      </w:r>
      <w:r w:rsidRPr="00241E78">
        <w:t xml:space="preserve"> ECE/TRANS/</w:t>
      </w:r>
      <w:r>
        <w:t xml:space="preserve"> </w:t>
      </w:r>
      <w:r w:rsidRPr="00241E78">
        <w:t>WP.29/2017/143. Cette autorisation d</w:t>
      </w:r>
      <w:r>
        <w:t>’</w:t>
      </w:r>
      <w:r w:rsidRPr="00241E78">
        <w:t xml:space="preserve">élaboration est transmise au Groupe de travail de la sécurité passive (GRSP). </w:t>
      </w:r>
      <w:r w:rsidRPr="00800900">
        <w:t>Conformément aux dispositions des paragraphes 6.3.4.2, 6.3.7 et</w:t>
      </w:r>
      <w:r>
        <w:t> </w:t>
      </w:r>
      <w:r w:rsidRPr="00800900">
        <w:t>6.4 de l</w:t>
      </w:r>
      <w:r>
        <w:t>’</w:t>
      </w:r>
      <w:r w:rsidRPr="00800900">
        <w:t>Accord de 1998, le présent document, une fois adopté, sera joint en appendice au Règlement technique mondial modifié</w:t>
      </w:r>
      <w:r w:rsidRPr="00241E78">
        <w:t>.</w:t>
      </w:r>
    </w:p>
    <w:p w:rsidR="00F33534" w:rsidRPr="00F33534" w:rsidRDefault="00F33534" w:rsidP="00F33534">
      <w:pPr>
        <w:pStyle w:val="HChG"/>
        <w:rPr>
          <w:lang w:val="fr-FR"/>
        </w:rPr>
      </w:pPr>
      <w:r>
        <w:br w:type="page"/>
      </w:r>
      <w:r w:rsidRPr="00F33534">
        <w:lastRenderedPageBreak/>
        <w:tab/>
      </w:r>
      <w:r w:rsidRPr="00F33534">
        <w:rPr>
          <w:lang w:val="fr-FR"/>
        </w:rPr>
        <w:t>I.</w:t>
      </w:r>
      <w:r w:rsidRPr="00F33534">
        <w:rPr>
          <w:lang w:val="fr-FR"/>
        </w:rPr>
        <w:tab/>
        <w:t>Généralités</w:t>
      </w:r>
    </w:p>
    <w:p w:rsidR="00F33534" w:rsidRPr="00F33534" w:rsidRDefault="00F33534" w:rsidP="00F33534">
      <w:pPr>
        <w:pStyle w:val="SingleTxtG"/>
        <w:rPr>
          <w:lang w:val="fr-FR"/>
        </w:rPr>
      </w:pPr>
      <w:r w:rsidRPr="00F33534">
        <w:rPr>
          <w:lang w:val="fr-FR"/>
        </w:rPr>
        <w:t>1.</w:t>
      </w:r>
      <w:r w:rsidRPr="00F33534">
        <w:rPr>
          <w:lang w:val="fr-FR"/>
        </w:rPr>
        <w:tab/>
        <w:t>Le Règlement technique mondial sur la sécurité des véhicules électriques est le fruit de nombreuses réunions et de l</w:t>
      </w:r>
      <w:r>
        <w:rPr>
          <w:lang w:val="fr-FR"/>
        </w:rPr>
        <w:t>’</w:t>
      </w:r>
      <w:r w:rsidRPr="00F33534">
        <w:rPr>
          <w:lang w:val="fr-FR"/>
        </w:rPr>
        <w:t>excellente coopération entre les Gouvernements du Canada, de la Chine, des États-Unis d</w:t>
      </w:r>
      <w:r>
        <w:rPr>
          <w:lang w:val="fr-FR"/>
        </w:rPr>
        <w:t>’</w:t>
      </w:r>
      <w:r w:rsidRPr="00F33534">
        <w:rPr>
          <w:lang w:val="fr-FR"/>
        </w:rPr>
        <w:t>Amérique, du Japon, de la République de Corée et l</w:t>
      </w:r>
      <w:r>
        <w:rPr>
          <w:lang w:val="fr-FR"/>
        </w:rPr>
        <w:t>’</w:t>
      </w:r>
      <w:r w:rsidRPr="00F33534">
        <w:rPr>
          <w:lang w:val="fr-FR"/>
        </w:rPr>
        <w:t>Union européenne, avec la participation des organisations de normalisation, des autorités chargées des essais et des experts dans ce domaine. En 2012, le Forum mondial de l</w:t>
      </w:r>
      <w:r>
        <w:rPr>
          <w:lang w:val="fr-FR"/>
        </w:rPr>
        <w:t>’</w:t>
      </w:r>
      <w:r w:rsidRPr="00F33534">
        <w:rPr>
          <w:lang w:val="fr-FR"/>
        </w:rPr>
        <w:t>harmonisation des Règlements concernant les véhicules (WP.29) et le Comité exécutif de l</w:t>
      </w:r>
      <w:r>
        <w:rPr>
          <w:lang w:val="fr-FR"/>
        </w:rPr>
        <w:t>’</w:t>
      </w:r>
      <w:r w:rsidRPr="00F33534">
        <w:rPr>
          <w:lang w:val="fr-FR"/>
        </w:rPr>
        <w:t>Accord de</w:t>
      </w:r>
      <w:r>
        <w:rPr>
          <w:lang w:val="fr-FR"/>
        </w:rPr>
        <w:t> </w:t>
      </w:r>
      <w:r w:rsidRPr="00F33534">
        <w:rPr>
          <w:lang w:val="fr-FR"/>
        </w:rPr>
        <w:t>1998 (AC.3) ont adopté une proposition commune soumise par la Chine, les États-Unis d</w:t>
      </w:r>
      <w:r>
        <w:rPr>
          <w:lang w:val="fr-FR"/>
        </w:rPr>
        <w:t>’</w:t>
      </w:r>
      <w:r w:rsidRPr="00F33534">
        <w:rPr>
          <w:lang w:val="fr-FR"/>
        </w:rPr>
        <w:t>Amérique, le Japon et l</w:t>
      </w:r>
      <w:r>
        <w:rPr>
          <w:lang w:val="fr-FR"/>
        </w:rPr>
        <w:t>’</w:t>
      </w:r>
      <w:r w:rsidRPr="00F33534">
        <w:rPr>
          <w:lang w:val="fr-FR"/>
        </w:rPr>
        <w:t>Union européenne, visant à établir deux groupes de travail informels afin de traiter les questions relatives à la sécurité et aux implications environnement</w:t>
      </w:r>
      <w:r>
        <w:rPr>
          <w:lang w:val="fr-FR"/>
        </w:rPr>
        <w:t>ales des véhicules électriques.</w:t>
      </w:r>
    </w:p>
    <w:p w:rsidR="00F33534" w:rsidRPr="00F33534" w:rsidRDefault="00F33534" w:rsidP="00F33534">
      <w:pPr>
        <w:pStyle w:val="SingleTxtG"/>
        <w:rPr>
          <w:lang w:val="fr-FR"/>
        </w:rPr>
      </w:pPr>
      <w:r w:rsidRPr="00F33534">
        <w:rPr>
          <w:lang w:val="fr-FR"/>
        </w:rPr>
        <w:t>2.</w:t>
      </w:r>
      <w:r w:rsidRPr="00F33534">
        <w:rPr>
          <w:lang w:val="fr-FR"/>
        </w:rPr>
        <w:tab/>
        <w:t>Ces deux groupes étaient chargés d</w:t>
      </w:r>
      <w:r>
        <w:rPr>
          <w:lang w:val="fr-FR"/>
        </w:rPr>
        <w:t>’</w:t>
      </w:r>
      <w:r w:rsidRPr="00F33534">
        <w:rPr>
          <w:lang w:val="fr-FR"/>
        </w:rPr>
        <w:t>harmoniser la réglementation à l</w:t>
      </w:r>
      <w:r>
        <w:rPr>
          <w:lang w:val="fr-FR"/>
        </w:rPr>
        <w:t>’</w:t>
      </w:r>
      <w:r w:rsidRPr="00F33534">
        <w:rPr>
          <w:lang w:val="fr-FR"/>
        </w:rPr>
        <w:t>échelle mondiale en menant des travaux dans le cadre de l</w:t>
      </w:r>
      <w:r>
        <w:rPr>
          <w:lang w:val="fr-FR"/>
        </w:rPr>
        <w:t xml:space="preserve">’Accord de 1998. À </w:t>
      </w:r>
      <w:r w:rsidRPr="00F33534">
        <w:rPr>
          <w:lang w:val="fr-FR"/>
        </w:rPr>
        <w:t>ce titre, un groupe de travail informel a été établi afin d</w:t>
      </w:r>
      <w:r>
        <w:rPr>
          <w:lang w:val="fr-FR"/>
        </w:rPr>
        <w:t>’</w:t>
      </w:r>
      <w:r w:rsidRPr="00F33534">
        <w:rPr>
          <w:lang w:val="fr-FR"/>
        </w:rPr>
        <w:t>élaborer des dispositions relatives à la sécurité des véhicules électriques. Ces dispositions traiteront de la sécurité des véhicules électriques en conditions d</w:t>
      </w:r>
      <w:r>
        <w:rPr>
          <w:lang w:val="fr-FR"/>
        </w:rPr>
        <w:t>’</w:t>
      </w:r>
      <w:r w:rsidRPr="00F33534">
        <w:rPr>
          <w:lang w:val="fr-FR"/>
        </w:rPr>
        <w:t>utilisation normale et après un choc, selon une approche scientifique fondée sur des données factuelles et des prescriptions fonctionnelles. Au cours des cinq dernières années, le groupe de travail informel de la sécurité des véhicules électriques (EVS) a tenu des réunions et a effectué les recherches et les essais qui lui ont permis d</w:t>
      </w:r>
      <w:r>
        <w:rPr>
          <w:lang w:val="fr-FR"/>
        </w:rPr>
        <w:t>’</w:t>
      </w:r>
      <w:r w:rsidRPr="00F33534">
        <w:rPr>
          <w:lang w:val="fr-FR"/>
        </w:rPr>
        <w:t>achever la première phase des travaux et d</w:t>
      </w:r>
      <w:r>
        <w:rPr>
          <w:lang w:val="fr-FR"/>
        </w:rPr>
        <w:t>’</w:t>
      </w:r>
      <w:r w:rsidRPr="00F33534">
        <w:rPr>
          <w:lang w:val="fr-FR"/>
        </w:rPr>
        <w:t>élaborer un projet de RTM. Il est prévu que le projet de RTM soit inscrit au Registre mondial de l</w:t>
      </w:r>
      <w:r>
        <w:rPr>
          <w:lang w:val="fr-FR"/>
        </w:rPr>
        <w:t>’</w:t>
      </w:r>
      <w:r w:rsidRPr="00F33534">
        <w:rPr>
          <w:lang w:val="fr-FR"/>
        </w:rPr>
        <w:t>Accord de 1998, au terme d</w:t>
      </w:r>
      <w:r>
        <w:rPr>
          <w:lang w:val="fr-FR"/>
        </w:rPr>
        <w:t>’</w:t>
      </w:r>
      <w:r w:rsidRPr="00F33534">
        <w:rPr>
          <w:lang w:val="fr-FR"/>
        </w:rPr>
        <w:t>un vote par con</w:t>
      </w:r>
      <w:r>
        <w:rPr>
          <w:lang w:val="fr-FR"/>
        </w:rPr>
        <w:t xml:space="preserve">sensus à la session de novembre </w:t>
      </w:r>
      <w:r w:rsidRPr="00F33534">
        <w:rPr>
          <w:lang w:val="fr-FR"/>
        </w:rPr>
        <w:t>2017 du Comité exécutif de l</w:t>
      </w:r>
      <w:r>
        <w:rPr>
          <w:lang w:val="fr-FR"/>
        </w:rPr>
        <w:t>’</w:t>
      </w:r>
      <w:r w:rsidRPr="00F33534">
        <w:rPr>
          <w:lang w:val="fr-FR"/>
        </w:rPr>
        <w:t>Accord de 19</w:t>
      </w:r>
      <w:r w:rsidR="00041837">
        <w:rPr>
          <w:lang w:val="fr-FR"/>
        </w:rPr>
        <w:t>9</w:t>
      </w:r>
      <w:r w:rsidRPr="00F33534">
        <w:rPr>
          <w:lang w:val="fr-FR"/>
        </w:rPr>
        <w:t>8 (AC.3).</w:t>
      </w:r>
    </w:p>
    <w:p w:rsidR="00F33534" w:rsidRPr="00F33534" w:rsidRDefault="00F33534" w:rsidP="00F33534">
      <w:pPr>
        <w:pStyle w:val="SingleTxtG"/>
        <w:rPr>
          <w:lang w:val="fr-FR"/>
        </w:rPr>
      </w:pPr>
      <w:r w:rsidRPr="00F33534">
        <w:rPr>
          <w:lang w:val="fr-FR"/>
        </w:rPr>
        <w:t>3.</w:t>
      </w:r>
      <w:r w:rsidRPr="00F33534">
        <w:rPr>
          <w:lang w:val="fr-FR"/>
        </w:rPr>
        <w:tab/>
        <w:t>Bien que le projet de RTM comprenne une série de dispositions essentielles en matière de sécurité, certains domaines n</w:t>
      </w:r>
      <w:r>
        <w:rPr>
          <w:lang w:val="fr-FR"/>
        </w:rPr>
        <w:t>’</w:t>
      </w:r>
      <w:r w:rsidRPr="00F33534">
        <w:rPr>
          <w:lang w:val="fr-FR"/>
        </w:rPr>
        <w:t>ont pas encore été pris en compte dans la phase</w:t>
      </w:r>
      <w:r>
        <w:rPr>
          <w:lang w:val="fr-FR"/>
        </w:rPr>
        <w:t xml:space="preserve"> </w:t>
      </w:r>
      <w:r w:rsidRPr="00F33534">
        <w:rPr>
          <w:lang w:val="fr-FR"/>
        </w:rPr>
        <w:t>1 en raison de la durée des travaux de recherche et des essais à réaliser. Le</w:t>
      </w:r>
      <w:r>
        <w:rPr>
          <w:lang w:val="fr-FR"/>
        </w:rPr>
        <w:t xml:space="preserve"> </w:t>
      </w:r>
      <w:r w:rsidRPr="00F33534">
        <w:rPr>
          <w:lang w:val="fr-FR"/>
        </w:rPr>
        <w:t>groupe de travail informel de l</w:t>
      </w:r>
      <w:r>
        <w:rPr>
          <w:lang w:val="fr-FR"/>
        </w:rPr>
        <w:t>’</w:t>
      </w:r>
      <w:r w:rsidRPr="00F33534">
        <w:rPr>
          <w:lang w:val="fr-FR"/>
        </w:rPr>
        <w:t>EVS demande l</w:t>
      </w:r>
      <w:r>
        <w:rPr>
          <w:lang w:val="fr-FR"/>
        </w:rPr>
        <w:t>’</w:t>
      </w:r>
      <w:r w:rsidRPr="00F33534">
        <w:rPr>
          <w:lang w:val="fr-FR"/>
        </w:rPr>
        <w:t>autorisation de lancer la phase</w:t>
      </w:r>
      <w:r>
        <w:rPr>
          <w:lang w:val="fr-FR"/>
        </w:rPr>
        <w:t xml:space="preserve"> </w:t>
      </w:r>
      <w:r w:rsidRPr="00F33534">
        <w:rPr>
          <w:lang w:val="fr-FR"/>
        </w:rPr>
        <w:t>2 immédiatement après l</w:t>
      </w:r>
      <w:r>
        <w:rPr>
          <w:lang w:val="fr-FR"/>
        </w:rPr>
        <w:t>’</w:t>
      </w:r>
      <w:r w:rsidRPr="00F33534">
        <w:rPr>
          <w:lang w:val="fr-FR"/>
        </w:rPr>
        <w:t>établissement du projet de RTM, afin de s</w:t>
      </w:r>
      <w:r>
        <w:rPr>
          <w:lang w:val="fr-FR"/>
        </w:rPr>
        <w:t>’</w:t>
      </w:r>
      <w:r w:rsidRPr="00F33534">
        <w:rPr>
          <w:lang w:val="fr-FR"/>
        </w:rPr>
        <w:t xml:space="preserve">attaquer aux questions techniques restées en suspens. </w:t>
      </w:r>
    </w:p>
    <w:p w:rsidR="00F33534" w:rsidRPr="00F33534" w:rsidRDefault="00F33534" w:rsidP="00F33534">
      <w:pPr>
        <w:pStyle w:val="HChG"/>
        <w:rPr>
          <w:lang w:val="fr-FR"/>
        </w:rPr>
      </w:pPr>
      <w:r w:rsidRPr="00F33534">
        <w:rPr>
          <w:lang w:val="fr-FR"/>
        </w:rPr>
        <w:tab/>
        <w:t>II.</w:t>
      </w:r>
      <w:r w:rsidRPr="00F33534">
        <w:rPr>
          <w:lang w:val="fr-FR"/>
        </w:rPr>
        <w:tab/>
        <w:t>Proposition</w:t>
      </w:r>
    </w:p>
    <w:p w:rsidR="00F33534" w:rsidRPr="00F33534" w:rsidRDefault="00F33534" w:rsidP="00F33534">
      <w:pPr>
        <w:pStyle w:val="SingleTxtG"/>
        <w:rPr>
          <w:lang w:val="fr-FR"/>
        </w:rPr>
      </w:pPr>
      <w:r w:rsidRPr="00F33534">
        <w:rPr>
          <w:lang w:val="fr-FR"/>
        </w:rPr>
        <w:t>4.</w:t>
      </w:r>
      <w:r w:rsidRPr="00F33534">
        <w:rPr>
          <w:lang w:val="fr-FR"/>
        </w:rPr>
        <w:tab/>
        <w:t>La prolongation du mandat du groupe de travail informel du RTM relatif à la sécurité des véhicules électriques permettra de traiter les questions de sécurité restantes. Les activités de la phase</w:t>
      </w:r>
      <w:r>
        <w:rPr>
          <w:lang w:val="fr-FR"/>
        </w:rPr>
        <w:t xml:space="preserve"> </w:t>
      </w:r>
      <w:r w:rsidRPr="00F33534">
        <w:rPr>
          <w:lang w:val="fr-FR"/>
        </w:rPr>
        <w:t>2 devraient débuter immédiatement après que le WP.29 et l</w:t>
      </w:r>
      <w:r>
        <w:rPr>
          <w:lang w:val="fr-FR"/>
        </w:rPr>
        <w:t>’</w:t>
      </w:r>
      <w:r w:rsidRPr="00F33534">
        <w:rPr>
          <w:lang w:val="fr-FR"/>
        </w:rPr>
        <w:t>AC.3 auront donné leur accord</w:t>
      </w:r>
      <w:r>
        <w:rPr>
          <w:lang w:val="fr-FR"/>
        </w:rPr>
        <w:t>.</w:t>
      </w:r>
    </w:p>
    <w:p w:rsidR="00F33534" w:rsidRPr="00F33534" w:rsidRDefault="00F33534" w:rsidP="00F33534">
      <w:pPr>
        <w:pStyle w:val="SingleTxtG"/>
        <w:rPr>
          <w:lang w:val="fr-FR"/>
        </w:rPr>
      </w:pPr>
      <w:r w:rsidRPr="00F33534">
        <w:rPr>
          <w:lang w:val="fr-FR"/>
        </w:rPr>
        <w:t>5.</w:t>
      </w:r>
      <w:r w:rsidRPr="00F33534">
        <w:rPr>
          <w:lang w:val="fr-FR"/>
        </w:rPr>
        <w:tab/>
        <w:t>Les travaux de la phase 2 devraient porter sur les points suivants</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a)</w:t>
      </w:r>
      <w:r w:rsidRPr="00F33534">
        <w:rPr>
          <w:lang w:val="fr-FR"/>
        </w:rPr>
        <w:tab/>
        <w:t>Essai d</w:t>
      </w:r>
      <w:r>
        <w:rPr>
          <w:lang w:val="fr-FR"/>
        </w:rPr>
        <w:t>’</w:t>
      </w:r>
      <w:r w:rsidRPr="00F33534">
        <w:rPr>
          <w:lang w:val="fr-FR"/>
        </w:rPr>
        <w:t>immersion dans l</w:t>
      </w:r>
      <w:r>
        <w:rPr>
          <w:lang w:val="fr-FR"/>
        </w:rPr>
        <w:t>’</w:t>
      </w:r>
      <w:r w:rsidRPr="00F33534">
        <w:rPr>
          <w:lang w:val="fr-FR"/>
        </w:rPr>
        <w:t>eau</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b)</w:t>
      </w:r>
      <w:r w:rsidRPr="00F33534">
        <w:rPr>
          <w:lang w:val="fr-FR"/>
        </w:rPr>
        <w:tab/>
        <w:t>Essai de résistance au feu sur une longue durée</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c)</w:t>
      </w:r>
      <w:r w:rsidRPr="00F33534">
        <w:rPr>
          <w:lang w:val="fr-FR"/>
        </w:rPr>
        <w:tab/>
        <w:t>Essais de rotation du système rechargeable de stockage de l</w:t>
      </w:r>
      <w:r>
        <w:rPr>
          <w:lang w:val="fr-FR"/>
        </w:rPr>
        <w:t>’</w:t>
      </w:r>
      <w:r w:rsidRPr="00F33534">
        <w:rPr>
          <w:lang w:val="fr-FR"/>
        </w:rPr>
        <w:t>énergie électrique (SRSEE)</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d)</w:t>
      </w:r>
      <w:r w:rsidRPr="00F33534">
        <w:rPr>
          <w:lang w:val="fr-FR"/>
        </w:rPr>
        <w:tab/>
        <w:t>Profil de vibration du SRSEE</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e)</w:t>
      </w:r>
      <w:r w:rsidRPr="00F33534">
        <w:rPr>
          <w:lang w:val="fr-FR"/>
        </w:rPr>
        <w:tab/>
        <w:t>Inflammabilité, toxicité et corrosivité des gaz rejetés (à savoir, quantification de l</w:t>
      </w:r>
      <w:r>
        <w:rPr>
          <w:lang w:val="fr-FR"/>
        </w:rPr>
        <w:t>’</w:t>
      </w:r>
      <w:r w:rsidRPr="00F33534">
        <w:rPr>
          <w:lang w:val="fr-FR"/>
        </w:rPr>
        <w:t>évacuation de gaz aux fins des essais relatifs à la sécurité du SRSEE après un choc, risque d</w:t>
      </w:r>
      <w:r>
        <w:rPr>
          <w:lang w:val="fr-FR"/>
        </w:rPr>
        <w:t>’</w:t>
      </w:r>
      <w:r w:rsidRPr="00F33534">
        <w:rPr>
          <w:lang w:val="fr-FR"/>
        </w:rPr>
        <w:t>émanation de « gaz toxiques » d</w:t>
      </w:r>
      <w:r>
        <w:rPr>
          <w:lang w:val="fr-FR"/>
        </w:rPr>
        <w:t>’</w:t>
      </w:r>
      <w:r w:rsidRPr="00F33534">
        <w:rPr>
          <w:lang w:val="fr-FR"/>
        </w:rPr>
        <w:t>un électrolyte non aqueux)</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f)</w:t>
      </w:r>
      <w:r w:rsidRPr="00F33534">
        <w:rPr>
          <w:lang w:val="fr-FR"/>
        </w:rPr>
        <w:tab/>
        <w:t>Propagation thermique et méthodes d</w:t>
      </w:r>
      <w:r>
        <w:rPr>
          <w:lang w:val="fr-FR"/>
        </w:rPr>
        <w:t>’</w:t>
      </w:r>
      <w:r w:rsidRPr="00F33534">
        <w:rPr>
          <w:lang w:val="fr-FR"/>
        </w:rPr>
        <w:t>amorçage dans le système de batteries</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t>g)</w:t>
      </w:r>
      <w:r w:rsidRPr="00F33534">
        <w:rPr>
          <w:lang w:val="fr-FR"/>
        </w:rPr>
        <w:tab/>
        <w:t>Procédures d</w:t>
      </w:r>
      <w:r>
        <w:rPr>
          <w:lang w:val="fr-FR"/>
        </w:rPr>
        <w:t>’</w:t>
      </w:r>
      <w:r w:rsidRPr="00F33534">
        <w:rPr>
          <w:lang w:val="fr-FR"/>
        </w:rPr>
        <w:t>évaluation et de stabilisation de la sécurité du SRSEE après un choc</w:t>
      </w:r>
      <w:r>
        <w:rPr>
          <w:lang w:val="fr-FR"/>
        </w:rPr>
        <w:t> </w:t>
      </w:r>
      <w:r w:rsidRPr="00F33534">
        <w:rPr>
          <w:lang w:val="fr-FR"/>
        </w:rPr>
        <w:t xml:space="preserve">; </w:t>
      </w:r>
    </w:p>
    <w:p w:rsidR="00F33534" w:rsidRPr="00F33534" w:rsidRDefault="00F33534" w:rsidP="00F33534">
      <w:pPr>
        <w:pStyle w:val="SingleTxtG"/>
        <w:ind w:firstLine="567"/>
        <w:rPr>
          <w:lang w:val="fr-FR"/>
        </w:rPr>
      </w:pPr>
      <w:r w:rsidRPr="00F33534">
        <w:rPr>
          <w:lang w:val="fr-FR"/>
        </w:rPr>
        <w:t>h)</w:t>
      </w:r>
      <w:r w:rsidRPr="00F33534">
        <w:rPr>
          <w:lang w:val="fr-FR"/>
        </w:rPr>
        <w:tab/>
        <w:t>Véhicules électriques légers (catégories L</w:t>
      </w:r>
      <w:r w:rsidRPr="00F33534">
        <w:rPr>
          <w:vertAlign w:val="subscript"/>
          <w:lang w:val="fr-FR"/>
        </w:rPr>
        <w:t>6</w:t>
      </w:r>
      <w:r w:rsidRPr="00F33534">
        <w:rPr>
          <w:lang w:val="fr-FR"/>
        </w:rPr>
        <w:t xml:space="preserve"> et L</w:t>
      </w:r>
      <w:r w:rsidRPr="00F33534">
        <w:rPr>
          <w:vertAlign w:val="subscript"/>
          <w:lang w:val="fr-FR"/>
        </w:rPr>
        <w:t>7</w:t>
      </w:r>
      <w:r w:rsidRPr="00F33534">
        <w:rPr>
          <w:lang w:val="fr-FR"/>
        </w:rPr>
        <w:t>, véhicules à faible vitesse, par exemple)</w:t>
      </w:r>
      <w:r>
        <w:rPr>
          <w:lang w:val="fr-FR"/>
        </w:rPr>
        <w:t> </w:t>
      </w:r>
      <w:r w:rsidRPr="00F33534">
        <w:rPr>
          <w:lang w:val="fr-FR"/>
        </w:rPr>
        <w:t>;</w:t>
      </w:r>
    </w:p>
    <w:p w:rsidR="00F33534" w:rsidRPr="00F33534" w:rsidRDefault="00F33534" w:rsidP="00F33534">
      <w:pPr>
        <w:pStyle w:val="SingleTxtG"/>
        <w:ind w:firstLine="567"/>
        <w:rPr>
          <w:lang w:val="fr-FR"/>
        </w:rPr>
      </w:pPr>
      <w:r w:rsidRPr="00F33534">
        <w:rPr>
          <w:lang w:val="fr-FR"/>
        </w:rPr>
        <w:lastRenderedPageBreak/>
        <w:t>i)</w:t>
      </w:r>
      <w:r w:rsidRPr="00F33534">
        <w:rPr>
          <w:lang w:val="fr-FR"/>
        </w:rPr>
        <w:tab/>
        <w:t>Protection lors de la recharge et de l</w:t>
      </w:r>
      <w:r>
        <w:rPr>
          <w:lang w:val="fr-FR"/>
        </w:rPr>
        <w:t>’</w:t>
      </w:r>
      <w:r w:rsidRPr="00F33534">
        <w:rPr>
          <w:lang w:val="fr-FR"/>
        </w:rPr>
        <w:t>alimentation en courant alternatif et en courant continu</w:t>
      </w:r>
      <w:r>
        <w:rPr>
          <w:lang w:val="fr-FR"/>
        </w:rPr>
        <w:t> </w:t>
      </w:r>
      <w:r w:rsidRPr="00F33534">
        <w:rPr>
          <w:lang w:val="fr-FR"/>
        </w:rPr>
        <w:t xml:space="preserve">; </w:t>
      </w:r>
    </w:p>
    <w:p w:rsidR="00F33534" w:rsidRPr="00F33534" w:rsidRDefault="00F33534" w:rsidP="00F33534">
      <w:pPr>
        <w:pStyle w:val="SingleTxtG"/>
        <w:ind w:firstLine="567"/>
        <w:rPr>
          <w:lang w:val="fr-FR"/>
        </w:rPr>
      </w:pPr>
      <w:r w:rsidRPr="00F33534">
        <w:rPr>
          <w:lang w:val="fr-FR"/>
        </w:rPr>
        <w:t>j)</w:t>
      </w:r>
      <w:r w:rsidRPr="00F33534">
        <w:rPr>
          <w:lang w:val="fr-FR"/>
        </w:rPr>
        <w:tab/>
        <w:t>Prescriptions relatives à la surintensité et essais s</w:t>
      </w:r>
      <w:r>
        <w:rPr>
          <w:lang w:val="fr-FR"/>
        </w:rPr>
        <w:t>’</w:t>
      </w:r>
      <w:r w:rsidRPr="00F33534">
        <w:rPr>
          <w:lang w:val="fr-FR"/>
        </w:rPr>
        <w:t>y rapportant (au niveau des composants).</w:t>
      </w:r>
    </w:p>
    <w:p w:rsidR="00F33534" w:rsidRPr="00F33534" w:rsidRDefault="00F33534" w:rsidP="00F33534">
      <w:pPr>
        <w:pStyle w:val="HChG"/>
        <w:rPr>
          <w:lang w:val="fr-FR"/>
        </w:rPr>
      </w:pPr>
      <w:r w:rsidRPr="00F33534">
        <w:rPr>
          <w:lang w:val="fr-FR"/>
        </w:rPr>
        <w:tab/>
        <w:t>III.</w:t>
      </w:r>
      <w:r w:rsidRPr="00F33534">
        <w:rPr>
          <w:lang w:val="fr-FR"/>
        </w:rPr>
        <w:tab/>
        <w:t>Calendrier</w:t>
      </w:r>
    </w:p>
    <w:p w:rsidR="00F9573C" w:rsidRDefault="00F33534" w:rsidP="00F33534">
      <w:pPr>
        <w:pStyle w:val="SingleTxtG"/>
        <w:rPr>
          <w:lang w:val="fr-FR"/>
        </w:rPr>
      </w:pPr>
      <w:r w:rsidRPr="00F33534">
        <w:rPr>
          <w:lang w:val="fr-FR"/>
        </w:rPr>
        <w:t>6.</w:t>
      </w:r>
      <w:r w:rsidRPr="00F33534">
        <w:rPr>
          <w:lang w:val="fr-FR"/>
        </w:rPr>
        <w:tab/>
        <w:t xml:space="preserve">Il est prévu que les travaux du groupe de travail informel </w:t>
      </w:r>
      <w:r>
        <w:rPr>
          <w:lang w:val="fr-FR"/>
        </w:rPr>
        <w:t xml:space="preserve">de la phase </w:t>
      </w:r>
      <w:r w:rsidRPr="00F33534">
        <w:rPr>
          <w:lang w:val="fr-FR"/>
        </w:rPr>
        <w:t>2 du RTM sur l</w:t>
      </w:r>
      <w:r>
        <w:rPr>
          <w:lang w:val="fr-FR"/>
        </w:rPr>
        <w:t>’</w:t>
      </w:r>
      <w:r w:rsidRPr="00F33534">
        <w:rPr>
          <w:lang w:val="fr-FR"/>
        </w:rPr>
        <w:t>EVS soient terminés d</w:t>
      </w:r>
      <w:r>
        <w:rPr>
          <w:lang w:val="fr-FR"/>
        </w:rPr>
        <w:t>’</w:t>
      </w:r>
      <w:r w:rsidRPr="00F33534">
        <w:rPr>
          <w:lang w:val="fr-FR"/>
        </w:rPr>
        <w:t>ici à [2021]. Ils pourront se poursuivre jusqu</w:t>
      </w:r>
      <w:r>
        <w:rPr>
          <w:lang w:val="fr-FR"/>
        </w:rPr>
        <w:t>’</w:t>
      </w:r>
      <w:r w:rsidRPr="00F33534">
        <w:rPr>
          <w:lang w:val="fr-FR"/>
        </w:rPr>
        <w:t>à la fin [2021] sans modification officielle du mandat, à moins que les circonstances n</w:t>
      </w:r>
      <w:r>
        <w:rPr>
          <w:lang w:val="fr-FR"/>
        </w:rPr>
        <w:t>’</w:t>
      </w:r>
      <w:r w:rsidRPr="00F33534">
        <w:rPr>
          <w:lang w:val="fr-FR"/>
        </w:rPr>
        <w:t>en décident autrement.</w:t>
      </w:r>
    </w:p>
    <w:p w:rsidR="00F33534" w:rsidRPr="00F33534" w:rsidRDefault="00F33534" w:rsidP="00F33534">
      <w:pPr>
        <w:pStyle w:val="SingleTxtG"/>
        <w:spacing w:before="240" w:after="0"/>
        <w:jc w:val="center"/>
        <w:rPr>
          <w:u w:val="single"/>
        </w:rPr>
      </w:pPr>
      <w:r>
        <w:rPr>
          <w:u w:val="single"/>
        </w:rPr>
        <w:tab/>
      </w:r>
      <w:r>
        <w:rPr>
          <w:u w:val="single"/>
        </w:rPr>
        <w:tab/>
      </w:r>
      <w:r>
        <w:rPr>
          <w:u w:val="single"/>
        </w:rPr>
        <w:tab/>
      </w:r>
    </w:p>
    <w:sectPr w:rsidR="00F33534" w:rsidRPr="00F33534" w:rsidSect="00F335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99" w:rsidRDefault="00BC4799" w:rsidP="00F95C08">
      <w:pPr>
        <w:spacing w:line="240" w:lineRule="auto"/>
      </w:pPr>
    </w:p>
  </w:endnote>
  <w:endnote w:type="continuationSeparator" w:id="0">
    <w:p w:rsidR="00BC4799" w:rsidRPr="00AC3823" w:rsidRDefault="00BC4799" w:rsidP="00AC3823">
      <w:pPr>
        <w:pStyle w:val="Footer"/>
      </w:pPr>
    </w:p>
  </w:endnote>
  <w:endnote w:type="continuationNotice" w:id="1">
    <w:p w:rsidR="00BC4799" w:rsidRDefault="00BC47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34" w:rsidRPr="00F33534" w:rsidRDefault="00F33534" w:rsidP="00F33534">
    <w:pPr>
      <w:pStyle w:val="Footer"/>
      <w:tabs>
        <w:tab w:val="right" w:pos="9638"/>
      </w:tabs>
    </w:pPr>
    <w:r w:rsidRPr="00F33534">
      <w:rPr>
        <w:b/>
        <w:sz w:val="18"/>
      </w:rPr>
      <w:fldChar w:fldCharType="begin"/>
    </w:r>
    <w:r w:rsidRPr="00F33534">
      <w:rPr>
        <w:b/>
        <w:sz w:val="18"/>
      </w:rPr>
      <w:instrText xml:space="preserve"> PAGE  \* MERGEFORMAT </w:instrText>
    </w:r>
    <w:r w:rsidRPr="00F33534">
      <w:rPr>
        <w:b/>
        <w:sz w:val="18"/>
      </w:rPr>
      <w:fldChar w:fldCharType="separate"/>
    </w:r>
    <w:r w:rsidR="00C80B14">
      <w:rPr>
        <w:b/>
        <w:noProof/>
        <w:sz w:val="18"/>
      </w:rPr>
      <w:t>2</w:t>
    </w:r>
    <w:r w:rsidRPr="00F33534">
      <w:rPr>
        <w:b/>
        <w:sz w:val="18"/>
      </w:rPr>
      <w:fldChar w:fldCharType="end"/>
    </w:r>
    <w:r>
      <w:rPr>
        <w:b/>
        <w:sz w:val="18"/>
      </w:rPr>
      <w:tab/>
    </w:r>
    <w:r>
      <w:t>GE.18-00157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34" w:rsidRPr="00F33534" w:rsidRDefault="00F33534" w:rsidP="00F33534">
    <w:pPr>
      <w:pStyle w:val="Footer"/>
      <w:tabs>
        <w:tab w:val="right" w:pos="9638"/>
      </w:tabs>
      <w:rPr>
        <w:b/>
        <w:sz w:val="18"/>
      </w:rPr>
    </w:pPr>
    <w:r>
      <w:t>GE.18-00157</w:t>
    </w:r>
    <w:r>
      <w:tab/>
    </w:r>
    <w:r w:rsidRPr="00F33534">
      <w:rPr>
        <w:b/>
        <w:sz w:val="18"/>
      </w:rPr>
      <w:fldChar w:fldCharType="begin"/>
    </w:r>
    <w:r w:rsidRPr="00F33534">
      <w:rPr>
        <w:b/>
        <w:sz w:val="18"/>
      </w:rPr>
      <w:instrText xml:space="preserve"> PAGE  \* MERGEFORMAT </w:instrText>
    </w:r>
    <w:r w:rsidRPr="00F33534">
      <w:rPr>
        <w:b/>
        <w:sz w:val="18"/>
      </w:rPr>
      <w:fldChar w:fldCharType="separate"/>
    </w:r>
    <w:r w:rsidR="00C80B14">
      <w:rPr>
        <w:b/>
        <w:noProof/>
        <w:sz w:val="18"/>
      </w:rPr>
      <w:t>3</w:t>
    </w:r>
    <w:r w:rsidRPr="00F335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F33534" w:rsidRDefault="00F33534" w:rsidP="00F3353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18-00157  (F)</w:t>
    </w:r>
    <w:r w:rsidR="00342997">
      <w:rPr>
        <w:sz w:val="20"/>
      </w:rPr>
      <w:t xml:space="preserve">    260118    260118</w:t>
    </w:r>
    <w:r>
      <w:rPr>
        <w:sz w:val="20"/>
      </w:rPr>
      <w:br/>
    </w:r>
    <w:r w:rsidRPr="00F33534">
      <w:rPr>
        <w:rFonts w:ascii="C39T30Lfz" w:hAnsi="C39T30Lfz"/>
        <w:sz w:val="56"/>
      </w:rPr>
      <w:t></w:t>
    </w:r>
    <w:r w:rsidRPr="00F33534">
      <w:rPr>
        <w:rFonts w:ascii="C39T30Lfz" w:hAnsi="C39T30Lfz"/>
        <w:sz w:val="56"/>
      </w:rPr>
      <w:t></w:t>
    </w:r>
    <w:r w:rsidRPr="00F33534">
      <w:rPr>
        <w:rFonts w:ascii="C39T30Lfz" w:hAnsi="C39T30Lfz"/>
        <w:sz w:val="56"/>
      </w:rPr>
      <w:t></w:t>
    </w:r>
    <w:r w:rsidRPr="00F33534">
      <w:rPr>
        <w:rFonts w:ascii="C39T30Lfz" w:hAnsi="C39T30Lfz"/>
        <w:sz w:val="56"/>
      </w:rPr>
      <w:t></w:t>
    </w:r>
    <w:r w:rsidRPr="00F33534">
      <w:rPr>
        <w:rFonts w:ascii="C39T30Lfz" w:hAnsi="C39T30Lfz"/>
        <w:sz w:val="56"/>
      </w:rPr>
      <w:t></w:t>
    </w:r>
    <w:r w:rsidRPr="00F33534">
      <w:rPr>
        <w:rFonts w:ascii="C39T30Lfz" w:hAnsi="C39T30Lfz"/>
        <w:sz w:val="56"/>
      </w:rPr>
      <w:t></w:t>
    </w:r>
    <w:r w:rsidRPr="00F33534">
      <w:rPr>
        <w:rFonts w:ascii="C39T30Lfz" w:hAnsi="C39T30Lfz"/>
        <w:sz w:val="56"/>
      </w:rPr>
      <w:t></w:t>
    </w:r>
    <w:r w:rsidRPr="00F33534">
      <w:rPr>
        <w:rFonts w:ascii="C39T30Lfz" w:hAnsi="C39T30Lfz"/>
        <w:sz w:val="56"/>
      </w:rPr>
      <w:t></w:t>
    </w:r>
    <w:r w:rsidRPr="00F3353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AC.3/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AC.3/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99" w:rsidRPr="00AC3823" w:rsidRDefault="00BC4799" w:rsidP="00AC3823">
      <w:pPr>
        <w:pStyle w:val="Footer"/>
        <w:tabs>
          <w:tab w:val="right" w:pos="2155"/>
        </w:tabs>
        <w:spacing w:after="80" w:line="240" w:lineRule="atLeast"/>
        <w:ind w:left="680"/>
        <w:rPr>
          <w:u w:val="single"/>
        </w:rPr>
      </w:pPr>
      <w:r>
        <w:rPr>
          <w:u w:val="single"/>
        </w:rPr>
        <w:tab/>
      </w:r>
    </w:p>
  </w:footnote>
  <w:footnote w:type="continuationSeparator" w:id="0">
    <w:p w:rsidR="00BC4799" w:rsidRPr="00AC3823" w:rsidRDefault="00BC4799" w:rsidP="00AC3823">
      <w:pPr>
        <w:pStyle w:val="Footer"/>
        <w:tabs>
          <w:tab w:val="right" w:pos="2155"/>
        </w:tabs>
        <w:spacing w:after="80" w:line="240" w:lineRule="atLeast"/>
        <w:ind w:left="680"/>
        <w:rPr>
          <w:u w:val="single"/>
        </w:rPr>
      </w:pPr>
      <w:r>
        <w:rPr>
          <w:u w:val="single"/>
        </w:rPr>
        <w:tab/>
      </w:r>
    </w:p>
  </w:footnote>
  <w:footnote w:type="continuationNotice" w:id="1">
    <w:p w:rsidR="00BC4799" w:rsidRPr="00AC3823" w:rsidRDefault="00BC4799">
      <w:pPr>
        <w:spacing w:line="240" w:lineRule="auto"/>
        <w:rPr>
          <w:sz w:val="2"/>
          <w:szCs w:val="2"/>
        </w:rPr>
      </w:pPr>
    </w:p>
  </w:footnote>
  <w:footnote w:id="2">
    <w:p w:rsidR="00F33534" w:rsidRPr="00F33534" w:rsidRDefault="00F33534">
      <w:pPr>
        <w:pStyle w:val="FootnoteText"/>
      </w:pPr>
      <w:r>
        <w:rPr>
          <w:rStyle w:val="FootnoteReference"/>
        </w:rPr>
        <w:tab/>
      </w:r>
      <w:r w:rsidRPr="00F33534">
        <w:rPr>
          <w:rStyle w:val="FootnoteReference"/>
          <w:sz w:val="20"/>
          <w:vertAlign w:val="baseline"/>
        </w:rPr>
        <w:t>*</w:t>
      </w:r>
      <w:r>
        <w:rPr>
          <w:rStyle w:val="FootnoteReference"/>
          <w:sz w:val="20"/>
          <w:vertAlign w:val="baseline"/>
        </w:rPr>
        <w:tab/>
      </w:r>
      <w:r w:rsidRPr="003C70EE">
        <w:rPr>
          <w:szCs w:val="18"/>
        </w:rPr>
        <w:t>Conformément au programme de travail du Comité des transports intérieurs pour la période 2016</w:t>
      </w:r>
      <w:r w:rsidR="00041837">
        <w:rPr>
          <w:szCs w:val="18"/>
        </w:rPr>
        <w:noBreakHyphen/>
      </w:r>
      <w:r w:rsidRPr="003C70EE">
        <w:rPr>
          <w:szCs w:val="18"/>
        </w:rPr>
        <w:t>2017 (ECE/TRANS/254, par.</w:t>
      </w:r>
      <w:r>
        <w:rPr>
          <w:szCs w:val="18"/>
        </w:rPr>
        <w:t> </w:t>
      </w:r>
      <w:r w:rsidRPr="003C70EE">
        <w:rPr>
          <w:szCs w:val="18"/>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34" w:rsidRPr="00F33534" w:rsidRDefault="00C80B14">
    <w:pPr>
      <w:pStyle w:val="Header"/>
    </w:pPr>
    <w:r>
      <w:fldChar w:fldCharType="begin"/>
    </w:r>
    <w:r>
      <w:instrText xml:space="preserve"> TITLE  \* MERGEFORMAT </w:instrText>
    </w:r>
    <w:r>
      <w:fldChar w:fldCharType="separate"/>
    </w:r>
    <w:r w:rsidR="00041837">
      <w:t>ECE/TRANS/WP.29/AC.3/50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34" w:rsidRPr="00F33534" w:rsidRDefault="00C80B14" w:rsidP="00F33534">
    <w:pPr>
      <w:pStyle w:val="Header"/>
      <w:jc w:val="right"/>
    </w:pPr>
    <w:r>
      <w:fldChar w:fldCharType="begin"/>
    </w:r>
    <w:r>
      <w:instrText xml:space="preserve"> TITLE  \* MERGEFORMAT </w:instrText>
    </w:r>
    <w:r>
      <w:fldChar w:fldCharType="separate"/>
    </w:r>
    <w:r w:rsidR="00041837">
      <w:t>ECE/TRANS/WP.29/AC.3/50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99"/>
    <w:rsid w:val="00017F94"/>
    <w:rsid w:val="00023842"/>
    <w:rsid w:val="000334F9"/>
    <w:rsid w:val="00041837"/>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42997"/>
    <w:rsid w:val="003916DE"/>
    <w:rsid w:val="00441C3B"/>
    <w:rsid w:val="00446FE5"/>
    <w:rsid w:val="00452396"/>
    <w:rsid w:val="004837D8"/>
    <w:rsid w:val="004E468C"/>
    <w:rsid w:val="005505B7"/>
    <w:rsid w:val="00573BE5"/>
    <w:rsid w:val="00586ED3"/>
    <w:rsid w:val="00596AA9"/>
    <w:rsid w:val="00632284"/>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BB5417"/>
    <w:rsid w:val="00BC4799"/>
    <w:rsid w:val="00C02897"/>
    <w:rsid w:val="00C80B14"/>
    <w:rsid w:val="00C97039"/>
    <w:rsid w:val="00CD13A6"/>
    <w:rsid w:val="00D3439C"/>
    <w:rsid w:val="00DB1831"/>
    <w:rsid w:val="00DD3BFD"/>
    <w:rsid w:val="00DF6678"/>
    <w:rsid w:val="00E0299A"/>
    <w:rsid w:val="00E85C74"/>
    <w:rsid w:val="00EA6547"/>
    <w:rsid w:val="00EF2E22"/>
    <w:rsid w:val="00F24076"/>
    <w:rsid w:val="00F33534"/>
    <w:rsid w:val="00F35BAF"/>
    <w:rsid w:val="00F660DF"/>
    <w:rsid w:val="00F76F3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477D01-F5BF-414B-92F8-E523B91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F3353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ECE/TRANS/WP.29/AC.3/50</vt:lpstr>
      <vt:lpstr>ECE/TRANS/WP.29/AC.3/50</vt:lpstr>
    </vt:vector>
  </TitlesOfParts>
  <Company>DCM</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ECE/TRANS/WP.29/AC.3/50</dc:title>
  <dc:subject/>
  <dc:creator>Fabienne CRELIER</dc:creator>
  <cp:keywords/>
  <cp:lastModifiedBy>CRP.1/A.6</cp:lastModifiedBy>
  <cp:revision>2</cp:revision>
  <cp:lastPrinted>2018-01-26T14:20:00Z</cp:lastPrinted>
  <dcterms:created xsi:type="dcterms:W3CDTF">2018-01-29T17:31:00Z</dcterms:created>
  <dcterms:modified xsi:type="dcterms:W3CDTF">2018-01-29T17:31:00Z</dcterms:modified>
</cp:coreProperties>
</file>