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97B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97B8C" w:rsidP="00C97B8C">
            <w:pPr>
              <w:jc w:val="right"/>
            </w:pPr>
            <w:r w:rsidRPr="00C97B8C">
              <w:rPr>
                <w:sz w:val="40"/>
              </w:rPr>
              <w:t>ECE</w:t>
            </w:r>
            <w:r>
              <w:t>/TRANS/WP.29/2018/166</w:t>
            </w:r>
          </w:p>
        </w:tc>
      </w:tr>
      <w:tr w:rsidR="002D5AAC" w:rsidRPr="00C97B8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97B8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97B8C" w:rsidRDefault="00C97B8C" w:rsidP="00C97B8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September 2018</w:t>
            </w:r>
          </w:p>
          <w:p w:rsidR="00C97B8C" w:rsidRDefault="00C97B8C" w:rsidP="00C97B8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97B8C" w:rsidRPr="008D53B6" w:rsidRDefault="00C97B8C" w:rsidP="00C97B8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97B8C" w:rsidRPr="00C97B8C" w:rsidRDefault="00C97B8C" w:rsidP="00C97B8C">
      <w:pPr>
        <w:suppressAutoHyphens w:val="0"/>
        <w:spacing w:before="120" w:line="240" w:lineRule="auto"/>
        <w:rPr>
          <w:sz w:val="28"/>
          <w:szCs w:val="28"/>
        </w:rPr>
      </w:pPr>
      <w:r w:rsidRPr="00C97B8C">
        <w:rPr>
          <w:sz w:val="28"/>
          <w:szCs w:val="28"/>
        </w:rPr>
        <w:t>Комитет по внутреннему транспорту</w:t>
      </w:r>
    </w:p>
    <w:p w:rsidR="00C97B8C" w:rsidRPr="00C97B8C" w:rsidRDefault="00C97B8C" w:rsidP="00C97B8C">
      <w:pPr>
        <w:suppressAutoHyphens w:val="0"/>
        <w:spacing w:before="120" w:line="240" w:lineRule="auto"/>
        <w:rPr>
          <w:b/>
          <w:bCs/>
          <w:sz w:val="24"/>
          <w:szCs w:val="24"/>
        </w:rPr>
      </w:pPr>
      <w:r w:rsidRPr="00C97B8C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C97B8C">
        <w:rPr>
          <w:b/>
          <w:bCs/>
          <w:sz w:val="24"/>
          <w:szCs w:val="24"/>
        </w:rPr>
        <w:t>в области транспортных средств</w:t>
      </w:r>
    </w:p>
    <w:p w:rsidR="00C97B8C" w:rsidRPr="00C97B8C" w:rsidRDefault="00C97B8C" w:rsidP="00C97B8C">
      <w:pPr>
        <w:suppressAutoHyphens w:val="0"/>
        <w:spacing w:before="120" w:line="240" w:lineRule="auto"/>
        <w:rPr>
          <w:b/>
          <w:bCs/>
        </w:rPr>
      </w:pPr>
      <w:r w:rsidRPr="00C97B8C">
        <w:rPr>
          <w:b/>
          <w:bCs/>
        </w:rPr>
        <w:t>176-я сессия</w:t>
      </w:r>
    </w:p>
    <w:p w:rsidR="00C97B8C" w:rsidRPr="00C97B8C" w:rsidRDefault="00C97B8C" w:rsidP="00C97B8C">
      <w:pPr>
        <w:suppressAutoHyphens w:val="0"/>
        <w:spacing w:line="240" w:lineRule="auto"/>
      </w:pPr>
      <w:r w:rsidRPr="00C97B8C">
        <w:t>Женева, 13</w:t>
      </w:r>
      <w:r>
        <w:rPr>
          <w:lang w:val="en-US"/>
        </w:rPr>
        <w:t>–</w:t>
      </w:r>
      <w:r w:rsidRPr="00C97B8C">
        <w:t>16 ноября 2018 года</w:t>
      </w:r>
    </w:p>
    <w:p w:rsidR="00C97B8C" w:rsidRPr="00C97B8C" w:rsidRDefault="00C97B8C" w:rsidP="00C97B8C">
      <w:pPr>
        <w:suppressAutoHyphens w:val="0"/>
        <w:spacing w:line="240" w:lineRule="auto"/>
      </w:pPr>
      <w:r w:rsidRPr="00C97B8C">
        <w:t>Пункт 2.2 предварительной повестки дня</w:t>
      </w:r>
    </w:p>
    <w:p w:rsidR="00C97B8C" w:rsidRPr="00C97B8C" w:rsidRDefault="00C97B8C" w:rsidP="00C97B8C">
      <w:pPr>
        <w:suppressAutoHyphens w:val="0"/>
        <w:spacing w:line="240" w:lineRule="auto"/>
        <w:rPr>
          <w:b/>
          <w:bCs/>
        </w:rPr>
      </w:pPr>
      <w:r w:rsidRPr="00C97B8C">
        <w:rPr>
          <w:b/>
          <w:bCs/>
        </w:rPr>
        <w:t>Координация и организация работы:</w:t>
      </w:r>
    </w:p>
    <w:p w:rsidR="00C97B8C" w:rsidRPr="00C97B8C" w:rsidRDefault="00C97B8C" w:rsidP="00C97B8C">
      <w:pPr>
        <w:suppressAutoHyphens w:val="0"/>
        <w:spacing w:line="240" w:lineRule="auto"/>
        <w:rPr>
          <w:b/>
          <w:bCs/>
        </w:rPr>
      </w:pPr>
      <w:r w:rsidRPr="00C97B8C">
        <w:rPr>
          <w:b/>
          <w:bCs/>
        </w:rPr>
        <w:t>Программа работы, документация</w:t>
      </w:r>
    </w:p>
    <w:p w:rsidR="00C97B8C" w:rsidRDefault="00747718" w:rsidP="00C97B8C">
      <w:pPr>
        <w:suppressAutoHyphens w:val="0"/>
        <w:spacing w:line="240" w:lineRule="auto"/>
      </w:pPr>
      <w:r>
        <w:rPr>
          <w:b/>
          <w:bCs/>
        </w:rPr>
        <w:t xml:space="preserve">и </w:t>
      </w:r>
      <w:r w:rsidR="00C97B8C" w:rsidRPr="00C97B8C">
        <w:rPr>
          <w:b/>
          <w:bCs/>
        </w:rPr>
        <w:t>расписание сессий на 2018 год</w:t>
      </w:r>
    </w:p>
    <w:p w:rsidR="00C97B8C" w:rsidRPr="00C97B8C" w:rsidRDefault="00C97B8C" w:rsidP="00C97B8C">
      <w:pPr>
        <w:pStyle w:val="HChGR"/>
      </w:pPr>
      <w:r w:rsidRPr="00C97B8C">
        <w:tab/>
      </w:r>
      <w:r w:rsidRPr="00C97B8C">
        <w:tab/>
      </w:r>
      <w:r w:rsidRPr="00C97B8C">
        <w:tab/>
        <w:t xml:space="preserve">Предложение по поправкам к Положению о круге ведения и Правилам </w:t>
      </w:r>
      <w:r>
        <w:t>процедуры Всемирного форума для </w:t>
      </w:r>
      <w:r w:rsidRPr="00C97B8C">
        <w:t>согласования правил в области транспортных средств</w:t>
      </w:r>
      <w:r w:rsidRPr="00C97B8C">
        <w:rPr>
          <w:b w:val="0"/>
          <w:sz w:val="20"/>
        </w:rPr>
        <w:footnoteReference w:customMarkFollows="1" w:id="1"/>
        <w:t>*</w:t>
      </w:r>
      <w:bookmarkStart w:id="1" w:name="_Toc505702997"/>
      <w:bookmarkStart w:id="2" w:name="_Toc505705752"/>
      <w:bookmarkEnd w:id="1"/>
      <w:bookmarkEnd w:id="2"/>
    </w:p>
    <w:p w:rsidR="00C97B8C" w:rsidRPr="00C97B8C" w:rsidRDefault="00C97B8C" w:rsidP="00C97B8C">
      <w:pPr>
        <w:pStyle w:val="H1GR"/>
      </w:pPr>
      <w:r>
        <w:tab/>
      </w:r>
      <w:r>
        <w:tab/>
      </w:r>
      <w:r w:rsidRPr="00C97B8C">
        <w:t>Записка секретариата</w:t>
      </w:r>
    </w:p>
    <w:p w:rsidR="00C97B8C" w:rsidRPr="00C97B8C" w:rsidRDefault="00C97B8C" w:rsidP="00C97B8C">
      <w:pPr>
        <w:pStyle w:val="SingleTxtGR"/>
      </w:pPr>
      <w:r w:rsidRPr="00C97B8C">
        <w:tab/>
        <w:t>В основу воспроизведенного ниже текста положен документ ECE/TRANS/WP.29/690/Rev.1, содержащий Положение о круге ведения и Правила процедуры Всемирного форума для согласования правил в области транспортных средств. В нем предложены обновления к той части указанного документа, которая касается правил процедуры, в целях учета решения, принятого в ходе июньской сессии (2018 год) Всемирного форума для согласования правил в области транспортных средств (WP.29) в связи с преобразованием Рабочей группы по вопросам торможения и ходовой части в Рабочую группу по автоматизированным, автономным и подключенным транспортным средствам и последовавшим за этим перераспределением некоторых видов работы. С принятием настоящего документа «Рабочая группа по вопросам шума (GRB)» будет переименована в «Рабочую группу по вопросам шума и шины (GRBP)». Подготовленные секретариатом и заключенные в квадратные скобки поправки к правилам 35 и 37 представляют собой уточнения и предлагаются в целях обеспечения последовательности. Предлагаемые изменения к существующему тексту выделены жирным шрифтом в случае новых положений и зачеркиванием в случае исключенных элементов.</w:t>
      </w:r>
    </w:p>
    <w:p w:rsidR="00C97B8C" w:rsidRPr="00C97B8C" w:rsidRDefault="00C97B8C" w:rsidP="00C97B8C">
      <w:pPr>
        <w:pStyle w:val="SingleTxtGR"/>
        <w:rPr>
          <w:i/>
          <w:iCs/>
        </w:rPr>
      </w:pPr>
      <w:r w:rsidRPr="00C97B8C">
        <w:rPr>
          <w:i/>
          <w:iCs/>
        </w:rPr>
        <w:br w:type="page"/>
      </w:r>
    </w:p>
    <w:p w:rsidR="00C97B8C" w:rsidRPr="00C97B8C" w:rsidRDefault="00C97B8C" w:rsidP="00C97B8C">
      <w:pPr>
        <w:pStyle w:val="HChGR"/>
      </w:pPr>
      <w:r w:rsidRPr="00C97B8C">
        <w:lastRenderedPageBreak/>
        <w:tab/>
        <w:t>I.</w:t>
      </w:r>
      <w:r w:rsidRPr="00C97B8C">
        <w:tab/>
        <w:t>Предложение</w:t>
      </w:r>
    </w:p>
    <w:p w:rsidR="00C97B8C" w:rsidRPr="00C97B8C" w:rsidRDefault="00C97B8C" w:rsidP="00C97B8C">
      <w:pPr>
        <w:pStyle w:val="SingleTxtGR"/>
      </w:pPr>
      <w:r w:rsidRPr="00C97B8C">
        <w:t>[</w:t>
      </w:r>
      <w:r w:rsidRPr="00C97B8C">
        <w:rPr>
          <w:i/>
          <w:iCs/>
        </w:rPr>
        <w:t>Правило 35</w:t>
      </w:r>
      <w:r w:rsidRPr="00C97B8C">
        <w:t xml:space="preserve"> изложить в следующей редакции:</w:t>
      </w:r>
    </w:p>
    <w:p w:rsidR="00C97B8C" w:rsidRPr="00C97B8C" w:rsidRDefault="00C97B8C" w:rsidP="00C97B8C">
      <w:pPr>
        <w:pStyle w:val="H1GR"/>
        <w:jc w:val="center"/>
      </w:pPr>
      <w:r w:rsidRPr="002A7D79">
        <w:rPr>
          <w:b w:val="0"/>
          <w:sz w:val="20"/>
        </w:rPr>
        <w:t>«</w:t>
      </w:r>
      <w:r w:rsidRPr="00C97B8C">
        <w:t>Правило 35</w:t>
      </w:r>
    </w:p>
    <w:p w:rsidR="00C97B8C" w:rsidRPr="00C97B8C" w:rsidRDefault="00C97B8C" w:rsidP="00C97B8C">
      <w:pPr>
        <w:pStyle w:val="SingleTxtGR"/>
      </w:pPr>
      <w:r w:rsidRPr="00C97B8C">
        <w:tab/>
        <w:t>Вспомогательные органы WP.29</w:t>
      </w:r>
      <w:r w:rsidRPr="00C97B8C">
        <w:rPr>
          <w:b/>
          <w:bCs/>
        </w:rPr>
        <w:t xml:space="preserve"> действуют в пределах Положения о круге ведения WP.29 и</w:t>
      </w:r>
      <w:r w:rsidRPr="00C97B8C">
        <w:t xml:space="preserve"> должным образом применяют Правила процедуры WP.29».]</w:t>
      </w:r>
    </w:p>
    <w:p w:rsidR="00C97B8C" w:rsidRPr="00C97B8C" w:rsidRDefault="00C97B8C" w:rsidP="00C97B8C">
      <w:pPr>
        <w:pStyle w:val="SingleTxtGR"/>
      </w:pPr>
      <w:r w:rsidRPr="00C97B8C">
        <w:t>[</w:t>
      </w:r>
      <w:r w:rsidRPr="00C97B8C">
        <w:rPr>
          <w:i/>
          <w:iCs/>
        </w:rPr>
        <w:t>Правило 37</w:t>
      </w:r>
      <w:r w:rsidRPr="00C97B8C">
        <w:t xml:space="preserve"> изложить в следующей редакции:</w:t>
      </w:r>
    </w:p>
    <w:p w:rsidR="00C97B8C" w:rsidRPr="00C97B8C" w:rsidRDefault="00C97B8C" w:rsidP="00C97B8C">
      <w:pPr>
        <w:pStyle w:val="H1GR"/>
        <w:jc w:val="center"/>
      </w:pPr>
      <w:bookmarkStart w:id="3" w:name="_Toc505703057"/>
      <w:bookmarkStart w:id="4" w:name="_Toc505705812"/>
      <w:r w:rsidRPr="002A7D79">
        <w:rPr>
          <w:b w:val="0"/>
          <w:sz w:val="20"/>
        </w:rPr>
        <w:t>«</w:t>
      </w:r>
      <w:r w:rsidRPr="00C97B8C">
        <w:t>Правило 37</w:t>
      </w:r>
      <w:bookmarkEnd w:id="3"/>
      <w:bookmarkEnd w:id="4"/>
    </w:p>
    <w:p w:rsidR="00C97B8C" w:rsidRPr="00C97B8C" w:rsidRDefault="00C97B8C" w:rsidP="00C97B8C">
      <w:pPr>
        <w:pStyle w:val="SingleTxtGR"/>
      </w:pPr>
      <w:r w:rsidRPr="00C97B8C">
        <w:tab/>
        <w:t>Каждый вспомогательный орган WP.29 в конце своей последней сессии ежегодно избирает из числа экспертов, аккредитованных участниками, определение которых приводится в правиле 1 а), Председателя и, в случае необходимости, заместител</w:t>
      </w:r>
      <w:r w:rsidRPr="00C97B8C">
        <w:rPr>
          <w:strike/>
        </w:rPr>
        <w:t>я</w:t>
      </w:r>
      <w:r w:rsidRPr="00C97B8C">
        <w:rPr>
          <w:b/>
          <w:bCs/>
        </w:rPr>
        <w:t>ей</w:t>
      </w:r>
      <w:r w:rsidRPr="00C97B8C">
        <w:t xml:space="preserve"> Председателя».]</w:t>
      </w:r>
    </w:p>
    <w:p w:rsidR="00C97B8C" w:rsidRPr="00C97B8C" w:rsidRDefault="00C97B8C" w:rsidP="00C97B8C">
      <w:pPr>
        <w:pStyle w:val="SingleTxtGR"/>
      </w:pPr>
      <w:r w:rsidRPr="00C97B8C">
        <w:rPr>
          <w:i/>
          <w:iCs/>
        </w:rPr>
        <w:t>Приложение 2</w:t>
      </w:r>
      <w:r w:rsidRPr="00C97B8C">
        <w:t xml:space="preserve"> изменить следующим образом:</w:t>
      </w:r>
    </w:p>
    <w:p w:rsidR="00C97B8C" w:rsidRPr="00C97B8C" w:rsidRDefault="00C97B8C" w:rsidP="00C97B8C">
      <w:pPr>
        <w:pStyle w:val="HChGR"/>
      </w:pPr>
      <w:bookmarkStart w:id="5" w:name="_Toc505703064"/>
      <w:bookmarkStart w:id="6" w:name="_Toc505705819"/>
      <w:r w:rsidRPr="00C97B8C">
        <w:tab/>
      </w:r>
      <w:r w:rsidRPr="00C97B8C">
        <w:rPr>
          <w:b w:val="0"/>
          <w:sz w:val="20"/>
        </w:rPr>
        <w:t>«</w:t>
      </w:r>
      <w:r w:rsidRPr="00C97B8C">
        <w:t>Приложение 2</w:t>
      </w:r>
      <w:bookmarkEnd w:id="5"/>
      <w:bookmarkEnd w:id="6"/>
    </w:p>
    <w:p w:rsidR="00C97B8C" w:rsidRPr="00C97B8C" w:rsidRDefault="00C97B8C" w:rsidP="00C97B8C">
      <w:pPr>
        <w:pStyle w:val="HChGR"/>
      </w:pPr>
      <w:r w:rsidRPr="00C97B8C">
        <w:tab/>
      </w:r>
      <w:r w:rsidRPr="00C97B8C">
        <w:tab/>
        <w:t>Вспомогательные органы WP.29</w:t>
      </w:r>
      <w:bookmarkStart w:id="7" w:name="_Toc505703065"/>
      <w:bookmarkStart w:id="8" w:name="_Toc505705820"/>
      <w:bookmarkEnd w:id="7"/>
      <w:bookmarkEnd w:id="8"/>
    </w:p>
    <w:p w:rsidR="00C97B8C" w:rsidRPr="00C97B8C" w:rsidRDefault="00C97B8C" w:rsidP="00C97B8C">
      <w:pPr>
        <w:pStyle w:val="SingleTxtGR"/>
        <w:tabs>
          <w:tab w:val="left" w:pos="7797"/>
        </w:tabs>
        <w:jc w:val="left"/>
      </w:pPr>
      <w:r w:rsidRPr="00C97B8C">
        <w:t xml:space="preserve">Рабочая группа по проблемам энергии и загрязнения окружающей среды </w:t>
      </w:r>
      <w:r>
        <w:tab/>
      </w:r>
      <w:r w:rsidRPr="00C97B8C">
        <w:t>(GRPE)</w:t>
      </w:r>
    </w:p>
    <w:p w:rsidR="00C97B8C" w:rsidRPr="00C97B8C" w:rsidRDefault="00C97B8C" w:rsidP="00C97B8C">
      <w:pPr>
        <w:pStyle w:val="SingleTxtGR"/>
        <w:tabs>
          <w:tab w:val="left" w:pos="7797"/>
        </w:tabs>
      </w:pPr>
      <w:r w:rsidRPr="00C97B8C">
        <w:t>Рабочая группа по общим предписаниям, касающимся безопасности</w:t>
      </w:r>
      <w:r>
        <w:tab/>
      </w:r>
      <w:r w:rsidRPr="00C97B8C">
        <w:t>(GRSG)</w:t>
      </w:r>
    </w:p>
    <w:p w:rsidR="00C97B8C" w:rsidRPr="00C97B8C" w:rsidRDefault="00C97B8C" w:rsidP="00C97B8C">
      <w:pPr>
        <w:pStyle w:val="SingleTxtGR"/>
        <w:tabs>
          <w:tab w:val="left" w:pos="7797"/>
        </w:tabs>
      </w:pPr>
      <w:r w:rsidRPr="00C97B8C">
        <w:rPr>
          <w:strike/>
        </w:rPr>
        <w:t>Рабочая группа по вопросам торможения и ходовой части</w:t>
      </w:r>
      <w:r>
        <w:tab/>
      </w:r>
      <w:r w:rsidRPr="00C97B8C">
        <w:rPr>
          <w:strike/>
        </w:rPr>
        <w:t>(GRRF)</w:t>
      </w:r>
    </w:p>
    <w:p w:rsidR="00C97B8C" w:rsidRPr="00C97B8C" w:rsidRDefault="00C97B8C" w:rsidP="00C97B8C">
      <w:pPr>
        <w:pStyle w:val="SingleTxtGR"/>
        <w:tabs>
          <w:tab w:val="left" w:pos="7769"/>
        </w:tabs>
        <w:jc w:val="left"/>
        <w:rPr>
          <w:b/>
          <w:bCs/>
        </w:rPr>
      </w:pPr>
      <w:r w:rsidRPr="00C97B8C"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</w:r>
      <w:r w:rsidRPr="00C97B8C">
        <w:rPr>
          <w:b/>
          <w:bCs/>
        </w:rPr>
        <w:t>и подключенным транспортным средствам</w:t>
      </w:r>
      <w:r>
        <w:rPr>
          <w:b/>
          <w:bCs/>
        </w:rPr>
        <w:tab/>
      </w:r>
      <w:r w:rsidRPr="00C97B8C">
        <w:rPr>
          <w:b/>
          <w:bCs/>
        </w:rPr>
        <w:t>(GRVA)</w:t>
      </w:r>
    </w:p>
    <w:p w:rsidR="00C97B8C" w:rsidRPr="00C97B8C" w:rsidRDefault="00C97B8C" w:rsidP="00C97B8C">
      <w:pPr>
        <w:pStyle w:val="SingleTxtGR"/>
        <w:tabs>
          <w:tab w:val="left" w:pos="7797"/>
        </w:tabs>
      </w:pPr>
      <w:r w:rsidRPr="00C97B8C">
        <w:t>Рабочая группа по вопросам освещения и световой сигнализации</w:t>
      </w:r>
      <w:r w:rsidRPr="00C97B8C">
        <w:tab/>
      </w:r>
      <w:r w:rsidRPr="00C97B8C">
        <w:tab/>
        <w:t>(GRE)</w:t>
      </w:r>
    </w:p>
    <w:p w:rsidR="00C97B8C" w:rsidRPr="00C97B8C" w:rsidRDefault="00C97B8C" w:rsidP="00C97B8C">
      <w:pPr>
        <w:pStyle w:val="SingleTxtGR"/>
        <w:tabs>
          <w:tab w:val="left" w:pos="7797"/>
        </w:tabs>
      </w:pPr>
      <w:r w:rsidRPr="00C97B8C">
        <w:t>Рабочая групп</w:t>
      </w:r>
      <w:r>
        <w:t>а по пассивной безопасности</w:t>
      </w:r>
      <w:r>
        <w:tab/>
      </w:r>
      <w:r w:rsidRPr="00C97B8C">
        <w:t>(GRSP)</w:t>
      </w:r>
    </w:p>
    <w:p w:rsidR="00C97B8C" w:rsidRPr="00C97B8C" w:rsidRDefault="00C97B8C" w:rsidP="00C97B8C">
      <w:pPr>
        <w:pStyle w:val="SingleTxtGR"/>
        <w:tabs>
          <w:tab w:val="left" w:pos="7685"/>
        </w:tabs>
        <w:jc w:val="left"/>
      </w:pPr>
      <w:r w:rsidRPr="00C97B8C">
        <w:t xml:space="preserve">Рабочая группа по вопросам шума </w:t>
      </w:r>
      <w:r w:rsidRPr="00C97B8C">
        <w:rPr>
          <w:b/>
          <w:bCs/>
        </w:rPr>
        <w:t>и шин</w:t>
      </w:r>
      <w:r>
        <w:rPr>
          <w:b/>
          <w:bCs/>
        </w:rPr>
        <w:tab/>
      </w:r>
      <w:r w:rsidRPr="00C97B8C">
        <w:t>(GRB</w:t>
      </w:r>
      <w:r w:rsidRPr="00C97B8C">
        <w:rPr>
          <w:b/>
          <w:bCs/>
        </w:rPr>
        <w:t>P</w:t>
      </w:r>
      <w:r w:rsidRPr="00C97B8C">
        <w:t>)».</w:t>
      </w:r>
    </w:p>
    <w:p w:rsidR="00C97B8C" w:rsidRPr="00C97B8C" w:rsidRDefault="00C97B8C" w:rsidP="00C97B8C">
      <w:pPr>
        <w:pStyle w:val="HChGR"/>
      </w:pPr>
      <w:r w:rsidRPr="00C97B8C">
        <w:tab/>
        <w:t>II.</w:t>
      </w:r>
      <w:r w:rsidRPr="00C97B8C">
        <w:tab/>
        <w:t>Обоснование</w:t>
      </w:r>
    </w:p>
    <w:p w:rsidR="00C97B8C" w:rsidRPr="00C97B8C" w:rsidRDefault="00C97B8C" w:rsidP="00C97B8C">
      <w:pPr>
        <w:pStyle w:val="SingleTxtGR"/>
      </w:pPr>
      <w:r w:rsidRPr="00C97B8C">
        <w:t>1.</w:t>
      </w:r>
      <w:r w:rsidRPr="00C97B8C">
        <w:tab/>
        <w:t xml:space="preserve">Положение о круге ведения и Правила процедуры WP.29 следует обновить с учетом решения WP.29 (ECE/TRANS/WP.29/1139, пункт 33) относительно GRVA. </w:t>
      </w:r>
    </w:p>
    <w:p w:rsidR="00C97B8C" w:rsidRPr="00C97B8C" w:rsidRDefault="00C97B8C" w:rsidP="00C97B8C">
      <w:pPr>
        <w:pStyle w:val="SingleTxtGR"/>
      </w:pPr>
      <w:r w:rsidRPr="00C97B8C">
        <w:t>2.</w:t>
      </w:r>
      <w:r w:rsidRPr="00C97B8C">
        <w:tab/>
        <w:t>Предлагаемое изменение к правилу 35 является уточнением и имплицитно уже применяется на практике.</w:t>
      </w:r>
    </w:p>
    <w:p w:rsidR="00C97B8C" w:rsidRPr="00C97B8C" w:rsidRDefault="00C97B8C" w:rsidP="00C97B8C">
      <w:pPr>
        <w:pStyle w:val="SingleTxtGR"/>
      </w:pPr>
      <w:r w:rsidRPr="00C97B8C">
        <w:t>3.</w:t>
      </w:r>
      <w:r w:rsidRPr="00C97B8C">
        <w:tab/>
        <w:t xml:space="preserve">Предлагаемое изменение к правилу 37 направлено на его согласование с правилом 13. </w:t>
      </w:r>
    </w:p>
    <w:p w:rsidR="00C97B8C" w:rsidRDefault="00C97B8C" w:rsidP="00C97B8C">
      <w:pPr>
        <w:pStyle w:val="SingleTxtGR"/>
      </w:pPr>
      <w:r w:rsidRPr="00C97B8C">
        <w:t>4.</w:t>
      </w:r>
      <w:r w:rsidRPr="00C97B8C">
        <w:tab/>
        <w:t xml:space="preserve">Был обновлен перечень рабочих групп в приложении 2. Это обновление отражает решение (ECE/TRANS/WP.29/1139, пункт 33) и итоги дискуссии о переименовании GRB в Рабочую группу по вопросам шума </w:t>
      </w:r>
      <w:r w:rsidRPr="00C97B8C">
        <w:rPr>
          <w:b/>
          <w:bCs/>
        </w:rPr>
        <w:t>и шин</w:t>
      </w:r>
      <w:r w:rsidRPr="00C97B8C">
        <w:t xml:space="preserve"> (GRB</w:t>
      </w:r>
      <w:r w:rsidRPr="00C97B8C">
        <w:rPr>
          <w:b/>
          <w:bCs/>
        </w:rPr>
        <w:t>P</w:t>
      </w:r>
      <w:r w:rsidRPr="00C97B8C">
        <w:t>), по которому никакого официального решения в доклад включено не было.</w:t>
      </w:r>
    </w:p>
    <w:p w:rsidR="00E12C5F" w:rsidRPr="00C97B8C" w:rsidRDefault="00C97B8C" w:rsidP="00C97B8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C97B8C" w:rsidSect="00C97B8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0B1" w:rsidRPr="00A312BC" w:rsidRDefault="003D40B1" w:rsidP="00A312BC"/>
  </w:endnote>
  <w:endnote w:type="continuationSeparator" w:id="0">
    <w:p w:rsidR="003D40B1" w:rsidRPr="00A312BC" w:rsidRDefault="003D40B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B8C" w:rsidRPr="00C97B8C" w:rsidRDefault="00C97B8C">
    <w:pPr>
      <w:pStyle w:val="Footer"/>
    </w:pPr>
    <w:r w:rsidRPr="00C97B8C">
      <w:rPr>
        <w:b/>
        <w:sz w:val="18"/>
      </w:rPr>
      <w:fldChar w:fldCharType="begin"/>
    </w:r>
    <w:r w:rsidRPr="00C97B8C">
      <w:rPr>
        <w:b/>
        <w:sz w:val="18"/>
      </w:rPr>
      <w:instrText xml:space="preserve"> PAGE  \* MERGEFORMAT </w:instrText>
    </w:r>
    <w:r w:rsidRPr="00C97B8C">
      <w:rPr>
        <w:b/>
        <w:sz w:val="18"/>
      </w:rPr>
      <w:fldChar w:fldCharType="separate"/>
    </w:r>
    <w:r w:rsidR="00FE7660">
      <w:rPr>
        <w:b/>
        <w:noProof/>
        <w:sz w:val="18"/>
      </w:rPr>
      <w:t>2</w:t>
    </w:r>
    <w:r w:rsidRPr="00C97B8C">
      <w:rPr>
        <w:b/>
        <w:sz w:val="18"/>
      </w:rPr>
      <w:fldChar w:fldCharType="end"/>
    </w:r>
    <w:r>
      <w:rPr>
        <w:b/>
        <w:sz w:val="18"/>
      </w:rPr>
      <w:tab/>
    </w:r>
    <w:r>
      <w:t>GE.18-14532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B8C" w:rsidRPr="00C97B8C" w:rsidRDefault="00C97B8C" w:rsidP="00C97B8C">
    <w:pPr>
      <w:pStyle w:val="Footer"/>
      <w:tabs>
        <w:tab w:val="clear" w:pos="9639"/>
        <w:tab w:val="right" w:pos="9638"/>
      </w:tabs>
      <w:rPr>
        <w:b/>
        <w:sz w:val="18"/>
      </w:rPr>
    </w:pPr>
    <w:r>
      <w:t>GE.18-14532</w:t>
    </w:r>
    <w:r>
      <w:tab/>
    </w:r>
    <w:r w:rsidRPr="00C97B8C">
      <w:rPr>
        <w:b/>
        <w:sz w:val="18"/>
      </w:rPr>
      <w:fldChar w:fldCharType="begin"/>
    </w:r>
    <w:r w:rsidRPr="00C97B8C">
      <w:rPr>
        <w:b/>
        <w:sz w:val="18"/>
      </w:rPr>
      <w:instrText xml:space="preserve"> PAGE  \* MERGEFORMAT </w:instrText>
    </w:r>
    <w:r w:rsidRPr="00C97B8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97B8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C97B8C" w:rsidRDefault="00C97B8C" w:rsidP="00C97B8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18-14532  (R)</w:t>
    </w:r>
    <w:r>
      <w:rPr>
        <w:lang w:val="en-US"/>
      </w:rPr>
      <w:t xml:space="preserve">  110918  120918</w:t>
    </w:r>
    <w:r>
      <w:br/>
    </w:r>
    <w:r w:rsidRPr="00C97B8C">
      <w:rPr>
        <w:rFonts w:ascii="C39T30Lfz" w:hAnsi="C39T30Lfz"/>
        <w:kern w:val="14"/>
        <w:sz w:val="56"/>
      </w:rPr>
      <w:t></w:t>
    </w:r>
    <w:r w:rsidRPr="00C97B8C">
      <w:rPr>
        <w:rFonts w:ascii="C39T30Lfz" w:hAnsi="C39T30Lfz"/>
        <w:kern w:val="14"/>
        <w:sz w:val="56"/>
      </w:rPr>
      <w:t></w:t>
    </w:r>
    <w:r w:rsidRPr="00C97B8C">
      <w:rPr>
        <w:rFonts w:ascii="C39T30Lfz" w:hAnsi="C39T30Lfz"/>
        <w:kern w:val="14"/>
        <w:sz w:val="56"/>
      </w:rPr>
      <w:t></w:t>
    </w:r>
    <w:r w:rsidRPr="00C97B8C">
      <w:rPr>
        <w:rFonts w:ascii="C39T30Lfz" w:hAnsi="C39T30Lfz"/>
        <w:kern w:val="14"/>
        <w:sz w:val="56"/>
      </w:rPr>
      <w:t></w:t>
    </w:r>
    <w:r w:rsidRPr="00C97B8C">
      <w:rPr>
        <w:rFonts w:ascii="C39T30Lfz" w:hAnsi="C39T30Lfz"/>
        <w:kern w:val="14"/>
        <w:sz w:val="56"/>
      </w:rPr>
      <w:t></w:t>
    </w:r>
    <w:r w:rsidRPr="00C97B8C">
      <w:rPr>
        <w:rFonts w:ascii="C39T30Lfz" w:hAnsi="C39T30Lfz"/>
        <w:kern w:val="14"/>
        <w:sz w:val="56"/>
      </w:rPr>
      <w:t></w:t>
    </w:r>
    <w:r w:rsidRPr="00C97B8C">
      <w:rPr>
        <w:rFonts w:ascii="C39T30Lfz" w:hAnsi="C39T30Lfz"/>
        <w:kern w:val="14"/>
        <w:sz w:val="56"/>
      </w:rPr>
      <w:t></w:t>
    </w:r>
    <w:r w:rsidRPr="00C97B8C">
      <w:rPr>
        <w:rFonts w:ascii="C39T30Lfz" w:hAnsi="C39T30Lfz"/>
        <w:kern w:val="14"/>
        <w:sz w:val="56"/>
      </w:rPr>
      <w:t></w:t>
    </w:r>
    <w:r w:rsidRPr="00C97B8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6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6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0B1" w:rsidRPr="001075E9" w:rsidRDefault="003D40B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D40B1" w:rsidRDefault="003D40B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97B8C" w:rsidRPr="00706101" w:rsidRDefault="00C97B8C" w:rsidP="00C97B8C">
      <w:pPr>
        <w:pStyle w:val="FootnoteText"/>
        <w:jc w:val="both"/>
      </w:pPr>
      <w:r>
        <w:tab/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B8C" w:rsidRPr="00C97B8C" w:rsidRDefault="00D25F3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E7660">
      <w:t>ECE/TRANS/WP.29/2018/166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B8C" w:rsidRPr="00C97B8C" w:rsidRDefault="00D25F30" w:rsidP="00C97B8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E7660">
      <w:t>ECE/TRANS/WP.29/2018/166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203C59"/>
    <w:multiLevelType w:val="hybridMultilevel"/>
    <w:tmpl w:val="0BE0D382"/>
    <w:lvl w:ilvl="0" w:tplc="04090019">
      <w:start w:val="1"/>
      <w:numFmt w:val="lowerLetter"/>
      <w:lvlText w:val="%1."/>
      <w:lvlJc w:val="left"/>
      <w:pPr>
        <w:ind w:left="54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B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A7D79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40B1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7718"/>
    <w:rsid w:val="00757357"/>
    <w:rsid w:val="00792497"/>
    <w:rsid w:val="007E3AD4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97B8C"/>
    <w:rsid w:val="00CA1679"/>
    <w:rsid w:val="00CB151C"/>
    <w:rsid w:val="00CE5A1A"/>
    <w:rsid w:val="00CF02DF"/>
    <w:rsid w:val="00CF55F6"/>
    <w:rsid w:val="00D0064C"/>
    <w:rsid w:val="00D25F30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4AF1E77-2351-4DD1-978B-5EE5193A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C97B8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ECE/TRANS/WP.29/2018/166</vt:lpstr>
      <vt:lpstr>ECE/TRANS/WP.29/2018/166</vt:lpstr>
      <vt:lpstr>A/</vt:lpstr>
    </vt:vector>
  </TitlesOfParts>
  <Company>DCM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ECE/TRANS/WP.29/2018/166</dc:title>
  <dc:subject/>
  <dc:creator>Elena IZOTOVA</dc:creator>
  <cp:keywords/>
  <cp:lastModifiedBy>Rev.2/Amend.1</cp:lastModifiedBy>
  <cp:revision>2</cp:revision>
  <cp:lastPrinted>2018-09-12T08:08:00Z</cp:lastPrinted>
  <dcterms:created xsi:type="dcterms:W3CDTF">2018-10-19T15:13:00Z</dcterms:created>
  <dcterms:modified xsi:type="dcterms:W3CDTF">2018-10-19T15:13:00Z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