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145FBB">
              <w:t>138</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E60729" w:rsidP="00E044BA">
            <w:pPr>
              <w:spacing w:line="240" w:lineRule="exact"/>
            </w:pPr>
            <w:r>
              <w:t>1</w:t>
            </w:r>
            <w:r w:rsidR="006C21ED">
              <w:t>7</w:t>
            </w:r>
            <w:r w:rsidR="00A96F13" w:rsidRPr="00F60DE1">
              <w:t xml:space="preserve"> </w:t>
            </w:r>
            <w:r w:rsidR="009C6E5F">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145FBB">
        <w:t>12</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9C6E5F">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F96A1D">
        <w:t xml:space="preserve">Proposal for </w:t>
      </w:r>
      <w:r w:rsidR="00145FBB">
        <w:t>Supplement 4 to the 02</w:t>
      </w:r>
      <w:r w:rsidR="00C95689" w:rsidRPr="0087770F">
        <w:t xml:space="preserve"> series of amen</w:t>
      </w:r>
      <w:r w:rsidR="00C95689">
        <w:t xml:space="preserve">dments to </w:t>
      </w:r>
      <w:r w:rsidR="00FE2BBC" w:rsidRPr="00FE2BBC">
        <w:t xml:space="preserve">UN Regulation No. </w:t>
      </w:r>
      <w:r w:rsidR="00F8482A">
        <w:t>129</w:t>
      </w:r>
      <w:r w:rsidR="00FE2BBC" w:rsidRPr="00FE2BBC">
        <w:t xml:space="preserve"> </w:t>
      </w:r>
      <w:r w:rsidR="00F8482A">
        <w:t>(Enhanced Child Restraint Systems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C95689" w:rsidRPr="00DC7873">
        <w:t xml:space="preserve">ECE/TRANS/WP.29/GRSP/63, paras. </w:t>
      </w:r>
      <w:r w:rsidR="00C95689">
        <w:t>31, 34,</w:t>
      </w:r>
      <w:r w:rsidR="00C95689" w:rsidRPr="0087770F">
        <w:t xml:space="preserve"> 35</w:t>
      </w:r>
      <w:r w:rsidR="00C95689">
        <w:t xml:space="preserve"> and 42</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145FBB">
        <w:t>on ECE/TRANS/WP.29/GRSP/2018/15</w:t>
      </w:r>
      <w:r w:rsidR="00C95689" w:rsidRPr="0087770F">
        <w:t>, as amended by Annex IX to the</w:t>
      </w:r>
      <w:r w:rsidR="00C95689">
        <w:t xml:space="preserve"> report, on GRSP-63-08-Rev.1</w:t>
      </w:r>
      <w:r w:rsidR="00C95689" w:rsidRPr="0087770F">
        <w:t xml:space="preserve"> </w:t>
      </w:r>
      <w:r w:rsidR="00C95689">
        <w:t xml:space="preserve">and </w:t>
      </w:r>
      <w:r w:rsidR="00C95689" w:rsidRPr="0087770F">
        <w:t>GRSP-63-10-Rev.1 as reproduced in Annex IX to the report</w:t>
      </w:r>
      <w:r w:rsidR="00C95689">
        <w:t xml:space="preserve"> and on </w:t>
      </w:r>
      <w:r w:rsidR="00C95689" w:rsidRPr="0087770F">
        <w:t>ECE/TRANS/WP.29/GRSP/2017/27</w:t>
      </w:r>
      <w:r w:rsidR="00C95689">
        <w:t xml:space="preserve"> as amended by Annex X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9C6E5F" w:rsidRDefault="009C6E5F" w:rsidP="00361FCD">
      <w:pPr>
        <w:pStyle w:val="HChG"/>
        <w:jc w:val="both"/>
      </w:pPr>
      <w:bookmarkStart w:id="1" w:name="_Toc354410587"/>
      <w:r>
        <w:br w:type="page"/>
      </w:r>
    </w:p>
    <w:p w:rsidR="00962893" w:rsidRPr="00962893" w:rsidRDefault="00860D1C" w:rsidP="00361FCD">
      <w:pPr>
        <w:pStyle w:val="HChG"/>
        <w:jc w:val="both"/>
      </w:pPr>
      <w:r w:rsidRPr="004E2AF7">
        <w:lastRenderedPageBreak/>
        <w:tab/>
      </w:r>
      <w:bookmarkStart w:id="2" w:name="_Toc473483449"/>
      <w:bookmarkEnd w:id="1"/>
      <w:r w:rsidR="00962893">
        <w:tab/>
      </w:r>
      <w:r w:rsidR="00145FBB">
        <w:t>Supplement 4 to the 02</w:t>
      </w:r>
      <w:r w:rsidR="00653474" w:rsidRPr="0087770F">
        <w:t xml:space="preserve"> series of amen</w:t>
      </w:r>
      <w:r w:rsidR="00653474">
        <w:t xml:space="preserve">dments to </w:t>
      </w:r>
      <w:r w:rsidR="00653474" w:rsidRPr="00FE2BBC">
        <w:t xml:space="preserve">UN Regulation No. </w:t>
      </w:r>
      <w:r w:rsidR="00653474">
        <w:t>129</w:t>
      </w:r>
      <w:r w:rsidR="00653474" w:rsidRPr="00FE2BBC">
        <w:t xml:space="preserve"> </w:t>
      </w:r>
      <w:r w:rsidR="00653474">
        <w:t>(Enhanced Child Restraint Systems</w:t>
      </w:r>
      <w:r w:rsidR="00653474" w:rsidRPr="00FE2BBC">
        <w:t>)</w:t>
      </w:r>
    </w:p>
    <w:bookmarkEnd w:id="2"/>
    <w:p w:rsidR="00073363" w:rsidRPr="00D05BE8" w:rsidRDefault="00073363" w:rsidP="00073363">
      <w:pPr>
        <w:pStyle w:val="SingleTxtG"/>
        <w:ind w:left="2268" w:hanging="1134"/>
      </w:pPr>
      <w:r>
        <w:rPr>
          <w:i/>
        </w:rPr>
        <w:t>Paragraph 4.4.</w:t>
      </w:r>
      <w:r>
        <w:t>, amend to read:</w:t>
      </w:r>
    </w:p>
    <w:p w:rsidR="00073363" w:rsidRPr="00D05BE8" w:rsidRDefault="00073363" w:rsidP="00073363">
      <w:pPr>
        <w:pStyle w:val="para"/>
        <w:rPr>
          <w:lang w:val="en-US"/>
        </w:rPr>
      </w:pPr>
      <w:r w:rsidRPr="00D05BE8">
        <w:t>"4.4.</w:t>
      </w:r>
      <w:r w:rsidRPr="00D05BE8">
        <w:tab/>
      </w:r>
      <w:r w:rsidRPr="00D05BE8">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rsidR="00073363" w:rsidRPr="00D05BE8" w:rsidRDefault="00073363" w:rsidP="000017DE">
      <w:pPr>
        <w:pStyle w:val="para"/>
        <w:ind w:firstLine="0"/>
        <w:rPr>
          <w:bCs/>
        </w:rPr>
      </w:pPr>
      <w:r w:rsidRPr="00D05BE8">
        <w:tab/>
        <w:t>The overall dimensions of the label shall be at least</w:t>
      </w:r>
      <w:r w:rsidRPr="00D05BE8">
        <w:rPr>
          <w:bCs/>
        </w:rPr>
        <w:t xml:space="preserve"> 120 x 60 mm or the equivalent area.</w:t>
      </w:r>
    </w:p>
    <w:p w:rsidR="00073363" w:rsidRPr="00D05BE8" w:rsidRDefault="00073363" w:rsidP="000017DE">
      <w:pPr>
        <w:pStyle w:val="para"/>
        <w:ind w:firstLine="0"/>
        <w:rPr>
          <w:bCs/>
        </w:rPr>
      </w:pPr>
      <w:r w:rsidRPr="00D05BE8">
        <w:rPr>
          <w:bCs/>
        </w:rPr>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rsidR="00073363" w:rsidRPr="00D05BE8" w:rsidRDefault="00073363" w:rsidP="000017DE">
      <w:pPr>
        <w:pStyle w:val="para"/>
        <w:ind w:firstLine="0"/>
        <w:rPr>
          <w:bCs/>
        </w:rPr>
      </w:pPr>
      <w:r w:rsidRPr="00D05BE8">
        <w:rPr>
          <w:bCs/>
        </w:rPr>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w:t>
      </w:r>
      <w:proofErr w:type="spellStart"/>
      <w:r w:rsidRPr="00D05BE8">
        <w:rPr>
          <w:bCs/>
        </w:rPr>
        <w:t>i</w:t>
      </w:r>
      <w:proofErr w:type="spellEnd"/>
      <w:r w:rsidRPr="00D05BE8">
        <w:rPr>
          <w:bCs/>
        </w:rPr>
        <w:t xml:space="preserve">' on its right page provided that they are clearly recognisable as such. </w:t>
      </w:r>
    </w:p>
    <w:p w:rsidR="00073363" w:rsidRPr="00D05BE8" w:rsidRDefault="00073363" w:rsidP="000017DE">
      <w:pPr>
        <w:pStyle w:val="para"/>
        <w:ind w:firstLine="0"/>
        <w:rPr>
          <w:bCs/>
        </w:rPr>
      </w:pPr>
      <w:r w:rsidRPr="00D05BE8">
        <w:rPr>
          <w:bCs/>
        </w:rPr>
        <w:t>Small irregularities concerning line thickness, label imprinting and other relevant production tolerances shall be accepted.</w:t>
      </w:r>
    </w:p>
    <w:p w:rsidR="00073363" w:rsidRPr="00D05BE8" w:rsidRDefault="00073363" w:rsidP="000017DE">
      <w:pPr>
        <w:pStyle w:val="para"/>
        <w:ind w:firstLine="0"/>
        <w:rPr>
          <w:bCs/>
        </w:rPr>
      </w:pPr>
      <w:r w:rsidRPr="00D05BE8">
        <w:rPr>
          <w:bCs/>
        </w:rPr>
        <w:tab/>
      </w:r>
      <w:r w:rsidRPr="00D05BE8">
        <w:rPr>
          <w:bCs/>
          <w:lang w:val="en-US"/>
        </w:rPr>
        <w:t xml:space="preserve">The label shall </w:t>
      </w:r>
      <w:r w:rsidRPr="00D05BE8">
        <w:rPr>
          <w:bCs/>
        </w:rPr>
        <w:t>… any configuration.</w:t>
      </w:r>
    </w:p>
    <w:p w:rsidR="00073363" w:rsidRPr="00D05BE8" w:rsidRDefault="00073363" w:rsidP="009C6E5F">
      <w:pPr>
        <w:pStyle w:val="SingleTxtG"/>
        <w:spacing w:after="0"/>
        <w:rPr>
          <w:bCs/>
        </w:rPr>
      </w:pPr>
      <w:r w:rsidRPr="00D05BE8">
        <w:rPr>
          <w:bCs/>
        </w:rPr>
        <w:t>Figure A</w:t>
      </w:r>
    </w:p>
    <w:p w:rsidR="00073363" w:rsidRDefault="00073363" w:rsidP="009C6E5F">
      <w:pPr>
        <w:pStyle w:val="SingleTxtG"/>
        <w:spacing w:after="0"/>
        <w:rPr>
          <w:b/>
        </w:rPr>
      </w:pPr>
      <w:r>
        <w:rPr>
          <w:b/>
        </w:rPr>
        <w:t>Warning label</w:t>
      </w:r>
    </w:p>
    <w:p w:rsidR="00073363" w:rsidRPr="00B648D8" w:rsidRDefault="00073363" w:rsidP="009C6E5F">
      <w:pPr>
        <w:pStyle w:val="SingleTxtG"/>
      </w:pPr>
      <w:r w:rsidRPr="00B648D8">
        <w:t>…</w:t>
      </w:r>
    </w:p>
    <w:p w:rsidR="00073363" w:rsidRDefault="00073363" w:rsidP="00073363">
      <w:pPr>
        <w:suppressAutoHyphens w:val="0"/>
        <w:spacing w:line="240" w:lineRule="auto"/>
        <w:rPr>
          <w:b/>
        </w:rPr>
      </w:pPr>
      <w:r>
        <w:rPr>
          <w:b/>
        </w:rPr>
        <w:br w:type="page"/>
      </w:r>
    </w:p>
    <w:p w:rsidR="00073363" w:rsidRPr="00D05BE8" w:rsidRDefault="00073363" w:rsidP="009C6E5F">
      <w:pPr>
        <w:pStyle w:val="SingleTxtG"/>
        <w:spacing w:after="0"/>
        <w:rPr>
          <w:bCs/>
        </w:rPr>
      </w:pPr>
      <w:r w:rsidRPr="00D05BE8">
        <w:rPr>
          <w:bCs/>
        </w:rPr>
        <w:lastRenderedPageBreak/>
        <w:t>Figure B</w:t>
      </w:r>
    </w:p>
    <w:p w:rsidR="00073363" w:rsidRDefault="00073363" w:rsidP="009C6E5F">
      <w:pPr>
        <w:pStyle w:val="SingleTxtG"/>
        <w:rPr>
          <w:b/>
        </w:rPr>
      </w:pPr>
      <w:r>
        <w:rPr>
          <w:b/>
        </w:rPr>
        <w:t>Pictogram according to ISO 2575:2004 - Z.01 that shall be used and that shall have an outer diameter of at least 38 mm</w:t>
      </w:r>
    </w:p>
    <w:p w:rsidR="00073363" w:rsidRDefault="00073363" w:rsidP="00073363">
      <w:pPr>
        <w:pStyle w:val="SingleTxtG"/>
        <w:ind w:left="567"/>
        <w:rPr>
          <w:b/>
        </w:rPr>
      </w:pPr>
      <w:r>
        <w:rPr>
          <w:noProof/>
          <w:lang w:eastAsia="zh-CN"/>
        </w:rPr>
        <w:drawing>
          <wp:inline distT="0" distB="0" distL="0" distR="0" wp14:anchorId="6C597B81" wp14:editId="3FE4014B">
            <wp:extent cx="5194155" cy="52197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00186" cy="5225760"/>
                    </a:xfrm>
                    <a:prstGeom prst="rect">
                      <a:avLst/>
                    </a:prstGeom>
                  </pic:spPr>
                </pic:pic>
              </a:graphicData>
            </a:graphic>
          </wp:inline>
        </w:drawing>
      </w:r>
    </w:p>
    <w:p w:rsidR="00073363" w:rsidRDefault="00073363" w:rsidP="00073363">
      <w:pPr>
        <w:suppressAutoHyphens w:val="0"/>
        <w:spacing w:line="240" w:lineRule="auto"/>
        <w:rPr>
          <w:b/>
        </w:rPr>
      </w:pPr>
      <w:r>
        <w:rPr>
          <w:b/>
        </w:rPr>
        <w:br w:type="page"/>
      </w:r>
    </w:p>
    <w:p w:rsidR="00073363" w:rsidRPr="00EE0B1C" w:rsidRDefault="00073363" w:rsidP="009C6E5F">
      <w:pPr>
        <w:pStyle w:val="SingleTxtG"/>
        <w:spacing w:after="0"/>
        <w:rPr>
          <w:bCs/>
        </w:rPr>
      </w:pPr>
      <w:r w:rsidRPr="00EE0B1C">
        <w:rPr>
          <w:bCs/>
        </w:rPr>
        <w:lastRenderedPageBreak/>
        <w:t xml:space="preserve">Figure C </w:t>
      </w:r>
    </w:p>
    <w:p w:rsidR="00073363" w:rsidRDefault="00073363" w:rsidP="009C6E5F">
      <w:pPr>
        <w:pStyle w:val="SingleTxtG"/>
        <w:rPr>
          <w:b/>
        </w:rPr>
      </w:pPr>
      <w:r>
        <w:rPr>
          <w:b/>
        </w:rPr>
        <w:t>Pictogram depicting airbag deployment danger that shall be used and that shall measure 40 mm in width and 28 mm in height or proportionally larger</w:t>
      </w:r>
    </w:p>
    <w:p w:rsidR="00073363" w:rsidRDefault="00073363" w:rsidP="00073363">
      <w:pPr>
        <w:pStyle w:val="SingleTxtG"/>
        <w:ind w:left="1560" w:hanging="1134"/>
        <w:rPr>
          <w:b/>
        </w:rPr>
      </w:pPr>
      <w:r>
        <w:rPr>
          <w:noProof/>
          <w:lang w:eastAsia="zh-CN"/>
        </w:rPr>
        <w:drawing>
          <wp:inline distT="0" distB="0" distL="0" distR="0" wp14:anchorId="291276C9" wp14:editId="4463BD02">
            <wp:extent cx="5684996" cy="405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9868" cy="4054772"/>
                    </a:xfrm>
                    <a:prstGeom prst="rect">
                      <a:avLst/>
                    </a:prstGeom>
                  </pic:spPr>
                </pic:pic>
              </a:graphicData>
            </a:graphic>
          </wp:inline>
        </w:drawing>
      </w:r>
    </w:p>
    <w:p w:rsidR="00073363" w:rsidRDefault="00073363" w:rsidP="009C6E5F">
      <w:pPr>
        <w:pStyle w:val="para"/>
        <w:jc w:val="right"/>
      </w:pPr>
      <w:r>
        <w:t>"</w:t>
      </w:r>
    </w:p>
    <w:p w:rsidR="00653474" w:rsidRPr="00632C4C" w:rsidRDefault="00653474" w:rsidP="00632C4C">
      <w:pPr>
        <w:pStyle w:val="SingleTxtG"/>
        <w:rPr>
          <w:i/>
          <w:lang w:val="en-US"/>
        </w:rPr>
      </w:pPr>
      <w:r w:rsidRPr="00632C4C">
        <w:rPr>
          <w:i/>
          <w:lang w:val="en-US"/>
        </w:rPr>
        <w:t xml:space="preserve">Paragraph 6.6.4.4.1.2.1. </w:t>
      </w:r>
      <w:r w:rsidRPr="000017DE">
        <w:rPr>
          <w:iCs/>
          <w:lang w:val="en-US"/>
        </w:rPr>
        <w:t>amend to read:</w:t>
      </w:r>
    </w:p>
    <w:p w:rsidR="00653474" w:rsidRPr="00632C4C" w:rsidRDefault="00653474" w:rsidP="00632C4C">
      <w:pPr>
        <w:pStyle w:val="SingleTxtG"/>
        <w:ind w:left="2410" w:hanging="1276"/>
        <w:rPr>
          <w:lang w:val="en-US"/>
        </w:rPr>
      </w:pPr>
      <w:r w:rsidRPr="00632C4C">
        <w:t>"6.6.4.4.1.2.1.</w:t>
      </w:r>
      <w:r w:rsidRPr="00632C4C">
        <w:tab/>
      </w:r>
      <w:r w:rsidRPr="00632C4C">
        <w:rPr>
          <w:lang w:val="en-US"/>
        </w:rPr>
        <w:t>Head excursion: … first.</w:t>
      </w:r>
    </w:p>
    <w:p w:rsidR="00653474" w:rsidRPr="00632C4C" w:rsidRDefault="00653474" w:rsidP="00653474">
      <w:pPr>
        <w:pStyle w:val="SingleTxtG"/>
        <w:ind w:left="2410"/>
        <w:rPr>
          <w:lang w:val="en-US"/>
        </w:rPr>
      </w:pPr>
      <w:r w:rsidRPr="00632C4C">
        <w:rPr>
          <w:lang w:val="en-US"/>
        </w:rPr>
        <w:t>Except when testing using Q6 dummy where:</w:t>
      </w:r>
    </w:p>
    <w:p w:rsidR="00653474" w:rsidRPr="00632C4C" w:rsidRDefault="00653474" w:rsidP="00653474">
      <w:pPr>
        <w:pStyle w:val="SingleTxtG"/>
        <w:ind w:left="2410"/>
        <w:rPr>
          <w:lang w:val="en-US"/>
        </w:rPr>
      </w:pPr>
      <w:r w:rsidRPr="00632C4C">
        <w:rPr>
          <w:lang w:val="en-US"/>
        </w:rPr>
        <w:t>The value in relation to the FD plane is 840 mm.</w:t>
      </w:r>
    </w:p>
    <w:p w:rsidR="00653474" w:rsidRPr="00632C4C" w:rsidRDefault="00653474" w:rsidP="00653474">
      <w:pPr>
        <w:pStyle w:val="SingleTxtG"/>
        <w:ind w:left="2410"/>
        <w:rPr>
          <w:lang w:val="en-US"/>
        </w:rPr>
      </w:pPr>
      <w:r w:rsidRPr="00632C4C">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653474" w:rsidRPr="00632C4C" w:rsidRDefault="00653474" w:rsidP="00653474">
      <w:pPr>
        <w:pStyle w:val="SingleTxtG"/>
        <w:ind w:left="2410"/>
        <w:rPr>
          <w:lang w:val="en-US"/>
        </w:rPr>
      </w:pPr>
      <w:r w:rsidRPr="00632C4C">
        <w:rPr>
          <w:lang w:val="en-US"/>
        </w:rPr>
        <w:t>Where a test is ...</w:t>
      </w:r>
    </w:p>
    <w:p w:rsidR="00632C4C" w:rsidRPr="00632C4C" w:rsidRDefault="00653474" w:rsidP="00632C4C">
      <w:pPr>
        <w:pStyle w:val="SingleTxtG"/>
        <w:ind w:left="2268" w:firstLine="142"/>
        <w:rPr>
          <w:i/>
          <w:lang w:val="en-US"/>
        </w:rPr>
      </w:pPr>
      <w:r w:rsidRPr="00632C4C">
        <w:rPr>
          <w:lang w:val="en-US"/>
        </w:rPr>
        <w:t>…"</w:t>
      </w:r>
      <w:r w:rsidR="00632C4C" w:rsidRPr="00632C4C">
        <w:rPr>
          <w:i/>
          <w:lang w:val="en-US"/>
        </w:rPr>
        <w:t xml:space="preserve"> </w:t>
      </w:r>
    </w:p>
    <w:p w:rsidR="00632C4C" w:rsidRPr="00632C4C" w:rsidRDefault="00632C4C" w:rsidP="00632C4C">
      <w:pPr>
        <w:pStyle w:val="SingleTxtG"/>
        <w:rPr>
          <w:lang w:val="en-US"/>
        </w:rPr>
      </w:pPr>
      <w:r w:rsidRPr="00632C4C">
        <w:rPr>
          <w:i/>
          <w:lang w:val="en-US"/>
        </w:rPr>
        <w:t>Paragraph 6.7.1.4</w:t>
      </w:r>
      <w:r w:rsidRPr="00632C4C">
        <w:rPr>
          <w:lang w:val="en-US"/>
        </w:rPr>
        <w:t>. amend to read:</w:t>
      </w:r>
    </w:p>
    <w:p w:rsidR="00653474" w:rsidRPr="00203A95" w:rsidRDefault="00632C4C" w:rsidP="00203A95">
      <w:pPr>
        <w:spacing w:after="120"/>
        <w:ind w:left="2250" w:right="1134" w:hanging="1106"/>
        <w:jc w:val="both"/>
        <w:rPr>
          <w:iCs/>
          <w:color w:val="000000"/>
          <w:lang w:val="en-US"/>
        </w:rPr>
      </w:pPr>
      <w:r w:rsidRPr="00632C4C">
        <w:t xml:space="preserve">"6.7.1.4. </w:t>
      </w:r>
      <w:r w:rsidRPr="00632C4C">
        <w:tab/>
        <w:t xml:space="preserve">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w:t>
      </w:r>
      <w:r w:rsidRPr="00632C4C">
        <w:lastRenderedPageBreak/>
        <w:t>simultaneously. It is allowed to remove the child together with devices such as</w:t>
      </w:r>
      <w:r w:rsidR="009C6E5F" w:rsidRPr="009C6E5F">
        <w:t xml:space="preserve"> </w:t>
      </w:r>
      <w:r w:rsidRPr="00632C4C">
        <w:t>infant carrier/carry-cot/carry-cot restraints if the Enhanced Child Restraint System can be released by operation of a maximum of two release buttons."</w:t>
      </w:r>
    </w:p>
    <w:p w:rsidR="00E97070" w:rsidRDefault="00E97070" w:rsidP="00E97070">
      <w:pPr>
        <w:suppressAutoHyphens w:val="0"/>
        <w:spacing w:after="120" w:line="276" w:lineRule="auto"/>
        <w:ind w:left="2250" w:right="1134" w:hanging="1106"/>
        <w:jc w:val="both"/>
        <w:rPr>
          <w:rFonts w:eastAsia="Calibri"/>
          <w:lang w:val="en-US"/>
        </w:rPr>
      </w:pPr>
      <w:r>
        <w:rPr>
          <w:rFonts w:eastAsia="Calibri"/>
          <w:i/>
          <w:lang w:val="en-US"/>
        </w:rPr>
        <w:t>Paragraph 10</w:t>
      </w:r>
      <w:r>
        <w:rPr>
          <w:rFonts w:eastAsia="Calibri"/>
          <w:lang w:val="en-US"/>
        </w:rPr>
        <w:t>, amend to read:</w:t>
      </w:r>
    </w:p>
    <w:p w:rsidR="00E97070" w:rsidRPr="0059255D" w:rsidRDefault="00E97070" w:rsidP="00E97070">
      <w:pPr>
        <w:pStyle w:val="HChG"/>
      </w:pPr>
      <w:r>
        <w:rPr>
          <w:rFonts w:eastAsia="Calibri"/>
          <w:lang w:val="en-US"/>
        </w:rPr>
        <w:tab/>
      </w:r>
      <w:r>
        <w:rPr>
          <w:rFonts w:eastAsia="Calibri"/>
          <w:lang w:val="en-US"/>
        </w:rPr>
        <w:tab/>
        <w:t>"</w:t>
      </w:r>
      <w:r>
        <w:t>10.</w:t>
      </w:r>
      <w:r>
        <w:tab/>
      </w:r>
      <w:r>
        <w:tab/>
      </w:r>
      <w:r w:rsidRPr="0059255D">
        <w:t>Conformity of production</w:t>
      </w:r>
      <w:r>
        <w:t xml:space="preserve"> and routine tests</w:t>
      </w:r>
    </w:p>
    <w:p w:rsidR="00E97070" w:rsidRPr="00D05BE8" w:rsidRDefault="00E97070" w:rsidP="00E97070">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w:t>
      </w:r>
      <w:r>
        <w:rPr>
          <w:rFonts w:eastAsia="Calibri"/>
          <w:lang w:val="en-US"/>
        </w:rPr>
        <w:t xml:space="preserve">those set out in the Agreement, </w:t>
      </w:r>
      <w:r w:rsidRPr="00D05BE8">
        <w:rPr>
          <w:rFonts w:eastAsia="Calibri"/>
          <w:bCs/>
          <w:lang w:val="en-US"/>
        </w:rPr>
        <w:t>Schedule 1 (E/ECE/TRANS/505/Rev.3), with the</w:t>
      </w:r>
      <w:r w:rsidRPr="002452B0">
        <w:rPr>
          <w:rFonts w:eastAsia="Calibri"/>
          <w:lang w:val="en-US"/>
        </w:rPr>
        <w:t xml:space="preserve"> following requirements:</w:t>
      </w:r>
      <w:r>
        <w:rPr>
          <w:rFonts w:eastAsia="Calibri"/>
          <w:lang w:val="en-US"/>
        </w:rPr>
        <w:t>"</w:t>
      </w:r>
    </w:p>
    <w:p w:rsidR="00145FBB" w:rsidRPr="00145FBB" w:rsidRDefault="00145FBB" w:rsidP="00145FBB">
      <w:pPr>
        <w:pStyle w:val="SingleTxtG"/>
        <w:rPr>
          <w:lang w:val="en-US"/>
        </w:rPr>
      </w:pPr>
      <w:r w:rsidRPr="00145FBB">
        <w:rPr>
          <w:i/>
          <w:lang w:val="en-US"/>
        </w:rPr>
        <w:t>Paragraph</w:t>
      </w:r>
      <w:r w:rsidR="00426CCB">
        <w:rPr>
          <w:i/>
          <w:lang w:val="en-US"/>
        </w:rPr>
        <w:t>s</w:t>
      </w:r>
      <w:r w:rsidRPr="00145FBB">
        <w:rPr>
          <w:i/>
          <w:lang w:val="en-US"/>
        </w:rPr>
        <w:t xml:space="preserve"> 14.2.3</w:t>
      </w:r>
      <w:r>
        <w:rPr>
          <w:i/>
          <w:iCs/>
          <w:lang w:val="en-US"/>
        </w:rPr>
        <w:t xml:space="preserve">. </w:t>
      </w:r>
      <w:r w:rsidRPr="00145FBB">
        <w:rPr>
          <w:i/>
          <w:iCs/>
          <w:lang w:val="en-US"/>
        </w:rPr>
        <w:t>and 14.2.4</w:t>
      </w:r>
      <w:r>
        <w:rPr>
          <w:lang w:val="en-US"/>
        </w:rPr>
        <w:t xml:space="preserve">., </w:t>
      </w:r>
      <w:r w:rsidRPr="00145FBB">
        <w:rPr>
          <w:lang w:val="en-US"/>
        </w:rPr>
        <w:t>amend to read:</w:t>
      </w:r>
    </w:p>
    <w:p w:rsidR="00A01FD3" w:rsidRPr="00426CCB" w:rsidRDefault="00A01FD3" w:rsidP="00426CCB">
      <w:pPr>
        <w:pStyle w:val="SingleTxtG"/>
        <w:ind w:left="2268" w:hanging="1134"/>
        <w:rPr>
          <w:bCs/>
          <w:color w:val="000000"/>
          <w:lang w:val="en-US" w:eastAsia="de-DE"/>
        </w:rPr>
      </w:pPr>
      <w:r>
        <w:t xml:space="preserve">"14.2.3. </w:t>
      </w:r>
      <w:r>
        <w:tab/>
        <w:t>For Specific vehicle category Enhanced Child Restraint Systems,  information on the applicable vehicle</w:t>
      </w:r>
      <w:r>
        <w:rPr>
          <w:b/>
        </w:rPr>
        <w:t xml:space="preserve">, </w:t>
      </w:r>
      <w:r w:rsidRPr="00426CCB">
        <w:rPr>
          <w:bCs/>
        </w:rPr>
        <w:t>in at least a physical version, shall be clearly visible at the point of sale without removing the Enhanced Child Res</w:t>
      </w:r>
      <w:r w:rsidR="00426CCB" w:rsidRPr="00426CCB">
        <w:rPr>
          <w:bCs/>
        </w:rPr>
        <w:t>traint System from its packing;</w:t>
      </w:r>
    </w:p>
    <w:p w:rsidR="00A01FD3" w:rsidRDefault="00A01FD3" w:rsidP="00A01FD3">
      <w:pPr>
        <w:pStyle w:val="SingleTxtG"/>
        <w:ind w:left="2268" w:hanging="1134"/>
      </w:pPr>
      <w:r w:rsidRPr="00426CCB">
        <w:rPr>
          <w:bCs/>
        </w:rPr>
        <w:t xml:space="preserve">14.2.4. </w:t>
      </w:r>
      <w:r w:rsidRPr="00426CCB">
        <w:rPr>
          <w:bCs/>
        </w:rPr>
        <w:tab/>
        <w:t>The Enhanced Child Restraint manufacturer shall provide information on the exterior packaging as to the address in a physical or a digital</w:t>
      </w:r>
      <w:r>
        <w:rPr>
          <w:b/>
        </w:rPr>
        <w:t xml:space="preserve"> </w:t>
      </w:r>
      <w:r w:rsidRPr="00426CCB">
        <w:rPr>
          <w:bCs/>
        </w:rPr>
        <w:t>version to</w:t>
      </w:r>
      <w:r>
        <w:t xml:space="preserve"> which the customer can write to obtain further information on fitting the Enhanced Child Restraint in specific cars;"</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9C6E5F">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5F" w:rsidRPr="009C6E5F" w:rsidRDefault="009C6E5F" w:rsidP="009C6E5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5F" w:rsidRPr="009C6E5F" w:rsidRDefault="009C6E5F" w:rsidP="009C6E5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9C6E5F" w:rsidRPr="009C6E5F">
        <w:rPr>
          <w:szCs w:val="18"/>
          <w:lang w:val="en-US"/>
        </w:rPr>
        <w:t xml:space="preserve">In accordance with the </w:t>
      </w:r>
      <w:proofErr w:type="spellStart"/>
      <w:r w:rsidR="009C6E5F" w:rsidRPr="009C6E5F">
        <w:rPr>
          <w:szCs w:val="18"/>
          <w:lang w:val="en-US"/>
        </w:rPr>
        <w:t>programme</w:t>
      </w:r>
      <w:proofErr w:type="spellEnd"/>
      <w:r w:rsidR="009C6E5F" w:rsidRPr="009C6E5F">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5F" w:rsidRDefault="009C6E5F" w:rsidP="009C6E5F">
    <w:pPr>
      <w:pStyle w:val="Header"/>
      <w:tabs>
        <w:tab w:val="left" w:pos="2705"/>
        <w:tab w:val="left" w:pos="2755"/>
      </w:tabs>
    </w:pPr>
    <w:r>
      <w:t>ECE/TRANS/WP.29/2018/138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7839BB">
      <w:t>3</w:t>
    </w:r>
    <w:r w:rsidR="0034218E">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9C6E5F" w:rsidRDefault="00FE2BBC" w:rsidP="009C6E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17DE"/>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3363"/>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218E"/>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120A"/>
    <w:rsid w:val="006632AF"/>
    <w:rsid w:val="0066460A"/>
    <w:rsid w:val="0066501A"/>
    <w:rsid w:val="00665595"/>
    <w:rsid w:val="0066737F"/>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1ED"/>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74D1"/>
    <w:rsid w:val="00770230"/>
    <w:rsid w:val="00771C06"/>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6739"/>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C6E5F"/>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0729"/>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07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C5A8-45A9-4411-B09F-22483FAD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Pages>
  <Words>759</Words>
  <Characters>4328</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5077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2018-08-17T16:42:00Z</dcterms:created>
  <dcterms:modified xsi:type="dcterms:W3CDTF">2018-08-17T16:42:00Z</dcterms:modified>
</cp:coreProperties>
</file>