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CF706E">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CF706E" w:rsidP="00CF706E">
            <w:pPr>
              <w:jc w:val="right"/>
            </w:pPr>
            <w:r w:rsidRPr="00CF706E">
              <w:rPr>
                <w:sz w:val="40"/>
              </w:rPr>
              <w:t>ECE</w:t>
            </w:r>
            <w:r>
              <w:t>/TRANS/WP.29/2018/44</w:t>
            </w:r>
            <w:r w:rsidR="00A11CED" w:rsidRPr="00A11CED">
              <w:rPr>
                <w:rStyle w:val="FootnoteReference"/>
                <w:sz w:val="20"/>
                <w:vertAlign w:val="baseline"/>
              </w:rPr>
              <w:footnoteReference w:customMarkFollows="1" w:id="2"/>
              <w:t>*</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CF706E" w:rsidP="00C97039">
            <w:pPr>
              <w:spacing w:before="240"/>
            </w:pPr>
            <w:proofErr w:type="spellStart"/>
            <w:r>
              <w:t>Distr</w:t>
            </w:r>
            <w:proofErr w:type="spellEnd"/>
            <w:r>
              <w:t xml:space="preserve">. </w:t>
            </w:r>
            <w:proofErr w:type="gramStart"/>
            <w:r>
              <w:t>générale</w:t>
            </w:r>
            <w:proofErr w:type="gramEnd"/>
          </w:p>
          <w:p w:rsidR="00CF706E" w:rsidRDefault="00CF706E" w:rsidP="00CF706E">
            <w:pPr>
              <w:spacing w:line="240" w:lineRule="exact"/>
            </w:pPr>
            <w:r>
              <w:t>9 avril 2018</w:t>
            </w:r>
          </w:p>
          <w:p w:rsidR="00CF706E" w:rsidRDefault="00CF706E" w:rsidP="00CF706E">
            <w:pPr>
              <w:spacing w:line="240" w:lineRule="exact"/>
            </w:pPr>
            <w:r>
              <w:t>Français</w:t>
            </w:r>
          </w:p>
          <w:p w:rsidR="00CF706E" w:rsidRPr="00DB58B5" w:rsidRDefault="00CF706E" w:rsidP="00CF706E">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A71237">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CF706E" w:rsidRDefault="00CF706E" w:rsidP="00AF0CB5">
      <w:pPr>
        <w:spacing w:before="120"/>
        <w:rPr>
          <w:b/>
          <w:sz w:val="24"/>
          <w:szCs w:val="24"/>
        </w:rPr>
      </w:pPr>
      <w:r w:rsidRPr="00685843">
        <w:rPr>
          <w:b/>
          <w:sz w:val="24"/>
          <w:szCs w:val="24"/>
        </w:rPr>
        <w:t>Forum mondial de l</w:t>
      </w:r>
      <w:r w:rsidR="00A71237">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CF706E" w:rsidRDefault="00CF706E" w:rsidP="00257168">
      <w:pPr>
        <w:spacing w:before="120" w:line="240" w:lineRule="exact"/>
        <w:rPr>
          <w:b/>
        </w:rPr>
      </w:pPr>
      <w:r>
        <w:rPr>
          <w:b/>
        </w:rPr>
        <w:t>175</w:t>
      </w:r>
      <w:r w:rsidRPr="00CF706E">
        <w:rPr>
          <w:b/>
          <w:vertAlign w:val="superscript"/>
        </w:rPr>
        <w:t>e</w:t>
      </w:r>
      <w:r>
        <w:rPr>
          <w:b/>
        </w:rPr>
        <w:t xml:space="preserve"> session</w:t>
      </w:r>
    </w:p>
    <w:p w:rsidR="00CF706E" w:rsidRDefault="00CF706E" w:rsidP="00257168">
      <w:pPr>
        <w:spacing w:line="240" w:lineRule="exact"/>
      </w:pPr>
      <w:r>
        <w:t>Genève, 19-22 juin 2018</w:t>
      </w:r>
    </w:p>
    <w:p w:rsidR="00CF706E" w:rsidRDefault="00CF706E" w:rsidP="00257168">
      <w:pPr>
        <w:spacing w:line="240" w:lineRule="exact"/>
      </w:pPr>
      <w:r>
        <w:t>Point 4.6.9 de l</w:t>
      </w:r>
      <w:r w:rsidR="00A71237">
        <w:t>’</w:t>
      </w:r>
      <w:r>
        <w:t>ordre du jour provisoire</w:t>
      </w:r>
    </w:p>
    <w:p w:rsidR="00CF706E" w:rsidRPr="009260EC" w:rsidRDefault="00A71237" w:rsidP="00CF706E">
      <w:pPr>
        <w:rPr>
          <w:b/>
          <w:lang w:val="fr-FR"/>
        </w:rPr>
      </w:pPr>
      <w:r>
        <w:rPr>
          <w:b/>
          <w:lang w:val="fr-FR"/>
        </w:rPr>
        <w:t>Accord de 1958 </w:t>
      </w:r>
      <w:r w:rsidR="00CF706E" w:rsidRPr="009260EC">
        <w:rPr>
          <w:b/>
          <w:lang w:val="fr-FR"/>
        </w:rPr>
        <w:t>:</w:t>
      </w:r>
    </w:p>
    <w:p w:rsidR="00CF706E" w:rsidRPr="009260EC" w:rsidRDefault="00CF706E" w:rsidP="00CF706E">
      <w:pPr>
        <w:rPr>
          <w:b/>
        </w:rPr>
      </w:pPr>
      <w:r w:rsidRPr="009260EC">
        <w:rPr>
          <w:b/>
          <w:lang w:val="fr-FR"/>
        </w:rPr>
        <w:t>Examen de projets d</w:t>
      </w:r>
      <w:r w:rsidR="00A71237">
        <w:rPr>
          <w:b/>
          <w:lang w:val="fr-FR"/>
        </w:rPr>
        <w:t>’</w:t>
      </w:r>
      <w:r w:rsidRPr="009260EC">
        <w:rPr>
          <w:b/>
          <w:lang w:val="fr-FR"/>
        </w:rPr>
        <w:t>amendements</w:t>
      </w:r>
    </w:p>
    <w:p w:rsidR="00CF706E" w:rsidRPr="009260EC" w:rsidRDefault="00CF706E" w:rsidP="00CF706E">
      <w:pPr>
        <w:rPr>
          <w:b/>
        </w:rPr>
      </w:pPr>
      <w:proofErr w:type="gramStart"/>
      <w:r w:rsidRPr="009260EC">
        <w:rPr>
          <w:b/>
          <w:lang w:val="fr-FR"/>
        </w:rPr>
        <w:t>à</w:t>
      </w:r>
      <w:proofErr w:type="gramEnd"/>
      <w:r w:rsidRPr="009260EC">
        <w:rPr>
          <w:b/>
          <w:lang w:val="fr-FR"/>
        </w:rPr>
        <w:t xml:space="preserve"> des Règlements </w:t>
      </w:r>
      <w:r w:rsidR="00A11CED">
        <w:rPr>
          <w:b/>
          <w:lang w:val="fr-FR"/>
        </w:rPr>
        <w:t xml:space="preserve">ONU </w:t>
      </w:r>
      <w:r w:rsidRPr="009260EC">
        <w:rPr>
          <w:b/>
          <w:lang w:val="fr-FR"/>
        </w:rPr>
        <w:t>existants, soumis par le GRSP</w:t>
      </w:r>
    </w:p>
    <w:p w:rsidR="00CF706E" w:rsidRDefault="009260EC" w:rsidP="009260EC">
      <w:pPr>
        <w:pStyle w:val="HChG"/>
      </w:pPr>
      <w:r>
        <w:rPr>
          <w:lang w:val="fr-FR"/>
        </w:rPr>
        <w:tab/>
      </w:r>
      <w:r>
        <w:rPr>
          <w:lang w:val="fr-FR"/>
        </w:rPr>
        <w:tab/>
      </w:r>
      <w:r w:rsidR="00CF706E">
        <w:rPr>
          <w:lang w:val="fr-FR"/>
        </w:rPr>
        <w:t>Proposition de série 09 d</w:t>
      </w:r>
      <w:r w:rsidR="00A71237">
        <w:rPr>
          <w:lang w:val="fr-FR"/>
        </w:rPr>
        <w:t>’</w:t>
      </w:r>
      <w:r w:rsidR="00CF706E">
        <w:rPr>
          <w:lang w:val="fr-FR"/>
        </w:rPr>
        <w:t xml:space="preserve">amendements au Règlement </w:t>
      </w:r>
      <w:r w:rsidR="00A11CED">
        <w:rPr>
          <w:lang w:val="fr-FR"/>
        </w:rPr>
        <w:t xml:space="preserve">ONU </w:t>
      </w:r>
      <w:r w:rsidR="00CF706E">
        <w:rPr>
          <w:lang w:val="fr-FR"/>
        </w:rPr>
        <w:t>n</w:t>
      </w:r>
      <w:r w:rsidR="00CF706E" w:rsidRPr="00A531BE">
        <w:rPr>
          <w:vertAlign w:val="superscript"/>
          <w:lang w:val="fr-FR"/>
        </w:rPr>
        <w:t>o</w:t>
      </w:r>
      <w:r>
        <w:rPr>
          <w:lang w:val="fr-FR"/>
        </w:rPr>
        <w:t> </w:t>
      </w:r>
      <w:r w:rsidR="00CF706E">
        <w:rPr>
          <w:lang w:val="fr-FR"/>
        </w:rPr>
        <w:t xml:space="preserve">14 (Ancrages des ceintures de sécurité) </w:t>
      </w:r>
    </w:p>
    <w:p w:rsidR="00CF706E" w:rsidRPr="00A531BE" w:rsidRDefault="009260EC" w:rsidP="009260EC">
      <w:pPr>
        <w:pStyle w:val="H1G"/>
      </w:pPr>
      <w:r>
        <w:rPr>
          <w:lang w:val="fr-FR"/>
        </w:rPr>
        <w:tab/>
      </w:r>
      <w:r>
        <w:rPr>
          <w:lang w:val="fr-FR"/>
        </w:rPr>
        <w:tab/>
      </w:r>
      <w:r w:rsidR="00CF706E" w:rsidRPr="00A531BE">
        <w:rPr>
          <w:lang w:val="fr-FR"/>
        </w:rPr>
        <w:t>Communication du Groupe de travail de la sécurité passive</w:t>
      </w:r>
      <w:r w:rsidR="00CF706E" w:rsidRPr="00A11CED">
        <w:rPr>
          <w:rStyle w:val="FootnoteReference"/>
          <w:b w:val="0"/>
          <w:sz w:val="20"/>
          <w:vertAlign w:val="baseline"/>
          <w:lang w:val="fr-FR"/>
        </w:rPr>
        <w:footnoteReference w:customMarkFollows="1" w:id="3"/>
        <w:t>*</w:t>
      </w:r>
      <w:r w:rsidR="00A11CED" w:rsidRPr="00A11CED">
        <w:rPr>
          <w:b w:val="0"/>
          <w:sz w:val="20"/>
          <w:lang w:val="fr-FR"/>
        </w:rPr>
        <w:t>*</w:t>
      </w:r>
    </w:p>
    <w:p w:rsidR="00CF706E" w:rsidRDefault="00CF706E" w:rsidP="009260EC">
      <w:pPr>
        <w:pStyle w:val="SingleTxtG"/>
        <w:ind w:firstLine="567"/>
        <w:rPr>
          <w:szCs w:val="24"/>
        </w:rPr>
      </w:pPr>
      <w:r>
        <w:rPr>
          <w:lang w:val="fr-FR"/>
        </w:rPr>
        <w:t>Le texte ci-après a été adopté par le Groupe de travail de la sécurité passive (GRSP) à sa soixante-deuxième session (ECE/TRANS/WP.29/GRSP/62, par.</w:t>
      </w:r>
      <w:r w:rsidR="009260EC">
        <w:rPr>
          <w:lang w:val="fr-FR"/>
        </w:rPr>
        <w:t> </w:t>
      </w:r>
      <w:r>
        <w:rPr>
          <w:lang w:val="fr-FR"/>
        </w:rPr>
        <w:t>13). Il est fondé sur le document ECE/TRANS/WP.29/GRSP/2017/23, non modifié. Il est soumis au Forum mondial de l</w:t>
      </w:r>
      <w:r w:rsidR="00A71237">
        <w:rPr>
          <w:lang w:val="fr-FR"/>
        </w:rPr>
        <w:t>’</w:t>
      </w:r>
      <w:r>
        <w:rPr>
          <w:lang w:val="fr-FR"/>
        </w:rPr>
        <w:t>harmonisation des Règlements concernant les véhicules (WP.29) et au Comité d</w:t>
      </w:r>
      <w:r w:rsidR="00A71237">
        <w:rPr>
          <w:lang w:val="fr-FR"/>
        </w:rPr>
        <w:t>’</w:t>
      </w:r>
      <w:r>
        <w:rPr>
          <w:lang w:val="fr-FR"/>
        </w:rPr>
        <w:t xml:space="preserve">administration (AC.1) pour examen à leurs sessions de juin 2018. </w:t>
      </w:r>
    </w:p>
    <w:p w:rsidR="00CF706E" w:rsidRDefault="00CF706E" w:rsidP="00A71237">
      <w:pPr>
        <w:pStyle w:val="HChG"/>
      </w:pPr>
      <w:r>
        <w:br w:type="page"/>
      </w:r>
      <w:r>
        <w:rPr>
          <w:lang w:val="fr-FR"/>
        </w:rPr>
        <w:lastRenderedPageBreak/>
        <w:tab/>
      </w:r>
      <w:r>
        <w:rPr>
          <w:lang w:val="fr-FR"/>
        </w:rPr>
        <w:tab/>
        <w:t>Série 09 d</w:t>
      </w:r>
      <w:r w:rsidR="00A71237">
        <w:rPr>
          <w:lang w:val="fr-FR"/>
        </w:rPr>
        <w:t>’</w:t>
      </w:r>
      <w:r>
        <w:rPr>
          <w:lang w:val="fr-FR"/>
        </w:rPr>
        <w:t xml:space="preserve">amendements au Règlement </w:t>
      </w:r>
      <w:r w:rsidR="00A11CED">
        <w:rPr>
          <w:lang w:val="fr-FR"/>
        </w:rPr>
        <w:t xml:space="preserve">ONU </w:t>
      </w:r>
      <w:r>
        <w:rPr>
          <w:lang w:val="fr-FR"/>
        </w:rPr>
        <w:t>n</w:t>
      </w:r>
      <w:r w:rsidRPr="004E5622">
        <w:rPr>
          <w:vertAlign w:val="superscript"/>
          <w:lang w:val="fr-FR"/>
        </w:rPr>
        <w:t>o</w:t>
      </w:r>
      <w:r w:rsidR="00A71237">
        <w:rPr>
          <w:lang w:val="fr-FR"/>
        </w:rPr>
        <w:t> </w:t>
      </w:r>
      <w:r w:rsidR="00A55148">
        <w:rPr>
          <w:lang w:val="fr-FR"/>
        </w:rPr>
        <w:t>14</w:t>
      </w:r>
      <w:r w:rsidR="00A55148">
        <w:rPr>
          <w:lang w:val="fr-FR"/>
        </w:rPr>
        <w:br/>
      </w:r>
      <w:r>
        <w:rPr>
          <w:lang w:val="fr-FR"/>
        </w:rPr>
        <w:t>(Ancrages des ceintures de sécurité)</w:t>
      </w:r>
    </w:p>
    <w:p w:rsidR="00CF706E" w:rsidRPr="00B7515E" w:rsidRDefault="00CF706E" w:rsidP="00A71237">
      <w:pPr>
        <w:pStyle w:val="SingleTxtG"/>
      </w:pPr>
      <w:r w:rsidRPr="00A71237">
        <w:rPr>
          <w:i/>
          <w:lang w:val="fr-FR"/>
        </w:rPr>
        <w:t>Paragraphe 5.4.2.5</w:t>
      </w:r>
      <w:r>
        <w:rPr>
          <w:lang w:val="fr-FR"/>
        </w:rPr>
        <w:t>, lire</w:t>
      </w:r>
      <w:r w:rsidR="00A71237">
        <w:rPr>
          <w:lang w:val="fr-FR"/>
        </w:rPr>
        <w:t> </w:t>
      </w:r>
      <w:r>
        <w:rPr>
          <w:lang w:val="fr-FR"/>
        </w:rPr>
        <w:t>:</w:t>
      </w:r>
    </w:p>
    <w:p w:rsidR="00CF706E" w:rsidRPr="00B7515E" w:rsidRDefault="00A71237" w:rsidP="00A71237">
      <w:pPr>
        <w:pStyle w:val="SingleTxtG"/>
        <w:ind w:left="2268" w:hanging="1134"/>
      </w:pPr>
      <w:r>
        <w:rPr>
          <w:lang w:val="fr-FR"/>
        </w:rPr>
        <w:t>« </w:t>
      </w:r>
      <w:r w:rsidR="00CF706E">
        <w:rPr>
          <w:lang w:val="fr-FR"/>
        </w:rPr>
        <w:t>5.4.2.5</w:t>
      </w:r>
      <w:r w:rsidR="00CF706E">
        <w:rPr>
          <w:lang w:val="fr-FR"/>
        </w:rPr>
        <w:tab/>
        <w:t>La distance entre les deux plans verticaux parallèles au plan longitudinal vertical médian du véhicule et passant par chacun des deux ancrages inférieurs effectifs (L</w:t>
      </w:r>
      <w:r w:rsidR="00CF706E" w:rsidRPr="007745B8">
        <w:rPr>
          <w:vertAlign w:val="subscript"/>
          <w:lang w:val="fr-FR"/>
        </w:rPr>
        <w:t>1</w:t>
      </w:r>
      <w:r w:rsidR="00CF706E">
        <w:rPr>
          <w:lang w:val="fr-FR"/>
        </w:rPr>
        <w:t xml:space="preserve"> et L</w:t>
      </w:r>
      <w:r w:rsidR="00CF706E" w:rsidRPr="007745B8">
        <w:rPr>
          <w:vertAlign w:val="subscript"/>
          <w:lang w:val="fr-FR"/>
        </w:rPr>
        <w:t>2</w:t>
      </w:r>
      <w:r w:rsidR="00CF706E">
        <w:rPr>
          <w:lang w:val="fr-FR"/>
        </w:rPr>
        <w:t>) d</w:t>
      </w:r>
      <w:r>
        <w:rPr>
          <w:lang w:val="fr-FR"/>
        </w:rPr>
        <w:t>’</w:t>
      </w:r>
      <w:r w:rsidR="00CF706E">
        <w:rPr>
          <w:lang w:val="fr-FR"/>
        </w:rPr>
        <w:t>une même ceinture ne doit pas être inférieure à 350</w:t>
      </w:r>
      <w:r>
        <w:rPr>
          <w:lang w:val="fr-FR"/>
        </w:rPr>
        <w:t> </w:t>
      </w:r>
      <w:proofErr w:type="spellStart"/>
      <w:r w:rsidR="00CF706E">
        <w:rPr>
          <w:lang w:val="fr-FR"/>
        </w:rPr>
        <w:t>mm.</w:t>
      </w:r>
      <w:proofErr w:type="spellEnd"/>
      <w:r w:rsidR="00CF706E">
        <w:rPr>
          <w:lang w:val="fr-FR"/>
        </w:rPr>
        <w:t xml:space="preserve"> Dans le cas de sièges faisant face vers le côté, la distance entre les deux plans verticaux parallèles au plan longitudinal vertical médian du siège et passant par chacun des deux ancrages inférieurs effectifs (L</w:t>
      </w:r>
      <w:r w:rsidR="00CF706E" w:rsidRPr="007745B8">
        <w:rPr>
          <w:vertAlign w:val="subscript"/>
          <w:lang w:val="fr-FR"/>
        </w:rPr>
        <w:t>1</w:t>
      </w:r>
      <w:r w:rsidR="00CF706E">
        <w:rPr>
          <w:lang w:val="fr-FR"/>
        </w:rPr>
        <w:t xml:space="preserve"> et L</w:t>
      </w:r>
      <w:r w:rsidR="00CF706E" w:rsidRPr="007745B8">
        <w:rPr>
          <w:vertAlign w:val="subscript"/>
          <w:lang w:val="fr-FR"/>
        </w:rPr>
        <w:t>2</w:t>
      </w:r>
      <w:r w:rsidR="00CF706E">
        <w:rPr>
          <w:lang w:val="fr-FR"/>
        </w:rPr>
        <w:t>) d</w:t>
      </w:r>
      <w:r>
        <w:rPr>
          <w:lang w:val="fr-FR"/>
        </w:rPr>
        <w:t>’</w:t>
      </w:r>
      <w:r w:rsidR="00CF706E">
        <w:rPr>
          <w:lang w:val="fr-FR"/>
        </w:rPr>
        <w:t>une même ceinture ne doit pas être inférieure à 350</w:t>
      </w:r>
      <w:r>
        <w:rPr>
          <w:lang w:val="fr-FR"/>
        </w:rPr>
        <w:t> </w:t>
      </w:r>
      <w:proofErr w:type="spellStart"/>
      <w:r w:rsidR="00CF706E">
        <w:rPr>
          <w:lang w:val="fr-FR"/>
        </w:rPr>
        <w:t>mm.</w:t>
      </w:r>
      <w:proofErr w:type="spellEnd"/>
      <w:r w:rsidR="00CF706E">
        <w:rPr>
          <w:lang w:val="fr-FR"/>
        </w:rPr>
        <w:t xml:space="preserve"> S</w:t>
      </w:r>
      <w:r>
        <w:rPr>
          <w:lang w:val="fr-FR"/>
        </w:rPr>
        <w:t>’</w:t>
      </w:r>
      <w:r w:rsidR="00CF706E">
        <w:rPr>
          <w:lang w:val="fr-FR"/>
        </w:rPr>
        <w:t>il existe une seule place assise située au centre d</w:t>
      </w:r>
      <w:r>
        <w:rPr>
          <w:lang w:val="fr-FR"/>
        </w:rPr>
        <w:t>’</w:t>
      </w:r>
      <w:r w:rsidR="00CF706E">
        <w:rPr>
          <w:lang w:val="fr-FR"/>
        </w:rPr>
        <w:t>une rangée arrière de sièges de véhicules des catégories M</w:t>
      </w:r>
      <w:r w:rsidR="00CF706E" w:rsidRPr="007745B8">
        <w:rPr>
          <w:vertAlign w:val="subscript"/>
          <w:lang w:val="fr-FR"/>
        </w:rPr>
        <w:t>1</w:t>
      </w:r>
      <w:r w:rsidR="00CF706E">
        <w:rPr>
          <w:lang w:val="fr-FR"/>
        </w:rPr>
        <w:t xml:space="preserve"> et N</w:t>
      </w:r>
      <w:r w:rsidR="00CF706E" w:rsidRPr="007745B8">
        <w:rPr>
          <w:vertAlign w:val="subscript"/>
          <w:lang w:val="fr-FR"/>
        </w:rPr>
        <w:t>1</w:t>
      </w:r>
      <w:r w:rsidR="00CF706E">
        <w:rPr>
          <w:lang w:val="fr-FR"/>
        </w:rPr>
        <w:t>, alors cette distance ne</w:t>
      </w:r>
      <w:r w:rsidR="00CD5A09">
        <w:rPr>
          <w:lang w:val="fr-FR"/>
        </w:rPr>
        <w:t xml:space="preserve"> doit pas être inférieure à 240 </w:t>
      </w:r>
      <w:r w:rsidR="00CF706E">
        <w:rPr>
          <w:lang w:val="fr-FR"/>
        </w:rPr>
        <w:t>mm pour cette place assise, à condition qu</w:t>
      </w:r>
      <w:r>
        <w:rPr>
          <w:lang w:val="fr-FR"/>
        </w:rPr>
        <w:t>’</w:t>
      </w:r>
      <w:r w:rsidR="00CF706E">
        <w:rPr>
          <w:lang w:val="fr-FR"/>
        </w:rPr>
        <w:t>il ne soit pas possible de permuter le siège arrière central avec l</w:t>
      </w:r>
      <w:r>
        <w:rPr>
          <w:lang w:val="fr-FR"/>
        </w:rPr>
        <w:t>’</w:t>
      </w:r>
      <w:r w:rsidR="00CF706E">
        <w:rPr>
          <w:lang w:val="fr-FR"/>
        </w:rPr>
        <w:t>un quelconque de</w:t>
      </w:r>
      <w:r>
        <w:rPr>
          <w:lang w:val="fr-FR"/>
        </w:rPr>
        <w:t>s autres sièges du véhicule. Le </w:t>
      </w:r>
      <w:r w:rsidR="00CF706E">
        <w:rPr>
          <w:lang w:val="fr-FR"/>
        </w:rPr>
        <w:t>plan longitudinal médian du siège du véhicule doit passer entre les points L</w:t>
      </w:r>
      <w:r w:rsidR="00CF706E" w:rsidRPr="007745B8">
        <w:rPr>
          <w:vertAlign w:val="subscript"/>
          <w:lang w:val="fr-FR"/>
        </w:rPr>
        <w:t>1</w:t>
      </w:r>
      <w:r w:rsidR="00CF706E">
        <w:rPr>
          <w:lang w:val="fr-FR"/>
        </w:rPr>
        <w:t xml:space="preserve"> et L</w:t>
      </w:r>
      <w:r w:rsidR="00CF706E" w:rsidRPr="007745B8">
        <w:rPr>
          <w:vertAlign w:val="subscript"/>
          <w:lang w:val="fr-FR"/>
        </w:rPr>
        <w:t>2</w:t>
      </w:r>
      <w:r w:rsidR="00CF706E">
        <w:rPr>
          <w:lang w:val="fr-FR"/>
        </w:rPr>
        <w:t xml:space="preserve"> et à au moins 120 mm de ces points. ».</w:t>
      </w:r>
    </w:p>
    <w:p w:rsidR="00CF706E" w:rsidRPr="00B7515E" w:rsidRDefault="00CF706E" w:rsidP="00A71237">
      <w:pPr>
        <w:pStyle w:val="SingleTxtG"/>
      </w:pPr>
      <w:r w:rsidRPr="007745B8">
        <w:rPr>
          <w:i/>
          <w:lang w:val="fr-FR"/>
        </w:rPr>
        <w:t>Paragraphe 9</w:t>
      </w:r>
      <w:r>
        <w:rPr>
          <w:lang w:val="fr-FR"/>
        </w:rPr>
        <w:t>, lire</w:t>
      </w:r>
      <w:r w:rsidR="00A71237">
        <w:rPr>
          <w:lang w:val="fr-FR"/>
        </w:rPr>
        <w:t> </w:t>
      </w:r>
      <w:r>
        <w:rPr>
          <w:lang w:val="fr-FR"/>
        </w:rPr>
        <w:t>:</w:t>
      </w:r>
    </w:p>
    <w:p w:rsidR="00CF706E" w:rsidRPr="00B7515E" w:rsidRDefault="00CD5A09" w:rsidP="00CD5A09">
      <w:pPr>
        <w:pStyle w:val="HChG"/>
      </w:pPr>
      <w:r>
        <w:rPr>
          <w:lang w:val="fr-FR"/>
        </w:rPr>
        <w:tab/>
      </w:r>
      <w:r>
        <w:rPr>
          <w:lang w:val="fr-FR"/>
        </w:rPr>
        <w:tab/>
      </w:r>
      <w:r w:rsidR="00CF706E" w:rsidRPr="007745B8">
        <w:rPr>
          <w:lang w:val="fr-FR"/>
        </w:rPr>
        <w:t>«</w:t>
      </w:r>
      <w:r w:rsidR="00CF706E">
        <w:rPr>
          <w:lang w:val="fr-FR"/>
        </w:rPr>
        <w:t> 9.</w:t>
      </w:r>
      <w:r w:rsidR="00CF706E">
        <w:rPr>
          <w:lang w:val="fr-FR"/>
        </w:rPr>
        <w:tab/>
      </w:r>
      <w:r w:rsidR="00CF706E">
        <w:rPr>
          <w:lang w:val="fr-FR"/>
        </w:rPr>
        <w:tab/>
        <w:t>Conformité de la production</w:t>
      </w:r>
    </w:p>
    <w:p w:rsidR="00CF706E" w:rsidRDefault="00CF706E" w:rsidP="00A71237">
      <w:pPr>
        <w:pStyle w:val="SingleTxtG"/>
        <w:ind w:left="2268"/>
      </w:pPr>
      <w:r>
        <w:rPr>
          <w:lang w:val="fr-FR"/>
        </w:rPr>
        <w:t>Les procédures de contrôle de la conformité de la production doivent suivre celles qui sont énoncées à l</w:t>
      </w:r>
      <w:r w:rsidR="00A71237">
        <w:rPr>
          <w:lang w:val="fr-FR"/>
        </w:rPr>
        <w:t>’</w:t>
      </w:r>
      <w:r>
        <w:rPr>
          <w:lang w:val="fr-FR"/>
        </w:rPr>
        <w:t>annexe 1 de l</w:t>
      </w:r>
      <w:r w:rsidR="00A71237">
        <w:rPr>
          <w:lang w:val="fr-FR"/>
        </w:rPr>
        <w:t>’</w:t>
      </w:r>
      <w:r>
        <w:rPr>
          <w:lang w:val="fr-FR"/>
        </w:rPr>
        <w:t>Accord (E/ECE/TRANS/505/</w:t>
      </w:r>
      <w:r w:rsidR="00A71237">
        <w:rPr>
          <w:lang w:val="fr-FR"/>
        </w:rPr>
        <w:t xml:space="preserve"> </w:t>
      </w:r>
      <w:r>
        <w:rPr>
          <w:lang w:val="fr-FR"/>
        </w:rPr>
        <w:t>Rev.3) et respecter les prescriptions suivantes</w:t>
      </w:r>
      <w:r w:rsidR="00A71237">
        <w:rPr>
          <w:lang w:val="fr-FR"/>
        </w:rPr>
        <w:t> </w:t>
      </w:r>
      <w:r>
        <w:rPr>
          <w:lang w:val="fr-FR"/>
        </w:rPr>
        <w:t>:</w:t>
      </w:r>
    </w:p>
    <w:p w:rsidR="00CF706E" w:rsidRPr="00B7515E" w:rsidRDefault="00CF706E" w:rsidP="00A71237">
      <w:pPr>
        <w:pStyle w:val="SingleTxtG"/>
        <w:ind w:left="2268"/>
      </w:pPr>
      <w:r>
        <w:rPr>
          <w:lang w:val="fr-FR"/>
        </w:rPr>
        <w:t>… ».</w:t>
      </w:r>
    </w:p>
    <w:p w:rsidR="00CF706E" w:rsidRPr="00B7515E" w:rsidRDefault="00CF706E" w:rsidP="00A71237">
      <w:pPr>
        <w:pStyle w:val="SingleTxtG"/>
      </w:pPr>
      <w:r w:rsidRPr="00E45B74">
        <w:rPr>
          <w:i/>
          <w:lang w:val="fr-FR"/>
        </w:rPr>
        <w:t>Ajouter les nouveaux paragraphes 14.23 à 14.29</w:t>
      </w:r>
      <w:r>
        <w:rPr>
          <w:lang w:val="fr-FR"/>
        </w:rPr>
        <w:t>, libellés comme suit</w:t>
      </w:r>
      <w:r w:rsidR="00A71237">
        <w:rPr>
          <w:lang w:val="fr-FR"/>
        </w:rPr>
        <w:t> </w:t>
      </w:r>
      <w:r>
        <w:rPr>
          <w:lang w:val="fr-FR"/>
        </w:rPr>
        <w:t>:</w:t>
      </w:r>
    </w:p>
    <w:p w:rsidR="00CF706E" w:rsidRPr="00B7515E" w:rsidRDefault="00A71237" w:rsidP="00A71237">
      <w:pPr>
        <w:pStyle w:val="SingleTxtG"/>
        <w:ind w:left="2268" w:hanging="1134"/>
      </w:pPr>
      <w:r>
        <w:t>« </w:t>
      </w:r>
      <w:r w:rsidR="00CF706E">
        <w:rPr>
          <w:lang w:val="fr-FR"/>
        </w:rPr>
        <w:t>14.23</w:t>
      </w:r>
      <w:r w:rsidR="00CF706E">
        <w:rPr>
          <w:lang w:val="fr-FR"/>
        </w:rPr>
        <w:tab/>
        <w:t>À compter de la date officielle d</w:t>
      </w:r>
      <w:r>
        <w:rPr>
          <w:lang w:val="fr-FR"/>
        </w:rPr>
        <w:t>’</w:t>
      </w:r>
      <w:r w:rsidR="00CF706E">
        <w:rPr>
          <w:lang w:val="fr-FR"/>
        </w:rPr>
        <w:t>entrée en vigueur de la série 09 d</w:t>
      </w:r>
      <w:r>
        <w:rPr>
          <w:lang w:val="fr-FR"/>
        </w:rPr>
        <w:t>’</w:t>
      </w:r>
      <w:r w:rsidR="00CF706E">
        <w:rPr>
          <w:lang w:val="fr-FR"/>
        </w:rPr>
        <w:t xml:space="preserve">amendements, aucune Partie contractante appliquant le présent Règlement </w:t>
      </w:r>
      <w:r w:rsidR="00CF706E" w:rsidRPr="00E45B74">
        <w:rPr>
          <w:lang w:val="fr-FR"/>
        </w:rPr>
        <w:t>ne pourra refuser d</w:t>
      </w:r>
      <w:r>
        <w:rPr>
          <w:lang w:val="fr-FR"/>
        </w:rPr>
        <w:t>’</w:t>
      </w:r>
      <w:r w:rsidR="00CF706E" w:rsidRPr="00E45B74">
        <w:rPr>
          <w:lang w:val="fr-FR"/>
        </w:rPr>
        <w:t>accorder des homologations de type au titre du présent Règlement tel qu</w:t>
      </w:r>
      <w:r w:rsidR="00CF706E">
        <w:rPr>
          <w:lang w:val="fr-FR"/>
        </w:rPr>
        <w:t xml:space="preserve">e modifié </w:t>
      </w:r>
      <w:r w:rsidR="00CF706E" w:rsidRPr="00E45B74">
        <w:rPr>
          <w:lang w:val="fr-FR"/>
        </w:rPr>
        <w:t>par la série 09 d</w:t>
      </w:r>
      <w:r>
        <w:rPr>
          <w:lang w:val="fr-FR"/>
        </w:rPr>
        <w:t>’</w:t>
      </w:r>
      <w:r w:rsidR="00CF706E" w:rsidRPr="00E45B74">
        <w:rPr>
          <w:lang w:val="fr-FR"/>
        </w:rPr>
        <w:t>amendements, ni refuser d</w:t>
      </w:r>
      <w:r>
        <w:rPr>
          <w:lang w:val="fr-FR"/>
        </w:rPr>
        <w:t>’</w:t>
      </w:r>
      <w:r w:rsidR="00CF706E">
        <w:rPr>
          <w:lang w:val="fr-FR"/>
        </w:rPr>
        <w:t>en</w:t>
      </w:r>
      <w:r w:rsidR="00CF706E" w:rsidRPr="00E45B74">
        <w:rPr>
          <w:lang w:val="fr-FR"/>
        </w:rPr>
        <w:t xml:space="preserve"> accepter</w:t>
      </w:r>
      <w:r w:rsidR="00CF706E">
        <w:rPr>
          <w:lang w:val="fr-FR"/>
        </w:rPr>
        <w:t>.</w:t>
      </w:r>
    </w:p>
    <w:p w:rsidR="00CF706E" w:rsidRPr="00B7515E" w:rsidRDefault="00CF706E" w:rsidP="00A71237">
      <w:pPr>
        <w:pStyle w:val="SingleTxtG"/>
        <w:ind w:left="2268" w:hanging="1134"/>
      </w:pPr>
      <w:r>
        <w:rPr>
          <w:lang w:val="fr-FR"/>
        </w:rPr>
        <w:t>14.24</w:t>
      </w:r>
      <w:r>
        <w:rPr>
          <w:lang w:val="fr-FR"/>
        </w:rPr>
        <w:tab/>
        <w:t>À compter du 1</w:t>
      </w:r>
      <w:r w:rsidRPr="00E45B74">
        <w:rPr>
          <w:vertAlign w:val="superscript"/>
          <w:lang w:val="fr-FR"/>
        </w:rPr>
        <w:t>er</w:t>
      </w:r>
      <w:r w:rsidR="00A71237">
        <w:rPr>
          <w:lang w:val="fr-FR"/>
        </w:rPr>
        <w:t> </w:t>
      </w:r>
      <w:r>
        <w:rPr>
          <w:lang w:val="fr-FR"/>
        </w:rPr>
        <w:t xml:space="preserve">septembre 2019, les Parties contractantes appliquant le présent Règlement ne seront plus </w:t>
      </w:r>
      <w:r w:rsidRPr="00E45B74">
        <w:rPr>
          <w:lang w:val="fr-FR"/>
        </w:rPr>
        <w:t>obligées d</w:t>
      </w:r>
      <w:r w:rsidR="00A71237">
        <w:rPr>
          <w:lang w:val="fr-FR"/>
        </w:rPr>
        <w:t>’</w:t>
      </w:r>
      <w:r w:rsidRPr="00E45B74">
        <w:rPr>
          <w:lang w:val="fr-FR"/>
        </w:rPr>
        <w:t>accepter les homologations de type accordées au titre de la série précédente d</w:t>
      </w:r>
      <w:r w:rsidR="00A71237">
        <w:rPr>
          <w:lang w:val="fr-FR"/>
        </w:rPr>
        <w:t>’</w:t>
      </w:r>
      <w:r w:rsidRPr="00E45B74">
        <w:rPr>
          <w:lang w:val="fr-FR"/>
        </w:rPr>
        <w:t>amendements, qui auront été émises après le 1</w:t>
      </w:r>
      <w:r w:rsidRPr="00E45B74">
        <w:rPr>
          <w:vertAlign w:val="superscript"/>
          <w:lang w:val="fr-FR"/>
        </w:rPr>
        <w:t>er</w:t>
      </w:r>
      <w:r>
        <w:rPr>
          <w:lang w:val="fr-FR"/>
        </w:rPr>
        <w:t xml:space="preserve"> </w:t>
      </w:r>
      <w:r w:rsidRPr="00E45B74">
        <w:rPr>
          <w:lang w:val="fr-FR"/>
        </w:rPr>
        <w:t>septembre 2019</w:t>
      </w:r>
      <w:r>
        <w:rPr>
          <w:lang w:val="fr-FR"/>
        </w:rPr>
        <w:t>.</w:t>
      </w:r>
    </w:p>
    <w:p w:rsidR="00CF706E" w:rsidRPr="00B7515E" w:rsidRDefault="00CF706E" w:rsidP="00A71237">
      <w:pPr>
        <w:pStyle w:val="SingleTxtG"/>
        <w:ind w:left="2268" w:hanging="1134"/>
        <w:rPr>
          <w:rFonts w:eastAsia="MS Mincho"/>
        </w:rPr>
      </w:pPr>
      <w:r>
        <w:rPr>
          <w:lang w:val="fr-FR"/>
        </w:rPr>
        <w:t>14.25</w:t>
      </w:r>
      <w:r>
        <w:rPr>
          <w:lang w:val="fr-FR"/>
        </w:rPr>
        <w:tab/>
        <w:t>Jusqu</w:t>
      </w:r>
      <w:r w:rsidR="00A71237">
        <w:rPr>
          <w:lang w:val="fr-FR"/>
        </w:rPr>
        <w:t>’</w:t>
      </w:r>
      <w:r>
        <w:rPr>
          <w:lang w:val="fr-FR"/>
        </w:rPr>
        <w:t>au 1</w:t>
      </w:r>
      <w:r w:rsidRPr="00E45B74">
        <w:rPr>
          <w:vertAlign w:val="superscript"/>
          <w:lang w:val="fr-FR"/>
        </w:rPr>
        <w:t>er</w:t>
      </w:r>
      <w:r>
        <w:rPr>
          <w:lang w:val="fr-FR"/>
        </w:rPr>
        <w:t xml:space="preserve"> septembre 2025, </w:t>
      </w:r>
      <w:r w:rsidRPr="00E45B74">
        <w:rPr>
          <w:lang w:val="fr-FR"/>
        </w:rPr>
        <w:t>les Parties contractantes appliquant le présent Règlement accepteront les homologations de type accordées au titre de la série précédente d</w:t>
      </w:r>
      <w:r w:rsidR="00A71237">
        <w:rPr>
          <w:lang w:val="fr-FR"/>
        </w:rPr>
        <w:t>’</w:t>
      </w:r>
      <w:r w:rsidRPr="00E45B74">
        <w:rPr>
          <w:lang w:val="fr-FR"/>
        </w:rPr>
        <w:t>amendements, qui auront été émises avant le 1</w:t>
      </w:r>
      <w:r w:rsidRPr="00E45B74">
        <w:rPr>
          <w:vertAlign w:val="superscript"/>
          <w:lang w:val="fr-FR"/>
        </w:rPr>
        <w:t>er</w:t>
      </w:r>
      <w:r>
        <w:rPr>
          <w:lang w:val="fr-FR"/>
        </w:rPr>
        <w:t xml:space="preserve"> </w:t>
      </w:r>
      <w:r w:rsidRPr="00E45B74">
        <w:rPr>
          <w:lang w:val="fr-FR"/>
        </w:rPr>
        <w:t>septembre 2019</w:t>
      </w:r>
      <w:r>
        <w:rPr>
          <w:lang w:val="fr-FR"/>
        </w:rPr>
        <w:t>.</w:t>
      </w:r>
    </w:p>
    <w:p w:rsidR="00CF706E" w:rsidRPr="00B7515E" w:rsidRDefault="00A71237" w:rsidP="00A71237">
      <w:pPr>
        <w:pStyle w:val="SingleTxtG"/>
        <w:ind w:left="2268" w:hanging="1134"/>
      </w:pPr>
      <w:r>
        <w:rPr>
          <w:lang w:val="fr-FR"/>
        </w:rPr>
        <w:t>14.26</w:t>
      </w:r>
      <w:r>
        <w:rPr>
          <w:lang w:val="fr-FR"/>
        </w:rPr>
        <w:tab/>
        <w:t xml:space="preserve">À compter du </w:t>
      </w:r>
      <w:r w:rsidR="00CF706E">
        <w:rPr>
          <w:lang w:val="fr-FR"/>
        </w:rPr>
        <w:t>1</w:t>
      </w:r>
      <w:r w:rsidR="00CF706E" w:rsidRPr="00E45B74">
        <w:rPr>
          <w:vertAlign w:val="superscript"/>
          <w:lang w:val="fr-FR"/>
        </w:rPr>
        <w:t>er</w:t>
      </w:r>
      <w:r w:rsidR="00CF706E">
        <w:rPr>
          <w:lang w:val="fr-FR"/>
        </w:rPr>
        <w:t xml:space="preserve"> septembre 2025, </w:t>
      </w:r>
      <w:r w:rsidR="00CF706E" w:rsidRPr="00E45B74">
        <w:rPr>
          <w:lang w:val="fr-FR"/>
        </w:rPr>
        <w:t>les Parties contractantes appliquant le présent Règlement ne seront plus obligées d</w:t>
      </w:r>
      <w:r>
        <w:rPr>
          <w:lang w:val="fr-FR"/>
        </w:rPr>
        <w:t>’</w:t>
      </w:r>
      <w:r w:rsidR="00CF706E" w:rsidRPr="00E45B74">
        <w:rPr>
          <w:lang w:val="fr-FR"/>
        </w:rPr>
        <w:t>accepter les homologations de type accordées au titre de la série précédente d</w:t>
      </w:r>
      <w:r>
        <w:rPr>
          <w:lang w:val="fr-FR"/>
        </w:rPr>
        <w:t>’</w:t>
      </w:r>
      <w:r w:rsidR="00CF706E" w:rsidRPr="00E45B74">
        <w:rPr>
          <w:lang w:val="fr-FR"/>
        </w:rPr>
        <w:t>amendements au</w:t>
      </w:r>
      <w:r w:rsidR="00CF706E">
        <w:rPr>
          <w:lang w:val="fr-FR"/>
        </w:rPr>
        <w:t>dit</w:t>
      </w:r>
      <w:r w:rsidR="00CF706E" w:rsidRPr="00E45B74">
        <w:rPr>
          <w:lang w:val="fr-FR"/>
        </w:rPr>
        <w:t xml:space="preserve"> Règlement</w:t>
      </w:r>
      <w:r w:rsidR="00CF706E">
        <w:rPr>
          <w:lang w:val="fr-FR"/>
        </w:rPr>
        <w:t>.</w:t>
      </w:r>
    </w:p>
    <w:p w:rsidR="00CF706E" w:rsidRPr="00B7515E" w:rsidRDefault="00CF706E" w:rsidP="00A71237">
      <w:pPr>
        <w:pStyle w:val="SingleTxtG"/>
        <w:ind w:left="2268" w:hanging="1134"/>
      </w:pPr>
      <w:r>
        <w:rPr>
          <w:lang w:val="fr-FR"/>
        </w:rPr>
        <w:t>14.27</w:t>
      </w:r>
      <w:r>
        <w:rPr>
          <w:lang w:val="fr-FR"/>
        </w:rPr>
        <w:tab/>
        <w:t>Nonobstant les dispositions transitoires ci-dessus, les Parties contractantes qui commenceront à appliquer le présent Règlement après la date d</w:t>
      </w:r>
      <w:r w:rsidR="00A71237">
        <w:rPr>
          <w:lang w:val="fr-FR"/>
        </w:rPr>
        <w:t>’</w:t>
      </w:r>
      <w:r>
        <w:rPr>
          <w:lang w:val="fr-FR"/>
        </w:rPr>
        <w:t>entrée en vigueur de la plus récente série d</w:t>
      </w:r>
      <w:r w:rsidR="00A71237">
        <w:rPr>
          <w:lang w:val="fr-FR"/>
        </w:rPr>
        <w:t>’</w:t>
      </w:r>
      <w:r>
        <w:rPr>
          <w:lang w:val="fr-FR"/>
        </w:rPr>
        <w:t>amendements ne seront pas obligées d</w:t>
      </w:r>
      <w:r w:rsidR="00A71237">
        <w:rPr>
          <w:lang w:val="fr-FR"/>
        </w:rPr>
        <w:t>’</w:t>
      </w:r>
      <w:r>
        <w:rPr>
          <w:lang w:val="fr-FR"/>
        </w:rPr>
        <w:t>accepter les homologations de type qui auront été accordées au titre de l</w:t>
      </w:r>
      <w:r w:rsidR="00A71237">
        <w:rPr>
          <w:lang w:val="fr-FR"/>
        </w:rPr>
        <w:t>’</w:t>
      </w:r>
      <w:r>
        <w:rPr>
          <w:lang w:val="fr-FR"/>
        </w:rPr>
        <w:t>une des précédentes séries d</w:t>
      </w:r>
      <w:r w:rsidR="00A71237">
        <w:rPr>
          <w:lang w:val="fr-FR"/>
        </w:rPr>
        <w:t>’</w:t>
      </w:r>
      <w:r>
        <w:rPr>
          <w:lang w:val="fr-FR"/>
        </w:rPr>
        <w:t>amendements au présent Règlement / seront simplement obligées d</w:t>
      </w:r>
      <w:r w:rsidR="00A71237">
        <w:rPr>
          <w:lang w:val="fr-FR"/>
        </w:rPr>
        <w:t>’</w:t>
      </w:r>
      <w:r>
        <w:rPr>
          <w:lang w:val="fr-FR"/>
        </w:rPr>
        <w:t>accepter les homologations de type accordées au titre de la série 09 d</w:t>
      </w:r>
      <w:r w:rsidR="00A71237">
        <w:rPr>
          <w:lang w:val="fr-FR"/>
        </w:rPr>
        <w:t>’</w:t>
      </w:r>
      <w:r>
        <w:rPr>
          <w:lang w:val="fr-FR"/>
        </w:rPr>
        <w:t>amendements.</w:t>
      </w:r>
    </w:p>
    <w:p w:rsidR="00CF706E" w:rsidRPr="00B7515E" w:rsidRDefault="00CF706E" w:rsidP="004F60F0">
      <w:pPr>
        <w:pStyle w:val="SingleTxtG"/>
        <w:keepLines/>
        <w:ind w:left="2268" w:hanging="1134"/>
      </w:pPr>
      <w:r>
        <w:rPr>
          <w:lang w:val="fr-FR"/>
        </w:rPr>
        <w:lastRenderedPageBreak/>
        <w:t>14.28</w:t>
      </w:r>
      <w:r>
        <w:rPr>
          <w:lang w:val="fr-FR"/>
        </w:rPr>
        <w:tab/>
        <w:t>Nonobstant le paragraphe 14.26, les Parties contractantes appliquant le présent Règlement continueront à accepter les homologations de type accordées au titre de la série précédente d</w:t>
      </w:r>
      <w:r w:rsidR="00A71237">
        <w:rPr>
          <w:lang w:val="fr-FR"/>
        </w:rPr>
        <w:t>’</w:t>
      </w:r>
      <w:r>
        <w:rPr>
          <w:lang w:val="fr-FR"/>
        </w:rPr>
        <w:t>amendements au Règlement, pour les véhicules et/ou les systèmes de véhicules qui ne seront pas affectés par les modifications introduites par la série 09 d</w:t>
      </w:r>
      <w:r w:rsidR="00A71237">
        <w:rPr>
          <w:lang w:val="fr-FR"/>
        </w:rPr>
        <w:t>’</w:t>
      </w:r>
      <w:r>
        <w:rPr>
          <w:lang w:val="fr-FR"/>
        </w:rPr>
        <w:t>amendements.</w:t>
      </w:r>
    </w:p>
    <w:p w:rsidR="00CF706E" w:rsidRPr="00B7515E" w:rsidRDefault="00CF706E" w:rsidP="00A71237">
      <w:pPr>
        <w:pStyle w:val="SingleTxtG"/>
        <w:ind w:left="2268" w:hanging="1134"/>
      </w:pPr>
      <w:r>
        <w:rPr>
          <w:lang w:val="fr-FR"/>
        </w:rPr>
        <w:t>14.29</w:t>
      </w:r>
      <w:r>
        <w:rPr>
          <w:lang w:val="fr-FR"/>
        </w:rPr>
        <w:tab/>
        <w:t>Les Parties contractantes appliquant le présent Règlement ne pourront refuser de délivrer des homologations de type au titre de l</w:t>
      </w:r>
      <w:r w:rsidR="00A71237">
        <w:rPr>
          <w:lang w:val="fr-FR"/>
        </w:rPr>
        <w:t>’</w:t>
      </w:r>
      <w:r>
        <w:rPr>
          <w:lang w:val="fr-FR"/>
        </w:rPr>
        <w:t>une quelconque des précédentes séries d</w:t>
      </w:r>
      <w:r w:rsidR="00A71237">
        <w:rPr>
          <w:lang w:val="fr-FR"/>
        </w:rPr>
        <w:t>’</w:t>
      </w:r>
      <w:r>
        <w:rPr>
          <w:lang w:val="fr-FR"/>
        </w:rPr>
        <w:t>amendements audit Règlement, ou d</w:t>
      </w:r>
      <w:r w:rsidR="00A71237">
        <w:rPr>
          <w:lang w:val="fr-FR"/>
        </w:rPr>
        <w:t>’</w:t>
      </w:r>
      <w:r>
        <w:rPr>
          <w:lang w:val="fr-FR"/>
        </w:rPr>
        <w:t>accorder des extensions pour les homologations en question.</w:t>
      </w:r>
    </w:p>
    <w:p w:rsidR="00CF706E" w:rsidRPr="00B7515E" w:rsidRDefault="00CF706E" w:rsidP="00A71237">
      <w:pPr>
        <w:pStyle w:val="SingleTxtG"/>
      </w:pPr>
      <w:r w:rsidRPr="00556DDF">
        <w:rPr>
          <w:i/>
          <w:lang w:val="fr-FR"/>
        </w:rPr>
        <w:t>Annexe 2</w:t>
      </w:r>
      <w:r w:rsidR="00A71237">
        <w:rPr>
          <w:lang w:val="fr-FR"/>
        </w:rPr>
        <w:t>, lire </w:t>
      </w:r>
      <w:r>
        <w:rPr>
          <w:lang w:val="fr-FR"/>
        </w:rPr>
        <w:t>:</w:t>
      </w:r>
    </w:p>
    <w:p w:rsidR="00CF706E" w:rsidRPr="00B7515E" w:rsidRDefault="00391C43" w:rsidP="00391C43">
      <w:pPr>
        <w:pStyle w:val="HChG"/>
      </w:pPr>
      <w:r>
        <w:rPr>
          <w:lang w:val="fr-FR"/>
        </w:rPr>
        <w:tab/>
      </w:r>
      <w:r>
        <w:rPr>
          <w:lang w:val="fr-FR"/>
        </w:rPr>
        <w:tab/>
      </w:r>
      <w:r w:rsidR="00CF706E" w:rsidRPr="004841FB">
        <w:rPr>
          <w:lang w:val="fr-FR"/>
        </w:rPr>
        <w:t>« </w:t>
      </w:r>
      <w:r w:rsidR="00CF706E">
        <w:rPr>
          <w:lang w:val="fr-FR"/>
        </w:rPr>
        <w:t>Exemples de marques d</w:t>
      </w:r>
      <w:r w:rsidR="00A71237">
        <w:rPr>
          <w:lang w:val="fr-FR"/>
        </w:rPr>
        <w:t>’</w:t>
      </w:r>
      <w:r w:rsidR="00CF706E">
        <w:rPr>
          <w:lang w:val="fr-FR"/>
        </w:rPr>
        <w:t>homologation</w:t>
      </w:r>
    </w:p>
    <w:p w:rsidR="00A71237" w:rsidRDefault="00CF706E" w:rsidP="00A71237">
      <w:pPr>
        <w:pStyle w:val="SingleTxtG"/>
        <w:kinsoku/>
        <w:overflowPunct/>
        <w:autoSpaceDE/>
        <w:autoSpaceDN/>
        <w:adjustRightInd/>
        <w:snapToGrid/>
        <w:spacing w:after="0"/>
        <w:rPr>
          <w:lang w:val="fr-FR"/>
        </w:rPr>
      </w:pPr>
      <w:r>
        <w:rPr>
          <w:lang w:val="fr-FR"/>
        </w:rPr>
        <w:t>Modèle A</w:t>
      </w:r>
    </w:p>
    <w:p w:rsidR="00CF706E" w:rsidRDefault="00CF706E" w:rsidP="00A71237">
      <w:pPr>
        <w:pStyle w:val="SingleTxtG"/>
        <w:kinsoku/>
        <w:overflowPunct/>
        <w:autoSpaceDE/>
        <w:autoSpaceDN/>
        <w:adjustRightInd/>
        <w:snapToGrid/>
        <w:rPr>
          <w:lang w:val="fr-FR"/>
        </w:rPr>
      </w:pPr>
      <w:r>
        <w:rPr>
          <w:lang w:val="fr-FR"/>
        </w:rPr>
        <w:t>(Voir le paragraphe 4.4 du présent Règlement)</w:t>
      </w:r>
    </w:p>
    <w:p w:rsidR="005909E8" w:rsidRDefault="005909E8" w:rsidP="00A71237">
      <w:pPr>
        <w:pStyle w:val="SingleTxtG"/>
        <w:kinsoku/>
        <w:overflowPunct/>
        <w:autoSpaceDE/>
        <w:autoSpaceDN/>
        <w:adjustRightInd/>
        <w:snapToGrid/>
        <w:rPr>
          <w:lang w:val="fr-FR"/>
        </w:rPr>
      </w:pPr>
      <w:r w:rsidRPr="001B670B">
        <w:rPr>
          <w:noProof/>
          <w:lang w:eastAsia="fr-CH"/>
        </w:rPr>
        <w:drawing>
          <wp:inline distT="0" distB="0" distL="0" distR="0" wp14:anchorId="342F5E16" wp14:editId="18394F48">
            <wp:extent cx="4626581" cy="946150"/>
            <wp:effectExtent l="0" t="0" r="3175"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03833" cy="961948"/>
                    </a:xfrm>
                    <a:prstGeom prst="rect">
                      <a:avLst/>
                    </a:prstGeom>
                  </pic:spPr>
                </pic:pic>
              </a:graphicData>
            </a:graphic>
          </wp:inline>
        </w:drawing>
      </w:r>
    </w:p>
    <w:p w:rsidR="00CF706E" w:rsidRPr="00B7515E" w:rsidRDefault="00CF706E" w:rsidP="007220BD">
      <w:pPr>
        <w:pStyle w:val="SingleTxtG"/>
        <w:kinsoku/>
        <w:overflowPunct/>
        <w:autoSpaceDE/>
        <w:autoSpaceDN/>
        <w:adjustRightInd/>
        <w:snapToGrid/>
        <w:spacing w:before="240" w:after="240"/>
        <w:ind w:firstLine="567"/>
      </w:pPr>
      <w:r>
        <w:rPr>
          <w:lang w:val="fr-FR"/>
        </w:rPr>
        <w:t>La marque d</w:t>
      </w:r>
      <w:r w:rsidR="00A71237">
        <w:rPr>
          <w:lang w:val="fr-FR"/>
        </w:rPr>
        <w:t>’</w:t>
      </w:r>
      <w:r>
        <w:rPr>
          <w:lang w:val="fr-FR"/>
        </w:rPr>
        <w:t xml:space="preserve">homologation ci-dessus, apposée sur un véhicule, indique que le type de ce véhicule a été homologué aux Pays-Bas (E4) en ce qui concerne les ancrages de ceinture de sécurité, en application du Règlement </w:t>
      </w:r>
      <w:r w:rsidR="003E535A">
        <w:rPr>
          <w:lang w:val="fr-FR"/>
        </w:rPr>
        <w:t xml:space="preserve">ONU </w:t>
      </w:r>
      <w:r>
        <w:rPr>
          <w:lang w:val="fr-FR"/>
        </w:rPr>
        <w:t>n</w:t>
      </w:r>
      <w:r w:rsidRPr="004841FB">
        <w:rPr>
          <w:vertAlign w:val="superscript"/>
          <w:lang w:val="fr-FR"/>
        </w:rPr>
        <w:t>o</w:t>
      </w:r>
      <w:r w:rsidR="00A71237">
        <w:rPr>
          <w:lang w:val="fr-FR"/>
        </w:rPr>
        <w:t> </w:t>
      </w:r>
      <w:r>
        <w:rPr>
          <w:lang w:val="fr-FR"/>
        </w:rPr>
        <w:t>14, sous le numéro 092439. Les deux premiers chiffres du numéro d</w:t>
      </w:r>
      <w:r w:rsidR="00A71237">
        <w:rPr>
          <w:lang w:val="fr-FR"/>
        </w:rPr>
        <w:t>’</w:t>
      </w:r>
      <w:r>
        <w:rPr>
          <w:lang w:val="fr-FR"/>
        </w:rPr>
        <w:t xml:space="preserve">homologation signifient que le Règlement </w:t>
      </w:r>
      <w:r w:rsidR="003E535A">
        <w:rPr>
          <w:lang w:val="fr-FR"/>
        </w:rPr>
        <w:t xml:space="preserve">ONU </w:t>
      </w:r>
      <w:r>
        <w:rPr>
          <w:lang w:val="fr-FR"/>
        </w:rPr>
        <w:t>n</w:t>
      </w:r>
      <w:r w:rsidRPr="004841FB">
        <w:rPr>
          <w:vertAlign w:val="superscript"/>
          <w:lang w:val="fr-FR"/>
        </w:rPr>
        <w:t>o</w:t>
      </w:r>
      <w:r w:rsidR="00A71237">
        <w:rPr>
          <w:lang w:val="fr-FR"/>
        </w:rPr>
        <w:t> </w:t>
      </w:r>
      <w:r>
        <w:rPr>
          <w:lang w:val="fr-FR"/>
        </w:rPr>
        <w:t>14 comprenait déjà la série 09 d</w:t>
      </w:r>
      <w:r w:rsidR="00A71237">
        <w:rPr>
          <w:lang w:val="fr-FR"/>
        </w:rPr>
        <w:t>’</w:t>
      </w:r>
      <w:r>
        <w:rPr>
          <w:lang w:val="fr-FR"/>
        </w:rPr>
        <w:t>amendements lorsque l</w:t>
      </w:r>
      <w:r w:rsidR="00A71237">
        <w:rPr>
          <w:lang w:val="fr-FR"/>
        </w:rPr>
        <w:t>’</w:t>
      </w:r>
      <w:r>
        <w:rPr>
          <w:lang w:val="fr-FR"/>
        </w:rPr>
        <w:t>homologation a été délivrée.</w:t>
      </w:r>
    </w:p>
    <w:p w:rsidR="00A71237" w:rsidRDefault="00CF706E" w:rsidP="00A71237">
      <w:pPr>
        <w:pStyle w:val="SingleTxtG"/>
        <w:kinsoku/>
        <w:overflowPunct/>
        <w:autoSpaceDE/>
        <w:autoSpaceDN/>
        <w:adjustRightInd/>
        <w:snapToGrid/>
        <w:spacing w:after="0"/>
        <w:rPr>
          <w:lang w:val="fr-FR"/>
        </w:rPr>
      </w:pPr>
      <w:r>
        <w:rPr>
          <w:lang w:val="fr-FR"/>
        </w:rPr>
        <w:t>Modèle B</w:t>
      </w:r>
    </w:p>
    <w:p w:rsidR="00CF706E" w:rsidRDefault="00CF706E" w:rsidP="00A71237">
      <w:pPr>
        <w:pStyle w:val="SingleTxtG"/>
        <w:kinsoku/>
        <w:overflowPunct/>
        <w:autoSpaceDE/>
        <w:autoSpaceDN/>
        <w:adjustRightInd/>
        <w:snapToGrid/>
        <w:rPr>
          <w:lang w:val="fr-FR"/>
        </w:rPr>
      </w:pPr>
      <w:r>
        <w:rPr>
          <w:lang w:val="fr-FR"/>
        </w:rPr>
        <w:t>(Voir le paragraphe 4.5 du présent Règlement)</w:t>
      </w:r>
    </w:p>
    <w:p w:rsidR="005909E8" w:rsidRDefault="005909E8" w:rsidP="00A71237">
      <w:pPr>
        <w:pStyle w:val="SingleTxtG"/>
        <w:kinsoku/>
        <w:overflowPunct/>
        <w:autoSpaceDE/>
        <w:autoSpaceDN/>
        <w:adjustRightInd/>
        <w:snapToGrid/>
        <w:rPr>
          <w:lang w:val="fr-FR"/>
        </w:rPr>
      </w:pPr>
      <w:r w:rsidRPr="001B670B">
        <w:rPr>
          <w:noProof/>
          <w:lang w:eastAsia="fr-CH"/>
        </w:rPr>
        <w:drawing>
          <wp:inline distT="0" distB="0" distL="0" distR="0" wp14:anchorId="095B4A58" wp14:editId="0E3FB9C2">
            <wp:extent cx="4643270" cy="984250"/>
            <wp:effectExtent l="0" t="0" r="508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97393" cy="995723"/>
                    </a:xfrm>
                    <a:prstGeom prst="rect">
                      <a:avLst/>
                    </a:prstGeom>
                  </pic:spPr>
                </pic:pic>
              </a:graphicData>
            </a:graphic>
          </wp:inline>
        </w:drawing>
      </w:r>
    </w:p>
    <w:p w:rsidR="00CF706E" w:rsidRPr="00B7515E" w:rsidRDefault="00CF706E" w:rsidP="007220BD">
      <w:pPr>
        <w:pStyle w:val="SingleTxtG"/>
        <w:kinsoku/>
        <w:overflowPunct/>
        <w:autoSpaceDE/>
        <w:autoSpaceDN/>
        <w:adjustRightInd/>
        <w:snapToGrid/>
        <w:spacing w:before="240" w:after="240"/>
        <w:ind w:firstLine="567"/>
      </w:pPr>
      <w:r>
        <w:rPr>
          <w:lang w:val="fr-FR"/>
        </w:rPr>
        <w:t>La marque d</w:t>
      </w:r>
      <w:r w:rsidR="00A71237">
        <w:rPr>
          <w:lang w:val="fr-FR"/>
        </w:rPr>
        <w:t>’</w:t>
      </w:r>
      <w:r>
        <w:rPr>
          <w:lang w:val="fr-FR"/>
        </w:rPr>
        <w:t xml:space="preserve">homologation ci-dessus, apposée sur un véhicule, indique que le type de ce véhicule a été homologué aux Pays-Bas (E4), en application des Règlements </w:t>
      </w:r>
      <w:r w:rsidR="003E535A">
        <w:rPr>
          <w:lang w:val="fr-FR"/>
        </w:rPr>
        <w:t xml:space="preserve">ONU </w:t>
      </w:r>
      <w:r>
        <w:rPr>
          <w:lang w:val="fr-FR"/>
        </w:rPr>
        <w:t>n</w:t>
      </w:r>
      <w:r w:rsidRPr="004841FB">
        <w:rPr>
          <w:vertAlign w:val="superscript"/>
          <w:lang w:val="fr-FR"/>
        </w:rPr>
        <w:t>os</w:t>
      </w:r>
      <w:r w:rsidR="00A71237">
        <w:rPr>
          <w:lang w:val="fr-FR"/>
        </w:rPr>
        <w:t> </w:t>
      </w:r>
      <w:r>
        <w:rPr>
          <w:lang w:val="fr-FR"/>
        </w:rPr>
        <w:t>14 et 24*</w:t>
      </w:r>
      <w:r w:rsidR="000E2506">
        <w:rPr>
          <w:lang w:val="fr-FR"/>
        </w:rPr>
        <w:t>**</w:t>
      </w:r>
      <w:r>
        <w:rPr>
          <w:lang w:val="fr-FR"/>
        </w:rPr>
        <w:t>. (Dans le cas de ce dernier Règlement, la valeur corrigée du co</w:t>
      </w:r>
      <w:r w:rsidR="00A71237">
        <w:rPr>
          <w:lang w:val="fr-FR"/>
        </w:rPr>
        <w:t>efficient d’absorption est 1,30 </w:t>
      </w:r>
      <w:r>
        <w:rPr>
          <w:lang w:val="fr-FR"/>
        </w:rPr>
        <w:t>m</w:t>
      </w:r>
      <w:r w:rsidRPr="004841FB">
        <w:rPr>
          <w:vertAlign w:val="superscript"/>
          <w:lang w:val="fr-FR"/>
        </w:rPr>
        <w:t>-1</w:t>
      </w:r>
      <w:r>
        <w:rPr>
          <w:lang w:val="fr-FR"/>
        </w:rPr>
        <w:t>.) Les numéros d</w:t>
      </w:r>
      <w:r w:rsidR="00A71237">
        <w:rPr>
          <w:lang w:val="fr-FR"/>
        </w:rPr>
        <w:t>’</w:t>
      </w:r>
      <w:r>
        <w:rPr>
          <w:lang w:val="fr-FR"/>
        </w:rPr>
        <w:t>homologation signifient qu</w:t>
      </w:r>
      <w:r w:rsidR="00A71237">
        <w:rPr>
          <w:lang w:val="fr-FR"/>
        </w:rPr>
        <w:t>’</w:t>
      </w:r>
      <w:r>
        <w:rPr>
          <w:lang w:val="fr-FR"/>
        </w:rPr>
        <w:t xml:space="preserve">aux dates où ces homologations ont été accordées, le Règlement </w:t>
      </w:r>
      <w:r w:rsidR="00326942">
        <w:rPr>
          <w:lang w:val="fr-FR"/>
        </w:rPr>
        <w:t xml:space="preserve">ONU </w:t>
      </w:r>
      <w:r>
        <w:rPr>
          <w:lang w:val="fr-FR"/>
        </w:rPr>
        <w:t>n</w:t>
      </w:r>
      <w:r w:rsidRPr="004841FB">
        <w:rPr>
          <w:vertAlign w:val="superscript"/>
          <w:lang w:val="fr-FR"/>
        </w:rPr>
        <w:t>o</w:t>
      </w:r>
      <w:r w:rsidR="00A71237">
        <w:rPr>
          <w:lang w:val="fr-FR"/>
        </w:rPr>
        <w:t> </w:t>
      </w:r>
      <w:r>
        <w:rPr>
          <w:lang w:val="fr-FR"/>
        </w:rPr>
        <w:t>14 incluait la série 09 d</w:t>
      </w:r>
      <w:r w:rsidR="00A71237">
        <w:rPr>
          <w:lang w:val="fr-FR"/>
        </w:rPr>
        <w:t>’</w:t>
      </w:r>
      <w:r>
        <w:rPr>
          <w:lang w:val="fr-FR"/>
        </w:rPr>
        <w:t xml:space="preserve">amendements et le Règlement </w:t>
      </w:r>
      <w:r w:rsidR="003E535A">
        <w:rPr>
          <w:lang w:val="fr-FR"/>
        </w:rPr>
        <w:t xml:space="preserve">ONU </w:t>
      </w:r>
      <w:r>
        <w:rPr>
          <w:lang w:val="fr-FR"/>
        </w:rPr>
        <w:t>n</w:t>
      </w:r>
      <w:r w:rsidRPr="004841FB">
        <w:rPr>
          <w:vertAlign w:val="superscript"/>
          <w:lang w:val="fr-FR"/>
        </w:rPr>
        <w:t>o</w:t>
      </w:r>
      <w:r w:rsidR="00A71237">
        <w:rPr>
          <w:lang w:val="fr-FR"/>
        </w:rPr>
        <w:t> </w:t>
      </w:r>
      <w:r>
        <w:rPr>
          <w:lang w:val="fr-FR"/>
        </w:rPr>
        <w:t>24 était dans sa série 03 d</w:t>
      </w:r>
      <w:r w:rsidR="00A71237">
        <w:rPr>
          <w:lang w:val="fr-FR"/>
        </w:rPr>
        <w:t>’</w:t>
      </w:r>
      <w:r>
        <w:rPr>
          <w:lang w:val="fr-FR"/>
        </w:rPr>
        <w:t>amendements. ».</w:t>
      </w:r>
    </w:p>
    <w:p w:rsidR="00C30D22" w:rsidRPr="001B670B" w:rsidRDefault="00C30D22" w:rsidP="00C30D22">
      <w:pPr>
        <w:pStyle w:val="SingleTxtG"/>
        <w:ind w:left="624"/>
      </w:pPr>
      <w:r w:rsidRPr="001B670B">
        <w:t>_______________</w:t>
      </w:r>
    </w:p>
    <w:p w:rsidR="00C30D22" w:rsidRPr="001B670B" w:rsidRDefault="00C30D22" w:rsidP="00C30D22">
      <w:pPr>
        <w:pStyle w:val="FootnoteText"/>
      </w:pPr>
      <w:r w:rsidRPr="001B670B">
        <w:rPr>
          <w:sz w:val="20"/>
        </w:rPr>
        <w:tab/>
        <w:t>*</w:t>
      </w:r>
      <w:r w:rsidR="000E2506">
        <w:rPr>
          <w:sz w:val="20"/>
        </w:rPr>
        <w:t>**</w:t>
      </w:r>
      <w:r w:rsidRPr="001B670B">
        <w:rPr>
          <w:sz w:val="20"/>
        </w:rPr>
        <w:tab/>
      </w:r>
      <w:r w:rsidRPr="001B670B">
        <w:t>Le deuxième numéro n’est donné qu’à titre d’exemple.</w:t>
      </w:r>
    </w:p>
    <w:p w:rsidR="00A71237" w:rsidRPr="00A71237" w:rsidRDefault="00A71237" w:rsidP="00A71237">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A71237" w:rsidRPr="00A71237" w:rsidSect="00CF706E">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2F7" w:rsidRDefault="002A62F7" w:rsidP="00F95C08">
      <w:pPr>
        <w:spacing w:line="240" w:lineRule="auto"/>
      </w:pPr>
    </w:p>
  </w:endnote>
  <w:endnote w:type="continuationSeparator" w:id="0">
    <w:p w:rsidR="002A62F7" w:rsidRPr="00AC3823" w:rsidRDefault="002A62F7" w:rsidP="00AC3823">
      <w:pPr>
        <w:pStyle w:val="Footer"/>
      </w:pPr>
    </w:p>
  </w:endnote>
  <w:endnote w:type="continuationNotice" w:id="1">
    <w:p w:rsidR="002A62F7" w:rsidRDefault="002A62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06E" w:rsidRPr="00CF706E" w:rsidRDefault="00CF706E" w:rsidP="00CF706E">
    <w:pPr>
      <w:pStyle w:val="Footer"/>
      <w:tabs>
        <w:tab w:val="right" w:pos="9638"/>
      </w:tabs>
    </w:pPr>
    <w:r w:rsidRPr="00CF706E">
      <w:rPr>
        <w:b/>
        <w:sz w:val="18"/>
      </w:rPr>
      <w:fldChar w:fldCharType="begin"/>
    </w:r>
    <w:r w:rsidRPr="00CF706E">
      <w:rPr>
        <w:b/>
        <w:sz w:val="18"/>
      </w:rPr>
      <w:instrText xml:space="preserve"> PAGE  \* MERGEFORMAT </w:instrText>
    </w:r>
    <w:r w:rsidRPr="00CF706E">
      <w:rPr>
        <w:b/>
        <w:sz w:val="18"/>
      </w:rPr>
      <w:fldChar w:fldCharType="separate"/>
    </w:r>
    <w:r w:rsidR="00671751">
      <w:rPr>
        <w:b/>
        <w:noProof/>
        <w:sz w:val="18"/>
      </w:rPr>
      <w:t>2</w:t>
    </w:r>
    <w:r w:rsidRPr="00CF706E">
      <w:rPr>
        <w:b/>
        <w:sz w:val="18"/>
      </w:rPr>
      <w:fldChar w:fldCharType="end"/>
    </w:r>
    <w:r>
      <w:rPr>
        <w:b/>
        <w:sz w:val="18"/>
      </w:rPr>
      <w:tab/>
    </w:r>
    <w:r>
      <w:t>GE.18-05515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06E" w:rsidRPr="00CF706E" w:rsidRDefault="00CF706E" w:rsidP="00CF706E">
    <w:pPr>
      <w:pStyle w:val="Footer"/>
      <w:tabs>
        <w:tab w:val="right" w:pos="9638"/>
      </w:tabs>
      <w:rPr>
        <w:b/>
        <w:sz w:val="18"/>
      </w:rPr>
    </w:pPr>
    <w:r>
      <w:t>GE.18-05515</w:t>
    </w:r>
    <w:r>
      <w:tab/>
    </w:r>
    <w:r w:rsidRPr="00CF706E">
      <w:rPr>
        <w:b/>
        <w:sz w:val="18"/>
      </w:rPr>
      <w:fldChar w:fldCharType="begin"/>
    </w:r>
    <w:r w:rsidRPr="00CF706E">
      <w:rPr>
        <w:b/>
        <w:sz w:val="18"/>
      </w:rPr>
      <w:instrText xml:space="preserve"> PAGE  \* MERGEFORMAT </w:instrText>
    </w:r>
    <w:r w:rsidRPr="00CF706E">
      <w:rPr>
        <w:b/>
        <w:sz w:val="18"/>
      </w:rPr>
      <w:fldChar w:fldCharType="separate"/>
    </w:r>
    <w:r w:rsidR="00671751">
      <w:rPr>
        <w:b/>
        <w:noProof/>
        <w:sz w:val="18"/>
      </w:rPr>
      <w:t>3</w:t>
    </w:r>
    <w:r w:rsidRPr="00CF706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CF706E" w:rsidRDefault="00CF706E" w:rsidP="00CF706E">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05515  (</w:t>
    </w:r>
    <w:proofErr w:type="gramEnd"/>
    <w:r>
      <w:rPr>
        <w:sz w:val="20"/>
      </w:rPr>
      <w:t>F)    170418    030518</w:t>
    </w:r>
    <w:r>
      <w:rPr>
        <w:sz w:val="20"/>
      </w:rPr>
      <w:br/>
    </w:r>
    <w:r w:rsidRPr="00CF706E">
      <w:rPr>
        <w:rFonts w:ascii="C39T30Lfz" w:hAnsi="C39T30Lfz"/>
        <w:sz w:val="56"/>
      </w:rPr>
      <w:t></w:t>
    </w:r>
    <w:r w:rsidRPr="00CF706E">
      <w:rPr>
        <w:rFonts w:ascii="C39T30Lfz" w:hAnsi="C39T30Lfz"/>
        <w:sz w:val="56"/>
      </w:rPr>
      <w:t></w:t>
    </w:r>
    <w:r w:rsidRPr="00CF706E">
      <w:rPr>
        <w:rFonts w:ascii="C39T30Lfz" w:hAnsi="C39T30Lfz"/>
        <w:sz w:val="56"/>
      </w:rPr>
      <w:t></w:t>
    </w:r>
    <w:r w:rsidRPr="00CF706E">
      <w:rPr>
        <w:rFonts w:ascii="C39T30Lfz" w:hAnsi="C39T30Lfz"/>
        <w:sz w:val="56"/>
      </w:rPr>
      <w:t></w:t>
    </w:r>
    <w:r w:rsidRPr="00CF706E">
      <w:rPr>
        <w:rFonts w:ascii="C39T30Lfz" w:hAnsi="C39T30Lfz"/>
        <w:sz w:val="56"/>
      </w:rPr>
      <w:t></w:t>
    </w:r>
    <w:r w:rsidRPr="00CF706E">
      <w:rPr>
        <w:rFonts w:ascii="C39T30Lfz" w:hAnsi="C39T30Lfz"/>
        <w:sz w:val="56"/>
      </w:rPr>
      <w:t></w:t>
    </w:r>
    <w:r w:rsidRPr="00CF706E">
      <w:rPr>
        <w:rFonts w:ascii="C39T30Lfz" w:hAnsi="C39T30Lfz"/>
        <w:sz w:val="56"/>
      </w:rPr>
      <w:t></w:t>
    </w:r>
    <w:r w:rsidRPr="00CF706E">
      <w:rPr>
        <w:rFonts w:ascii="C39T30Lfz" w:hAnsi="C39T30Lfz"/>
        <w:sz w:val="56"/>
      </w:rPr>
      <w:t></w:t>
    </w:r>
    <w:r w:rsidRPr="00CF706E">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8/4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4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2F7" w:rsidRPr="00AC3823" w:rsidRDefault="002A62F7" w:rsidP="00AC3823">
      <w:pPr>
        <w:pStyle w:val="Footer"/>
        <w:tabs>
          <w:tab w:val="right" w:pos="2155"/>
        </w:tabs>
        <w:spacing w:after="80" w:line="240" w:lineRule="atLeast"/>
        <w:ind w:left="680"/>
        <w:rPr>
          <w:u w:val="single"/>
        </w:rPr>
      </w:pPr>
      <w:r>
        <w:rPr>
          <w:u w:val="single"/>
        </w:rPr>
        <w:tab/>
      </w:r>
    </w:p>
  </w:footnote>
  <w:footnote w:type="continuationSeparator" w:id="0">
    <w:p w:rsidR="002A62F7" w:rsidRPr="00AC3823" w:rsidRDefault="002A62F7" w:rsidP="00AC3823">
      <w:pPr>
        <w:pStyle w:val="Footer"/>
        <w:tabs>
          <w:tab w:val="right" w:pos="2155"/>
        </w:tabs>
        <w:spacing w:after="80" w:line="240" w:lineRule="atLeast"/>
        <w:ind w:left="680"/>
        <w:rPr>
          <w:u w:val="single"/>
        </w:rPr>
      </w:pPr>
      <w:r>
        <w:rPr>
          <w:u w:val="single"/>
        </w:rPr>
        <w:tab/>
      </w:r>
    </w:p>
  </w:footnote>
  <w:footnote w:type="continuationNotice" w:id="1">
    <w:p w:rsidR="002A62F7" w:rsidRPr="00AC3823" w:rsidRDefault="002A62F7">
      <w:pPr>
        <w:spacing w:line="240" w:lineRule="auto"/>
        <w:rPr>
          <w:sz w:val="2"/>
          <w:szCs w:val="2"/>
        </w:rPr>
      </w:pPr>
    </w:p>
  </w:footnote>
  <w:footnote w:id="2">
    <w:p w:rsidR="00A11CED" w:rsidRPr="00A11CED" w:rsidRDefault="00A11CED">
      <w:pPr>
        <w:pStyle w:val="FootnoteText"/>
        <w:rPr>
          <w:szCs w:val="18"/>
        </w:rPr>
      </w:pPr>
      <w:r>
        <w:rPr>
          <w:rStyle w:val="FootnoteReference"/>
        </w:rPr>
        <w:tab/>
      </w:r>
      <w:r w:rsidRPr="00A11CED">
        <w:rPr>
          <w:rStyle w:val="FootnoteReference"/>
          <w:sz w:val="20"/>
          <w:vertAlign w:val="baseline"/>
        </w:rPr>
        <w:t>*</w:t>
      </w:r>
      <w:r>
        <w:rPr>
          <w:rStyle w:val="FootnoteReference"/>
          <w:sz w:val="20"/>
          <w:vertAlign w:val="baseline"/>
        </w:rPr>
        <w:tab/>
      </w:r>
      <w:r w:rsidRPr="00A11CED">
        <w:rPr>
          <w:szCs w:val="18"/>
        </w:rPr>
        <w:t>Nouveau tirage pour raisons techniques (9 mai 2018).</w:t>
      </w:r>
    </w:p>
  </w:footnote>
  <w:footnote w:id="3">
    <w:p w:rsidR="00CF706E" w:rsidRDefault="00CF706E" w:rsidP="00CF706E">
      <w:pPr>
        <w:pStyle w:val="FootnoteText"/>
      </w:pPr>
      <w:r>
        <w:rPr>
          <w:lang w:val="fr-FR"/>
        </w:rPr>
        <w:tab/>
      </w:r>
      <w:r w:rsidRPr="00A11CED">
        <w:rPr>
          <w:sz w:val="20"/>
          <w:lang w:val="fr-FR"/>
        </w:rPr>
        <w:t>*</w:t>
      </w:r>
      <w:r w:rsidR="00A11CED" w:rsidRPr="00A11CED">
        <w:rPr>
          <w:sz w:val="20"/>
          <w:lang w:val="fr-FR"/>
        </w:rPr>
        <w:t>*</w:t>
      </w:r>
      <w:r>
        <w:rPr>
          <w:lang w:val="fr-FR"/>
        </w:rPr>
        <w:tab/>
        <w:t xml:space="preserve">Conformément au programme de travail du Comité des transports </w:t>
      </w:r>
      <w:r w:rsidR="009260EC">
        <w:rPr>
          <w:lang w:val="fr-FR"/>
        </w:rPr>
        <w:t>intérieurs pour la période 2018</w:t>
      </w:r>
      <w:r w:rsidR="009260EC">
        <w:rPr>
          <w:lang w:val="fr-FR"/>
        </w:rPr>
        <w:noBreakHyphen/>
        <w:t>2019 (ECE/TRANS/274, par. </w:t>
      </w:r>
      <w:r>
        <w:rPr>
          <w:lang w:val="fr-FR"/>
        </w:rPr>
        <w:t>123, et ECE/TRANS/2018/21/Add.1, module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06E" w:rsidRPr="00CF706E" w:rsidRDefault="00236AEF">
    <w:pPr>
      <w:pStyle w:val="Header"/>
    </w:pPr>
    <w:fldSimple w:instr=" TITLE  \* MERGEFORMAT ">
      <w:r>
        <w:t>ECE/TRANS/WP.29/2018/44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06E" w:rsidRPr="00CF706E" w:rsidRDefault="00236AEF" w:rsidP="00CF706E">
    <w:pPr>
      <w:pStyle w:val="Header"/>
      <w:jc w:val="right"/>
    </w:pPr>
    <w:fldSimple w:instr=" TITLE  \* MERGEFORMAT ">
      <w:r>
        <w:t>ECE/TRANS/WP.29/2018/44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2F7"/>
    <w:rsid w:val="00017F94"/>
    <w:rsid w:val="00023842"/>
    <w:rsid w:val="000334F9"/>
    <w:rsid w:val="00045FEB"/>
    <w:rsid w:val="0007796D"/>
    <w:rsid w:val="000B7790"/>
    <w:rsid w:val="000E2506"/>
    <w:rsid w:val="00111F2F"/>
    <w:rsid w:val="0014365E"/>
    <w:rsid w:val="00143C66"/>
    <w:rsid w:val="00176178"/>
    <w:rsid w:val="001F525A"/>
    <w:rsid w:val="00223272"/>
    <w:rsid w:val="00236AEF"/>
    <w:rsid w:val="00246C74"/>
    <w:rsid w:val="0024779E"/>
    <w:rsid w:val="00257168"/>
    <w:rsid w:val="002744B8"/>
    <w:rsid w:val="002832AC"/>
    <w:rsid w:val="002A62F7"/>
    <w:rsid w:val="002D7C93"/>
    <w:rsid w:val="00305801"/>
    <w:rsid w:val="00313D0F"/>
    <w:rsid w:val="00326942"/>
    <w:rsid w:val="003916DE"/>
    <w:rsid w:val="00391C43"/>
    <w:rsid w:val="003E535A"/>
    <w:rsid w:val="00441C3B"/>
    <w:rsid w:val="00446FE5"/>
    <w:rsid w:val="00452396"/>
    <w:rsid w:val="004837D8"/>
    <w:rsid w:val="004E468C"/>
    <w:rsid w:val="004F60F0"/>
    <w:rsid w:val="005505B7"/>
    <w:rsid w:val="00573BE5"/>
    <w:rsid w:val="00586ED3"/>
    <w:rsid w:val="005909E8"/>
    <w:rsid w:val="00596AA9"/>
    <w:rsid w:val="00671751"/>
    <w:rsid w:val="006C1E85"/>
    <w:rsid w:val="0071601D"/>
    <w:rsid w:val="007220BD"/>
    <w:rsid w:val="007A62E6"/>
    <w:rsid w:val="007F20FA"/>
    <w:rsid w:val="0080684C"/>
    <w:rsid w:val="00871C75"/>
    <w:rsid w:val="008776DC"/>
    <w:rsid w:val="009260EC"/>
    <w:rsid w:val="009446C0"/>
    <w:rsid w:val="009705C8"/>
    <w:rsid w:val="00981D80"/>
    <w:rsid w:val="009C1CF4"/>
    <w:rsid w:val="009F6B74"/>
    <w:rsid w:val="00A11CED"/>
    <w:rsid w:val="00A30353"/>
    <w:rsid w:val="00A54381"/>
    <w:rsid w:val="00A55148"/>
    <w:rsid w:val="00A71237"/>
    <w:rsid w:val="00AC3823"/>
    <w:rsid w:val="00AE323C"/>
    <w:rsid w:val="00AF0CB5"/>
    <w:rsid w:val="00B00181"/>
    <w:rsid w:val="00B00B0D"/>
    <w:rsid w:val="00B765F7"/>
    <w:rsid w:val="00BA0CA9"/>
    <w:rsid w:val="00C02897"/>
    <w:rsid w:val="00C30D22"/>
    <w:rsid w:val="00C97039"/>
    <w:rsid w:val="00CD5A09"/>
    <w:rsid w:val="00CF706E"/>
    <w:rsid w:val="00D3439C"/>
    <w:rsid w:val="00DB1831"/>
    <w:rsid w:val="00DD3BFD"/>
    <w:rsid w:val="00DF6678"/>
    <w:rsid w:val="00E0299A"/>
    <w:rsid w:val="00E85C74"/>
    <w:rsid w:val="00E9779C"/>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569D687-F291-4A83-A48B-AF170B783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basedOn w:val="DefaultParagraphFont"/>
    <w:link w:val="SingleTxtG"/>
    <w:qFormat/>
    <w:rsid w:val="00A71237"/>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859</Words>
  <Characters>4899</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ECE/TRANS/WP.29/2018/44</vt:lpstr>
      <vt:lpstr>ECE/TRANS/WP.29/2018/44</vt:lpstr>
    </vt:vector>
  </TitlesOfParts>
  <Company>DCM</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ECE/TRANS/WP.29/2018/44</dc:title>
  <dc:subject/>
  <dc:creator>Sylvie LAMY</dc:creator>
  <cp:keywords/>
  <cp:lastModifiedBy>New</cp:lastModifiedBy>
  <cp:revision>2</cp:revision>
  <cp:lastPrinted>2018-05-09T08:35:00Z</cp:lastPrinted>
  <dcterms:created xsi:type="dcterms:W3CDTF">2018-05-14T14:04:00Z</dcterms:created>
  <dcterms:modified xsi:type="dcterms:W3CDTF">2018-05-14T14:04:00Z</dcterms:modified>
</cp:coreProperties>
</file>