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07C8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07C8B" w:rsidP="00307C8B">
            <w:pPr>
              <w:jc w:val="right"/>
            </w:pPr>
            <w:r w:rsidRPr="00307C8B">
              <w:rPr>
                <w:sz w:val="40"/>
              </w:rPr>
              <w:t>ECE</w:t>
            </w:r>
            <w:r>
              <w:t>/TRANS/WP.29/2018/21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07C8B" w:rsidP="00C97039">
            <w:pPr>
              <w:spacing w:before="240"/>
            </w:pPr>
            <w:r>
              <w:t>Distr. générale</w:t>
            </w:r>
          </w:p>
          <w:p w:rsidR="00307C8B" w:rsidRDefault="00307C8B" w:rsidP="00307C8B">
            <w:pPr>
              <w:spacing w:line="240" w:lineRule="exact"/>
            </w:pPr>
            <w:r>
              <w:t>28 décembre 2017</w:t>
            </w:r>
          </w:p>
          <w:p w:rsidR="00307C8B" w:rsidRDefault="00307C8B" w:rsidP="00307C8B">
            <w:pPr>
              <w:spacing w:line="240" w:lineRule="exact"/>
            </w:pPr>
            <w:r>
              <w:t>Français</w:t>
            </w:r>
          </w:p>
          <w:p w:rsidR="00307C8B" w:rsidRPr="00DB58B5" w:rsidRDefault="00307C8B" w:rsidP="00307C8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6410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3D7274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E767B" w:rsidRPr="003D7274" w:rsidRDefault="00EE767B" w:rsidP="003D7274">
      <w:pPr>
        <w:spacing w:after="120"/>
        <w:rPr>
          <w:b/>
          <w:sz w:val="24"/>
          <w:szCs w:val="24"/>
          <w:lang w:val="fr-FR"/>
        </w:rPr>
      </w:pPr>
      <w:r w:rsidRPr="003D7274">
        <w:rPr>
          <w:b/>
          <w:sz w:val="24"/>
          <w:szCs w:val="24"/>
          <w:lang w:val="fr-FR"/>
        </w:rPr>
        <w:t>F</w:t>
      </w:r>
      <w:r w:rsidR="003D7274" w:rsidRPr="003D7274">
        <w:rPr>
          <w:b/>
          <w:sz w:val="24"/>
          <w:szCs w:val="24"/>
          <w:lang w:val="fr-FR"/>
        </w:rPr>
        <w:t>orum mondial de l</w:t>
      </w:r>
      <w:r w:rsidR="0006410C">
        <w:rPr>
          <w:b/>
          <w:sz w:val="24"/>
          <w:szCs w:val="24"/>
          <w:lang w:val="fr-FR"/>
        </w:rPr>
        <w:t>’</w:t>
      </w:r>
      <w:r w:rsidR="003D7274" w:rsidRPr="003D7274">
        <w:rPr>
          <w:b/>
          <w:sz w:val="24"/>
          <w:szCs w:val="24"/>
          <w:lang w:val="fr-FR"/>
        </w:rPr>
        <w:t>harmonisation</w:t>
      </w:r>
      <w:r w:rsidR="003D7274" w:rsidRPr="003D7274">
        <w:rPr>
          <w:b/>
          <w:sz w:val="24"/>
          <w:szCs w:val="24"/>
          <w:lang w:val="fr-FR"/>
        </w:rPr>
        <w:br/>
      </w:r>
      <w:r w:rsidRPr="003D7274">
        <w:rPr>
          <w:b/>
          <w:sz w:val="24"/>
          <w:szCs w:val="24"/>
          <w:lang w:val="fr-FR"/>
        </w:rPr>
        <w:t>des Règlements concernant les véhicules</w:t>
      </w:r>
    </w:p>
    <w:p w:rsidR="00EE767B" w:rsidRPr="003D7274" w:rsidRDefault="003D7274" w:rsidP="00EE767B">
      <w:pPr>
        <w:rPr>
          <w:b/>
          <w:lang w:val="fr-FR"/>
        </w:rPr>
      </w:pPr>
      <w:r w:rsidRPr="003D7274">
        <w:rPr>
          <w:b/>
          <w:lang w:val="fr-FR"/>
        </w:rPr>
        <w:t>174</w:t>
      </w:r>
      <w:r w:rsidRPr="003D7274">
        <w:rPr>
          <w:b/>
          <w:vertAlign w:val="superscript"/>
          <w:lang w:val="fr-FR"/>
        </w:rPr>
        <w:t>e</w:t>
      </w:r>
      <w:r w:rsidRPr="003D7274">
        <w:rPr>
          <w:b/>
          <w:lang w:val="fr-FR"/>
        </w:rPr>
        <w:t xml:space="preserve"> </w:t>
      </w:r>
      <w:r w:rsidR="00EE767B" w:rsidRPr="003D7274">
        <w:rPr>
          <w:b/>
          <w:lang w:val="fr-FR"/>
        </w:rPr>
        <w:t>session</w:t>
      </w:r>
    </w:p>
    <w:p w:rsidR="00EE767B" w:rsidRPr="00747BC0" w:rsidRDefault="00EE767B" w:rsidP="00EE767B">
      <w:pPr>
        <w:rPr>
          <w:lang w:val="fr-FR"/>
        </w:rPr>
      </w:pPr>
      <w:r w:rsidRPr="00747BC0">
        <w:rPr>
          <w:lang w:val="fr-FR"/>
        </w:rPr>
        <w:t>Genève, 13-16 mars 2018</w:t>
      </w:r>
    </w:p>
    <w:p w:rsidR="00EE767B" w:rsidRPr="00747BC0" w:rsidRDefault="00EE767B" w:rsidP="00EE767B">
      <w:pPr>
        <w:rPr>
          <w:lang w:val="fr-FR"/>
        </w:rPr>
      </w:pPr>
      <w:r w:rsidRPr="00747BC0">
        <w:rPr>
          <w:lang w:val="fr-FR"/>
        </w:rPr>
        <w:t>Point 4.8.7 de l</w:t>
      </w:r>
      <w:r w:rsidR="0006410C">
        <w:rPr>
          <w:lang w:val="fr-FR"/>
        </w:rPr>
        <w:t>’</w:t>
      </w:r>
      <w:r w:rsidRPr="00747BC0">
        <w:rPr>
          <w:lang w:val="fr-FR"/>
        </w:rPr>
        <w:t>ordre du jour provisoire</w:t>
      </w:r>
    </w:p>
    <w:p w:rsidR="00EE767B" w:rsidRPr="003D7274" w:rsidRDefault="003D7274" w:rsidP="00EE767B">
      <w:pPr>
        <w:rPr>
          <w:b/>
          <w:lang w:val="fr-FR"/>
        </w:rPr>
      </w:pPr>
      <w:r>
        <w:rPr>
          <w:b/>
          <w:lang w:val="fr-FR"/>
        </w:rPr>
        <w:t>Accord de 1958 :</w:t>
      </w:r>
      <w:r w:rsidR="00EE767B" w:rsidRPr="003D7274">
        <w:rPr>
          <w:b/>
          <w:lang w:val="fr-FR"/>
        </w:rPr>
        <w:br/>
        <w:t>Examen de projets d</w:t>
      </w:r>
      <w:r w:rsidR="0006410C">
        <w:rPr>
          <w:b/>
          <w:lang w:val="fr-FR"/>
        </w:rPr>
        <w:t>’</w:t>
      </w:r>
      <w:r w:rsidR="00EE767B" w:rsidRPr="003D7274">
        <w:rPr>
          <w:b/>
          <w:lang w:val="fr-FR"/>
        </w:rPr>
        <w:t>amendements</w:t>
      </w:r>
    </w:p>
    <w:p w:rsidR="00EE767B" w:rsidRPr="003D7274" w:rsidRDefault="00EE767B" w:rsidP="00EE767B">
      <w:pPr>
        <w:rPr>
          <w:b/>
          <w:lang w:val="fr-FR"/>
        </w:rPr>
      </w:pPr>
      <w:r w:rsidRPr="003D7274">
        <w:rPr>
          <w:b/>
          <w:lang w:val="fr-FR"/>
        </w:rPr>
        <w:t>à des Règlements existants, proposés par le GRSG</w:t>
      </w:r>
    </w:p>
    <w:p w:rsidR="00EE767B" w:rsidRPr="00747BC0" w:rsidRDefault="003D7274" w:rsidP="003D727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E767B" w:rsidRPr="00747BC0">
        <w:rPr>
          <w:lang w:val="fr-FR"/>
        </w:rPr>
        <w:t>Proposition de série</w:t>
      </w:r>
      <w:r w:rsidR="009C1EC7">
        <w:rPr>
          <w:lang w:val="fr-FR"/>
        </w:rPr>
        <w:t>s</w:t>
      </w:r>
      <w:r w:rsidR="00EE767B" w:rsidRPr="00747BC0">
        <w:rPr>
          <w:lang w:val="fr-FR"/>
        </w:rPr>
        <w:t xml:space="preserve"> 08 d</w:t>
      </w:r>
      <w:r w:rsidR="0006410C">
        <w:rPr>
          <w:lang w:val="fr-FR"/>
        </w:rPr>
        <w:t>’</w:t>
      </w:r>
      <w:r w:rsidR="00EE767B" w:rsidRPr="00747BC0">
        <w:rPr>
          <w:lang w:val="fr-FR"/>
        </w:rPr>
        <w:t xml:space="preserve">amendements </w:t>
      </w:r>
      <w:r>
        <w:rPr>
          <w:lang w:val="fr-FR"/>
        </w:rPr>
        <w:t xml:space="preserve">au Règlement </w:t>
      </w:r>
      <w:r w:rsidRPr="003D7274">
        <w:rPr>
          <w:rFonts w:eastAsia="MS Mincho"/>
          <w:lang w:val="fr-FR"/>
        </w:rPr>
        <w:t>n</w:t>
      </w:r>
      <w:r w:rsidRPr="003D7274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="00EE767B" w:rsidRPr="00747BC0">
        <w:rPr>
          <w:lang w:val="fr-FR"/>
        </w:rPr>
        <w:t>107 (Véhicules des catégories M</w:t>
      </w:r>
      <w:r w:rsidR="00EE767B" w:rsidRPr="00747BC0">
        <w:rPr>
          <w:vertAlign w:val="subscript"/>
          <w:lang w:val="fr-FR"/>
        </w:rPr>
        <w:t>2</w:t>
      </w:r>
      <w:r w:rsidR="00EE767B" w:rsidRPr="00747BC0">
        <w:rPr>
          <w:lang w:val="fr-FR"/>
        </w:rPr>
        <w:t xml:space="preserve"> et M</w:t>
      </w:r>
      <w:r w:rsidR="00EE767B" w:rsidRPr="00747BC0">
        <w:rPr>
          <w:vertAlign w:val="subscript"/>
          <w:lang w:val="fr-FR"/>
        </w:rPr>
        <w:t>3</w:t>
      </w:r>
      <w:r w:rsidR="00EE767B" w:rsidRPr="00747BC0">
        <w:rPr>
          <w:lang w:val="fr-FR"/>
        </w:rPr>
        <w:t>)</w:t>
      </w:r>
    </w:p>
    <w:p w:rsidR="00EE767B" w:rsidRPr="00747BC0" w:rsidRDefault="003D7274" w:rsidP="003D727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E767B" w:rsidRPr="00747BC0">
        <w:rPr>
          <w:lang w:val="fr-FR"/>
        </w:rPr>
        <w:t>Communication du Groupe de tra</w:t>
      </w:r>
      <w:r>
        <w:rPr>
          <w:lang w:val="fr-FR"/>
        </w:rPr>
        <w:t>vail des dispositions générales</w:t>
      </w:r>
      <w:r>
        <w:rPr>
          <w:lang w:val="fr-FR"/>
        </w:rPr>
        <w:br/>
        <w:t>de sécurité</w:t>
      </w:r>
      <w:r w:rsidR="00EE767B" w:rsidRPr="003D7274">
        <w:rPr>
          <w:b w:val="0"/>
          <w:lang w:val="fr-FR"/>
        </w:rPr>
        <w:footnoteReference w:customMarkFollows="1" w:id="2"/>
        <w:t>*</w:t>
      </w:r>
    </w:p>
    <w:p w:rsidR="00EE767B" w:rsidRPr="00747BC0" w:rsidRDefault="00EE767B" w:rsidP="003D7274">
      <w:pPr>
        <w:pStyle w:val="SingleTxtG"/>
        <w:ind w:firstLine="567"/>
        <w:rPr>
          <w:lang w:val="fr-FR"/>
        </w:rPr>
      </w:pPr>
      <w:r w:rsidRPr="00747BC0">
        <w:rPr>
          <w:lang w:val="fr-FR"/>
        </w:rPr>
        <w:t>Le texte ci-après, adopté par le Groupe de travail des dispositions générales de sécurité (GRSG) à sa 113</w:t>
      </w:r>
      <w:r w:rsidRPr="00747BC0">
        <w:rPr>
          <w:vertAlign w:val="superscript"/>
          <w:lang w:val="fr-FR"/>
        </w:rPr>
        <w:t>e</w:t>
      </w:r>
      <w:r w:rsidRPr="00747BC0">
        <w:rPr>
          <w:lang w:val="fr-FR"/>
        </w:rPr>
        <w:t xml:space="preserve"> session (ECE/TRANS/WP.29/GRSG/92, par. 5 et 6), est fondé sur les documents ECE/TRANS/WP.29/GRSG/2016/20 et ECE/TRANS/WP.29/GRSG/</w:t>
      </w:r>
      <w:r w:rsidR="003D7274">
        <w:rPr>
          <w:lang w:val="fr-FR"/>
        </w:rPr>
        <w:t xml:space="preserve"> </w:t>
      </w:r>
      <w:r w:rsidRPr="00747BC0">
        <w:rPr>
          <w:lang w:val="fr-FR"/>
        </w:rPr>
        <w:t>2017/14, tels que reproduits à l</w:t>
      </w:r>
      <w:r w:rsidR="0006410C">
        <w:rPr>
          <w:lang w:val="fr-FR"/>
        </w:rPr>
        <w:t>’</w:t>
      </w:r>
      <w:r w:rsidRPr="00747BC0">
        <w:rPr>
          <w:lang w:val="fr-FR"/>
        </w:rPr>
        <w:t>annexe V du rapport. Il est soumis au Forum mondial de l</w:t>
      </w:r>
      <w:r w:rsidR="0006410C">
        <w:rPr>
          <w:lang w:val="fr-FR"/>
        </w:rPr>
        <w:t>’</w:t>
      </w:r>
      <w:r w:rsidRPr="00747BC0">
        <w:rPr>
          <w:lang w:val="fr-FR"/>
        </w:rPr>
        <w:t>harmonisation des Règlements concernant les véhicules (WP.29) et au Comité d</w:t>
      </w:r>
      <w:r w:rsidR="0006410C">
        <w:rPr>
          <w:lang w:val="fr-FR"/>
        </w:rPr>
        <w:t>’</w:t>
      </w:r>
      <w:r w:rsidRPr="00747BC0">
        <w:rPr>
          <w:lang w:val="fr-FR"/>
        </w:rPr>
        <w:t>administration de l</w:t>
      </w:r>
      <w:r w:rsidR="0006410C">
        <w:rPr>
          <w:lang w:val="fr-FR"/>
        </w:rPr>
        <w:t>’</w:t>
      </w:r>
      <w:r w:rsidRPr="00747BC0">
        <w:rPr>
          <w:lang w:val="fr-FR"/>
        </w:rPr>
        <w:t>Accord de 1958 (AC.1) pour examen à leurs sessions de mars 2018.</w:t>
      </w:r>
    </w:p>
    <w:p w:rsidR="00EE767B" w:rsidRPr="00747BC0" w:rsidRDefault="00EE767B" w:rsidP="00E3614D">
      <w:pPr>
        <w:pStyle w:val="SingleTxtG"/>
        <w:rPr>
          <w:lang w:val="fr-FR" w:eastAsia="ar-SA"/>
        </w:rPr>
      </w:pPr>
      <w:r w:rsidRPr="00747BC0">
        <w:rPr>
          <w:lang w:val="fr-FR"/>
        </w:rPr>
        <w:br w:type="page"/>
      </w:r>
      <w:r w:rsidRPr="00E3614D">
        <w:rPr>
          <w:i/>
          <w:lang w:val="fr-FR" w:eastAsia="ar-SA"/>
        </w:rPr>
        <w:lastRenderedPageBreak/>
        <w:t>Table des matières</w:t>
      </w:r>
      <w:r w:rsidRPr="00747BC0">
        <w:rPr>
          <w:lang w:val="fr-FR" w:eastAsia="ar-SA"/>
        </w:rPr>
        <w:t>, lire</w:t>
      </w:r>
      <w:r w:rsidR="00E3614D">
        <w:rPr>
          <w:lang w:val="fr-FR" w:eastAsia="ar-SA"/>
        </w:rPr>
        <w:t> :</w:t>
      </w:r>
    </w:p>
    <w:p w:rsidR="00EE767B" w:rsidRPr="00747BC0" w:rsidRDefault="00E3614D" w:rsidP="00E3614D">
      <w:pPr>
        <w:pStyle w:val="SingleTxtG"/>
        <w:rPr>
          <w:lang w:val="fr-FR" w:eastAsia="ar-SA"/>
        </w:rPr>
      </w:pPr>
      <w:r>
        <w:rPr>
          <w:lang w:val="fr-FR" w:eastAsia="ar-SA"/>
        </w:rPr>
        <w:t>« </w:t>
      </w:r>
      <w:r w:rsidR="00EE767B" w:rsidRPr="00747BC0">
        <w:rPr>
          <w:lang w:val="fr-FR" w:eastAsia="ar-SA"/>
        </w:rPr>
        <w:t>Annexe 5</w:t>
      </w:r>
      <w:r w:rsidR="00EE767B" w:rsidRPr="00747BC0">
        <w:rPr>
          <w:lang w:val="fr-FR" w:eastAsia="ar-SA"/>
        </w:rPr>
        <w:tab/>
      </w:r>
      <w:r w:rsidR="00EE767B" w:rsidRPr="00747BC0">
        <w:rPr>
          <w:shd w:val="clear" w:color="auto" w:fill="FFFFFF"/>
          <w:lang w:val="fr-FR"/>
        </w:rPr>
        <w:t>Prescriptions relatives au contraste visuel</w:t>
      </w:r>
      <w:r>
        <w:rPr>
          <w:lang w:val="fr-FR" w:eastAsia="ar-SA"/>
        </w:rPr>
        <w:t> »</w:t>
      </w:r>
      <w:r w:rsidR="00EE767B" w:rsidRPr="00747BC0">
        <w:rPr>
          <w:lang w:val="fr-FR" w:eastAsia="ar-SA"/>
        </w:rPr>
        <w:t>.</w:t>
      </w:r>
    </w:p>
    <w:p w:rsidR="00EE767B" w:rsidRPr="00747BC0" w:rsidRDefault="00EE767B" w:rsidP="00E3614D">
      <w:pPr>
        <w:pStyle w:val="SingleTxtG"/>
        <w:rPr>
          <w:lang w:val="fr-FR" w:eastAsia="ar-SA"/>
        </w:rPr>
      </w:pPr>
      <w:r w:rsidRPr="00E3614D">
        <w:rPr>
          <w:i/>
          <w:lang w:val="fr-FR" w:eastAsia="ar-SA"/>
        </w:rPr>
        <w:t>Ajouter de nouveaux paragraphes 2.44 à 2.48 (Définitions)</w:t>
      </w:r>
      <w:r w:rsidRPr="00747BC0">
        <w:rPr>
          <w:lang w:val="fr-FR" w:eastAsia="ar-SA"/>
        </w:rPr>
        <w:t>,</w:t>
      </w:r>
      <w:r w:rsidRPr="00747BC0">
        <w:rPr>
          <w:lang w:val="fr-FR"/>
        </w:rPr>
        <w:t xml:space="preserve"> libellés comme suit</w:t>
      </w:r>
      <w:r w:rsidR="00E3614D">
        <w:rPr>
          <w:lang w:val="fr-FR"/>
        </w:rPr>
        <w:t> :</w:t>
      </w:r>
    </w:p>
    <w:p w:rsidR="00EE767B" w:rsidRPr="00747BC0" w:rsidRDefault="00E3614D" w:rsidP="00E3614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883D75">
        <w:rPr>
          <w:lang w:val="fr-FR"/>
        </w:rPr>
        <w:t>2.44</w:t>
      </w:r>
      <w:r w:rsidR="00EE767B" w:rsidRPr="00747BC0">
        <w:rPr>
          <w:lang w:val="fr-FR"/>
        </w:rPr>
        <w:tab/>
      </w:r>
      <w:r>
        <w:rPr>
          <w:i/>
          <w:lang w:val="fr-FR"/>
        </w:rPr>
        <w:tab/>
      </w:r>
      <w:r w:rsidRPr="00E3614D">
        <w:rPr>
          <w:lang w:val="fr-FR"/>
        </w:rPr>
        <w:t>“</w:t>
      </w:r>
      <w:r w:rsidR="00EE767B" w:rsidRPr="00747BC0">
        <w:rPr>
          <w:i/>
          <w:lang w:val="fr-FR"/>
        </w:rPr>
        <w:t>Contraste visuel</w:t>
      </w:r>
      <w:r w:rsidRPr="00E3614D">
        <w:rPr>
          <w:lang w:val="fr-FR"/>
        </w:rPr>
        <w:t>”</w:t>
      </w:r>
      <w:r w:rsidR="00EE767B" w:rsidRPr="00747BC0">
        <w:rPr>
          <w:lang w:val="fr-FR"/>
        </w:rPr>
        <w:t xml:space="preserve"> (</w:t>
      </w:r>
      <w:r w:rsidR="00EE767B" w:rsidRPr="00747BC0">
        <w:rPr>
          <w:shd w:val="clear" w:color="auto" w:fill="FFFFFF"/>
          <w:lang w:val="fr-FR"/>
        </w:rPr>
        <w:t>contraste de luminance), le rapport de luminance entre un objet et son arrière-plan/environnement immédiat qui permet de distinguer l</w:t>
      </w:r>
      <w:r w:rsidR="0006410C">
        <w:rPr>
          <w:shd w:val="clear" w:color="auto" w:fill="FFFFFF"/>
          <w:lang w:val="fr-FR"/>
        </w:rPr>
        <w:t>’</w:t>
      </w:r>
      <w:r w:rsidR="00EE767B" w:rsidRPr="00747BC0">
        <w:rPr>
          <w:shd w:val="clear" w:color="auto" w:fill="FFFFFF"/>
          <w:lang w:val="fr-FR"/>
        </w:rPr>
        <w:t>objet de cet arrière-plan/environnement</w:t>
      </w:r>
      <w:r w:rsidR="00EE767B" w:rsidRPr="00747BC0">
        <w:rPr>
          <w:lang w:val="fr-FR"/>
        </w:rPr>
        <w:t>.</w:t>
      </w:r>
    </w:p>
    <w:p w:rsidR="00EE767B" w:rsidRPr="00747BC0" w:rsidRDefault="00883D75" w:rsidP="00E3614D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2.45</w:t>
      </w:r>
      <w:r w:rsidR="00EE767B" w:rsidRPr="00747BC0">
        <w:rPr>
          <w:lang w:val="fr-FR"/>
        </w:rPr>
        <w:tab/>
      </w:r>
      <w:r w:rsidR="003C4A08" w:rsidRPr="00E3614D">
        <w:rPr>
          <w:lang w:val="fr-FR"/>
        </w:rPr>
        <w:t>“</w:t>
      </w:r>
      <w:r w:rsidR="00EE767B" w:rsidRPr="00747BC0">
        <w:rPr>
          <w:i/>
          <w:lang w:val="fr-FR"/>
        </w:rPr>
        <w:t>Réflectance</w:t>
      </w:r>
      <w:r w:rsidR="003C4A08" w:rsidRPr="00E3614D">
        <w:rPr>
          <w:lang w:val="fr-FR"/>
        </w:rPr>
        <w:t>”</w:t>
      </w:r>
      <w:r w:rsidR="00EE767B" w:rsidRPr="00747BC0">
        <w:rPr>
          <w:lang w:val="fr-FR"/>
        </w:rPr>
        <w:t xml:space="preserve"> </w:t>
      </w:r>
      <w:r w:rsidR="00EE767B" w:rsidRPr="00747BC0">
        <w:rPr>
          <w:lang w:val="fr-FR"/>
        </w:rPr>
        <w:sym w:font="Symbol" w:char="F072"/>
      </w:r>
      <w:r w:rsidR="00EE767B" w:rsidRPr="00747BC0">
        <w:rPr>
          <w:lang w:val="fr-FR"/>
        </w:rPr>
        <w:t xml:space="preserve"> (rho),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le rapport entre le flux lumineux réfléchi par la surface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un matériau plan et le flux lumineux incident sur cette surface</w:t>
      </w:r>
      <w:r w:rsidR="00EE767B" w:rsidRPr="00747BC0">
        <w:rPr>
          <w:lang w:val="fr-FR"/>
        </w:rPr>
        <w:t xml:space="preserve">.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La réflectance est constituée de la “réflectance spéculaireˮ et de la “réflectance diffuse</w:t>
      </w:r>
      <w:r w:rsidR="003C4A08" w:rsidRPr="00E3614D">
        <w:rPr>
          <w:lang w:val="fr-FR"/>
        </w:rPr>
        <w:t>”</w:t>
      </w:r>
      <w:r w:rsidR="00EE767B" w:rsidRPr="00747BC0">
        <w:rPr>
          <w:lang w:val="fr-FR"/>
        </w:rPr>
        <w:t>.</w:t>
      </w:r>
    </w:p>
    <w:p w:rsidR="00EE767B" w:rsidRPr="00747BC0" w:rsidRDefault="00883D75" w:rsidP="00E3614D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2.46</w:t>
      </w:r>
      <w:r w:rsidR="00EE767B" w:rsidRPr="00747BC0">
        <w:rPr>
          <w:lang w:val="fr-FR"/>
        </w:rPr>
        <w:tab/>
      </w:r>
      <w:r w:rsidR="003C4A08" w:rsidRPr="00E3614D">
        <w:rPr>
          <w:lang w:val="fr-FR"/>
        </w:rPr>
        <w:t>“</w:t>
      </w:r>
      <w:r w:rsidR="00EE767B" w:rsidRPr="00747BC0">
        <w:rPr>
          <w:i/>
          <w:lang w:val="fr-FR"/>
        </w:rPr>
        <w:t>Réflectance spéculaire</w:t>
      </w:r>
      <w:r w:rsidR="003C4A08" w:rsidRPr="00E3614D">
        <w:rPr>
          <w:lang w:val="fr-FR"/>
        </w:rPr>
        <w:t>”</w:t>
      </w:r>
      <w:r w:rsidR="00EE767B" w:rsidRPr="00747BC0">
        <w:rPr>
          <w:lang w:val="fr-FR"/>
        </w:rPr>
        <w:t xml:space="preserve"> </w:t>
      </w:r>
      <w:r w:rsidR="00EE767B" w:rsidRPr="00747BC0">
        <w:rPr>
          <w:lang w:val="fr-FR"/>
        </w:rPr>
        <w:sym w:font="Symbol" w:char="F072"/>
      </w:r>
      <w:r w:rsidR="00EE767B" w:rsidRPr="00747BC0">
        <w:rPr>
          <w:vertAlign w:val="subscript"/>
          <w:lang w:val="fr-FR"/>
        </w:rPr>
        <w:t>r</w:t>
      </w:r>
      <w:r w:rsidR="00EE767B" w:rsidRPr="00747BC0">
        <w:rPr>
          <w:lang w:val="fr-FR"/>
        </w:rPr>
        <w:t xml:space="preserve">,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la réflexion sans diffusion obéissant aux lois optiques valables pour les miroirs</w:t>
      </w:r>
      <w:r w:rsidR="00EE767B" w:rsidRPr="00747BC0">
        <w:rPr>
          <w:lang w:val="fr-FR"/>
        </w:rPr>
        <w:t>.</w:t>
      </w:r>
    </w:p>
    <w:p w:rsidR="00EE767B" w:rsidRPr="00747BC0" w:rsidRDefault="00883D75" w:rsidP="00E3614D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2.47</w:t>
      </w:r>
      <w:r w:rsidR="00EE767B" w:rsidRPr="00747BC0">
        <w:rPr>
          <w:lang w:val="fr-FR"/>
        </w:rPr>
        <w:tab/>
      </w:r>
      <w:r w:rsidR="003C4A08" w:rsidRPr="00E3614D">
        <w:rPr>
          <w:lang w:val="fr-FR"/>
        </w:rPr>
        <w:t>“</w:t>
      </w:r>
      <w:r w:rsidR="00EE767B" w:rsidRPr="00747BC0">
        <w:rPr>
          <w:i/>
          <w:lang w:val="fr-FR"/>
        </w:rPr>
        <w:t>Réflectance diffuse</w:t>
      </w:r>
      <w:r w:rsidR="003C4A08" w:rsidRPr="00E3614D">
        <w:rPr>
          <w:lang w:val="fr-FR"/>
        </w:rPr>
        <w:t>”</w:t>
      </w:r>
      <w:r w:rsidR="00EE767B" w:rsidRPr="00747BC0">
        <w:rPr>
          <w:lang w:val="fr-FR"/>
        </w:rPr>
        <w:t xml:space="preserve"> </w:t>
      </w:r>
      <w:r w:rsidR="00EE767B" w:rsidRPr="00747BC0">
        <w:rPr>
          <w:lang w:val="fr-FR"/>
        </w:rPr>
        <w:sym w:font="Symbol" w:char="F072"/>
      </w:r>
      <w:r w:rsidR="00EE767B" w:rsidRPr="00747BC0">
        <w:rPr>
          <w:vertAlign w:val="subscript"/>
          <w:lang w:val="fr-FR"/>
        </w:rPr>
        <w:t>d</w:t>
      </w:r>
      <w:r w:rsidR="00EE767B" w:rsidRPr="00747BC0">
        <w:rPr>
          <w:lang w:val="fr-FR"/>
        </w:rPr>
        <w:t xml:space="preserve">,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le rapport entre le flux lumineux diffusé et le flux lumineux incident</w:t>
      </w:r>
      <w:r w:rsidR="00EE767B" w:rsidRPr="00747BC0">
        <w:rPr>
          <w:lang w:val="fr-FR"/>
        </w:rPr>
        <w:t>.</w:t>
      </w:r>
    </w:p>
    <w:p w:rsidR="00EE767B" w:rsidRPr="00747BC0" w:rsidRDefault="00883D75" w:rsidP="00E3614D">
      <w:pPr>
        <w:pStyle w:val="SingleTxtG"/>
        <w:ind w:left="2268" w:hanging="1134"/>
        <w:rPr>
          <w:lang w:val="fr-FR" w:eastAsia="ar-SA"/>
        </w:rPr>
      </w:pPr>
      <w:r>
        <w:rPr>
          <w:lang w:val="fr-FR"/>
        </w:rPr>
        <w:t>2.48</w:t>
      </w:r>
      <w:r w:rsidR="00EE767B" w:rsidRPr="00747BC0">
        <w:rPr>
          <w:lang w:val="fr-FR"/>
        </w:rPr>
        <w:tab/>
      </w:r>
      <w:r w:rsidR="003C4A08" w:rsidRPr="00E3614D">
        <w:rPr>
          <w:lang w:val="fr-FR"/>
        </w:rPr>
        <w:t>“</w:t>
      </w:r>
      <w:r w:rsidR="00EE767B" w:rsidRPr="00747BC0">
        <w:rPr>
          <w:i/>
          <w:lang w:val="fr-FR"/>
        </w:rPr>
        <w:t>Flux lumineux</w:t>
      </w:r>
      <w:r w:rsidR="003C4A08" w:rsidRPr="00E3614D">
        <w:rPr>
          <w:lang w:val="fr-FR"/>
        </w:rPr>
        <w:t>”</w:t>
      </w:r>
      <w:r w:rsidR="003C4A08">
        <w:rPr>
          <w:lang w:val="fr-FR"/>
        </w:rPr>
        <w:t xml:space="preserve"> </w:t>
      </w:r>
      <w:r w:rsidR="00EE767B" w:rsidRPr="00747BC0">
        <w:rPr>
          <w:lang w:val="fr-FR"/>
        </w:rPr>
        <w:sym w:font="Symbol" w:char="F046"/>
      </w:r>
      <w:r w:rsidR="00EE767B" w:rsidRPr="00747BC0">
        <w:rPr>
          <w:lang w:val="fr-FR"/>
        </w:rPr>
        <w:t xml:space="preserve"> (phi),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la puissance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une source lumineuse</w:t>
      </w:r>
      <w:r w:rsidR="00EE767B" w:rsidRPr="00747BC0">
        <w:rPr>
          <w:lang w:val="fr-FR"/>
        </w:rPr>
        <w:t>.</w:t>
      </w:r>
      <w:r w:rsidR="003C4A08">
        <w:rPr>
          <w:lang w:val="fr-FR" w:eastAsia="ar-SA"/>
        </w:rPr>
        <w:t> ».</w:t>
      </w:r>
    </w:p>
    <w:p w:rsidR="00EE767B" w:rsidRPr="00747BC0" w:rsidRDefault="00EE767B" w:rsidP="00883D75">
      <w:pPr>
        <w:pStyle w:val="SingleTxtG"/>
        <w:rPr>
          <w:lang w:val="fr-FR" w:eastAsia="ar-SA"/>
        </w:rPr>
      </w:pPr>
      <w:r w:rsidRPr="00883D75">
        <w:rPr>
          <w:i/>
          <w:lang w:val="fr-FR" w:eastAsia="ar-SA"/>
        </w:rPr>
        <w:t>Ajouter de nouveaux paragraphes 10.19 à 10.23</w:t>
      </w:r>
      <w:r w:rsidRPr="00747BC0">
        <w:rPr>
          <w:lang w:val="fr-FR" w:eastAsia="ar-SA"/>
        </w:rPr>
        <w:t>, libellés comme suit</w:t>
      </w:r>
      <w:r w:rsidR="00883D75">
        <w:rPr>
          <w:lang w:val="fr-FR" w:eastAsia="ar-SA"/>
        </w:rPr>
        <w:t> :</w:t>
      </w:r>
    </w:p>
    <w:p w:rsidR="00EE767B" w:rsidRPr="00747BC0" w:rsidRDefault="00883D75" w:rsidP="00883D75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10.19</w:t>
      </w:r>
      <w:r w:rsidR="00EE767B" w:rsidRPr="00747BC0">
        <w:rPr>
          <w:lang w:val="fr-FR" w:eastAsia="ar-SA"/>
        </w:rPr>
        <w:tab/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À compter de la date officielle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entrée en vigueur de la série 08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amendements, aucune Partie contractante appliquant le présent Règlement ne pourra refuser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accorder ou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accepter une homologation de type en vertu du présent Règlement tel que modifié par la série 08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amendements.</w:t>
      </w:r>
    </w:p>
    <w:p w:rsidR="00EE767B" w:rsidRPr="00747BC0" w:rsidRDefault="00CF4CBF" w:rsidP="00883D75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10.20</w:t>
      </w:r>
      <w:r w:rsidR="00EE767B" w:rsidRPr="00747BC0">
        <w:rPr>
          <w:lang w:val="fr-FR" w:eastAsia="ar-SA"/>
        </w:rPr>
        <w:tab/>
        <w:t>À compter du 1</w:t>
      </w:r>
      <w:r w:rsidR="00EE767B" w:rsidRPr="00747BC0">
        <w:rPr>
          <w:vertAlign w:val="superscript"/>
          <w:lang w:val="fr-FR" w:eastAsia="ar-SA"/>
        </w:rPr>
        <w:t>er</w:t>
      </w:r>
      <w:r w:rsidR="00EE767B" w:rsidRPr="00747BC0">
        <w:rPr>
          <w:lang w:val="fr-FR" w:eastAsia="ar-SA"/>
        </w:rPr>
        <w:t xml:space="preserve"> septembre 2020,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les Parties contractantes appliquant le présent Règlement ne seront plus tenues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accepter les homologations de type délivrées en vertu des précédentes séries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amendements après le 1</w:t>
      </w:r>
      <w:r w:rsidR="00EE767B" w:rsidRPr="00747BC0">
        <w:rPr>
          <w:color w:val="333333"/>
          <w:sz w:val="21"/>
          <w:szCs w:val="21"/>
          <w:shd w:val="clear" w:color="auto" w:fill="FFFFFF"/>
          <w:vertAlign w:val="superscript"/>
          <w:lang w:val="fr-FR"/>
        </w:rPr>
        <w:t>er</w:t>
      </w:r>
      <w:r w:rsidR="00883D75">
        <w:rPr>
          <w:color w:val="333333"/>
          <w:sz w:val="21"/>
          <w:szCs w:val="21"/>
          <w:shd w:val="clear" w:color="auto" w:fill="FFFFFF"/>
          <w:lang w:val="fr-FR"/>
        </w:rPr>
        <w:t> 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s</w:t>
      </w:r>
      <w:r w:rsidR="00EE767B" w:rsidRPr="00747BC0">
        <w:rPr>
          <w:lang w:val="fr-FR" w:eastAsia="ar-SA"/>
        </w:rPr>
        <w:t>eptembre 2020.</w:t>
      </w:r>
    </w:p>
    <w:p w:rsidR="00EE767B" w:rsidRPr="00747BC0" w:rsidRDefault="00883D75" w:rsidP="00883D75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10.21</w:t>
      </w:r>
      <w:r w:rsidR="00EE767B" w:rsidRPr="00747BC0">
        <w:rPr>
          <w:lang w:val="fr-FR" w:eastAsia="ar-SA"/>
        </w:rPr>
        <w:tab/>
        <w:t>Jusqu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au 1</w:t>
      </w:r>
      <w:r w:rsidR="00EE767B" w:rsidRPr="00747BC0">
        <w:rPr>
          <w:vertAlign w:val="superscript"/>
          <w:lang w:val="fr-FR" w:eastAsia="ar-SA"/>
        </w:rPr>
        <w:t>er</w:t>
      </w:r>
      <w:r w:rsidR="00EE767B" w:rsidRPr="00747BC0">
        <w:rPr>
          <w:lang w:val="fr-FR" w:eastAsia="ar-SA"/>
        </w:rPr>
        <w:t xml:space="preserve"> septembre 2022,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les Parties contractantes appliquant le présent Règlement</w:t>
      </w:r>
      <w:r w:rsidR="00EE767B" w:rsidRPr="00747BC0">
        <w:rPr>
          <w:lang w:val="fr-FR" w:eastAsia="ar-SA"/>
        </w:rPr>
        <w:t xml:space="preserve"> devront accepter les homologations de type délivrées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en vertu des précédentes séries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 xml:space="preserve">amendements avant le </w:t>
      </w:r>
      <w:r w:rsidR="00EE767B" w:rsidRPr="00747BC0">
        <w:rPr>
          <w:lang w:val="fr-FR" w:eastAsia="ar-SA"/>
        </w:rPr>
        <w:t>1</w:t>
      </w:r>
      <w:r w:rsidR="00EE767B" w:rsidRPr="00747BC0">
        <w:rPr>
          <w:vertAlign w:val="superscript"/>
          <w:lang w:val="fr-FR" w:eastAsia="ar-SA"/>
        </w:rPr>
        <w:t>er</w:t>
      </w:r>
      <w:r w:rsidR="00EE767B" w:rsidRPr="00747BC0">
        <w:rPr>
          <w:lang w:val="fr-FR" w:eastAsia="ar-SA"/>
        </w:rPr>
        <w:t xml:space="preserve"> septembre 2020.</w:t>
      </w:r>
    </w:p>
    <w:p w:rsidR="00EE767B" w:rsidRPr="00747BC0" w:rsidRDefault="00883D75" w:rsidP="00883D75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10.22</w:t>
      </w:r>
      <w:r w:rsidR="00EE767B" w:rsidRPr="00747BC0">
        <w:rPr>
          <w:lang w:val="fr-FR" w:eastAsia="ar-SA"/>
        </w:rPr>
        <w:tab/>
        <w:t>À compter du 1</w:t>
      </w:r>
      <w:r w:rsidR="00EE767B" w:rsidRPr="00747BC0">
        <w:rPr>
          <w:vertAlign w:val="superscript"/>
          <w:lang w:val="fr-FR" w:eastAsia="ar-SA"/>
        </w:rPr>
        <w:t>er</w:t>
      </w:r>
      <w:r w:rsidR="00EE767B" w:rsidRPr="00747BC0">
        <w:rPr>
          <w:lang w:val="fr-FR" w:eastAsia="ar-SA"/>
        </w:rPr>
        <w:t xml:space="preserve"> septembre 2022,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les Parties contractantes appliquant le présent Règlement</w:t>
      </w:r>
      <w:r w:rsidR="00EE767B" w:rsidRPr="00747BC0">
        <w:rPr>
          <w:lang w:val="fr-FR" w:eastAsia="ar-SA"/>
        </w:rPr>
        <w:t xml:space="preserve">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ne seront plus tenues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accepter les homologations de type délivrées en vertu des précédentes séries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amendements audit Règlement</w:t>
      </w:r>
      <w:r w:rsidR="00EE767B" w:rsidRPr="00747BC0">
        <w:rPr>
          <w:lang w:val="fr-FR" w:eastAsia="ar-SA"/>
        </w:rPr>
        <w:t>.</w:t>
      </w:r>
    </w:p>
    <w:p w:rsidR="00EE767B" w:rsidRPr="00747BC0" w:rsidRDefault="00883D75" w:rsidP="00883D75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10.23</w:t>
      </w:r>
      <w:r w:rsidR="00EE767B" w:rsidRPr="00747BC0">
        <w:rPr>
          <w:lang w:val="fr-FR" w:eastAsia="ar-SA"/>
        </w:rPr>
        <w:tab/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Les Parties contractantes appliquant le présent Règlement</w:t>
      </w:r>
      <w:r w:rsidR="00EE767B" w:rsidRPr="00747BC0">
        <w:rPr>
          <w:lang w:val="fr-FR" w:eastAsia="ar-SA"/>
        </w:rPr>
        <w:t xml:space="preserve"> ne pourront refuser d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 xml:space="preserve">accorder des homologations de type en vertu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de l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une quelconque des précédentes séries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CE3833">
        <w:rPr>
          <w:color w:val="333333"/>
          <w:sz w:val="21"/>
          <w:szCs w:val="21"/>
          <w:shd w:val="clear" w:color="auto" w:fill="FFFFFF"/>
          <w:lang w:val="fr-FR"/>
        </w:rPr>
        <w:t xml:space="preserve">amendements audit Règlement,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ou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accorder des extensions pour les homologations en question</w:t>
      </w:r>
      <w:r>
        <w:rPr>
          <w:lang w:val="fr-FR" w:eastAsia="ar-SA"/>
        </w:rPr>
        <w:t>. ».</w:t>
      </w:r>
    </w:p>
    <w:p w:rsidR="00EE767B" w:rsidRPr="00883D75" w:rsidRDefault="00EE767B" w:rsidP="00883D75">
      <w:pPr>
        <w:pStyle w:val="SingleTxtG"/>
        <w:rPr>
          <w:i/>
          <w:lang w:val="fr-FR" w:eastAsia="ar-SA"/>
        </w:rPr>
      </w:pPr>
      <w:r w:rsidRPr="00883D75">
        <w:rPr>
          <w:i/>
          <w:lang w:val="fr-FR" w:eastAsia="ar-SA"/>
        </w:rPr>
        <w:t>Annexe 3</w:t>
      </w:r>
    </w:p>
    <w:p w:rsidR="00EE767B" w:rsidRPr="00747BC0" w:rsidRDefault="00EE767B" w:rsidP="00883D75">
      <w:pPr>
        <w:pStyle w:val="SingleTxtG"/>
        <w:rPr>
          <w:lang w:val="fr-FR" w:eastAsia="ar-SA"/>
        </w:rPr>
      </w:pPr>
      <w:r w:rsidRPr="00883D75">
        <w:rPr>
          <w:i/>
          <w:lang w:val="fr-FR" w:eastAsia="ar-SA"/>
        </w:rPr>
        <w:t>Paragraphe 7.11.4</w:t>
      </w:r>
      <w:r w:rsidRPr="00747BC0">
        <w:rPr>
          <w:lang w:val="fr-FR" w:eastAsia="ar-SA"/>
        </w:rPr>
        <w:t>, lire</w:t>
      </w:r>
      <w:r w:rsidR="00AD63E4">
        <w:rPr>
          <w:lang w:val="fr-FR" w:eastAsia="ar-SA"/>
        </w:rPr>
        <w:t xml:space="preserve"> :</w:t>
      </w:r>
    </w:p>
    <w:p w:rsidR="00EE767B" w:rsidRPr="00747BC0" w:rsidRDefault="00883D75" w:rsidP="00883D75">
      <w:pPr>
        <w:pStyle w:val="SingleTxtG"/>
        <w:rPr>
          <w:lang w:val="fr-FR" w:eastAsia="ar-SA"/>
        </w:rPr>
      </w:pPr>
      <w:r>
        <w:rPr>
          <w:lang w:val="fr-FR" w:eastAsia="ar-SA"/>
        </w:rPr>
        <w:t>« </w:t>
      </w:r>
      <w:r w:rsidR="00D51DF5">
        <w:rPr>
          <w:lang w:val="fr-FR" w:eastAsia="ar-SA"/>
        </w:rPr>
        <w:t>7.11.4</w:t>
      </w:r>
      <w:r w:rsidR="00EE767B" w:rsidRPr="00747BC0">
        <w:rPr>
          <w:lang w:val="fr-FR" w:eastAsia="ar-SA"/>
        </w:rPr>
        <w:tab/>
      </w:r>
      <w:r w:rsidR="00EE767B" w:rsidRPr="00747BC0">
        <w:rPr>
          <w:shd w:val="clear" w:color="auto" w:fill="FFFFFF"/>
          <w:lang w:val="fr-FR"/>
        </w:rPr>
        <w:t>Barres et poignées installées dans les toilettes</w:t>
      </w:r>
      <w:r>
        <w:rPr>
          <w:lang w:val="fr-FR" w:eastAsia="ar-SA"/>
        </w:rPr>
        <w:t> ».</w:t>
      </w:r>
    </w:p>
    <w:p w:rsidR="00EE767B" w:rsidRPr="00747BC0" w:rsidRDefault="00EE767B" w:rsidP="00883D75">
      <w:pPr>
        <w:pStyle w:val="SingleTxtG"/>
        <w:rPr>
          <w:lang w:val="fr-FR" w:eastAsia="ar-SA"/>
        </w:rPr>
      </w:pPr>
      <w:r w:rsidRPr="00883D75">
        <w:rPr>
          <w:i/>
          <w:lang w:val="fr-FR" w:eastAsia="ar-SA"/>
        </w:rPr>
        <w:t>Ajouter un nouveau paragraphe 7.11.4.1</w:t>
      </w:r>
      <w:r w:rsidRPr="00747BC0">
        <w:rPr>
          <w:lang w:val="fr-FR" w:eastAsia="ar-SA"/>
        </w:rPr>
        <w:t>, libellé comme suit</w:t>
      </w:r>
      <w:r w:rsidR="00883D75">
        <w:rPr>
          <w:lang w:val="fr-FR" w:eastAsia="ar-SA"/>
        </w:rPr>
        <w:t> :</w:t>
      </w:r>
    </w:p>
    <w:p w:rsidR="00EE767B" w:rsidRPr="00747BC0" w:rsidRDefault="00883D75" w:rsidP="00883D75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</w:t>
      </w:r>
      <w:r w:rsidR="00D51DF5">
        <w:rPr>
          <w:lang w:val="fr-FR" w:eastAsia="ar-SA"/>
        </w:rPr>
        <w:t>7.11.4.1</w:t>
      </w:r>
      <w:r w:rsidR="00EE767B" w:rsidRPr="00747BC0">
        <w:rPr>
          <w:lang w:val="fr-FR" w:eastAsia="ar-SA"/>
        </w:rPr>
        <w:tab/>
      </w:r>
      <w:r w:rsidR="00EE767B" w:rsidRPr="00747BC0">
        <w:rPr>
          <w:shd w:val="clear" w:color="auto" w:fill="FFFFFF"/>
          <w:lang w:val="fr-FR"/>
        </w:rPr>
        <w:t>Les toilettes, s</w:t>
      </w:r>
      <w:r w:rsidR="0006410C">
        <w:rPr>
          <w:shd w:val="clear" w:color="auto" w:fill="FFFFFF"/>
          <w:lang w:val="fr-FR"/>
        </w:rPr>
        <w:t>’</w:t>
      </w:r>
      <w:r w:rsidR="00EE767B" w:rsidRPr="00747BC0">
        <w:rPr>
          <w:shd w:val="clear" w:color="auto" w:fill="FFFFFF"/>
          <w:lang w:val="fr-FR"/>
        </w:rPr>
        <w:t>il y en a, doivent être équipées d</w:t>
      </w:r>
      <w:r w:rsidR="0006410C">
        <w:rPr>
          <w:shd w:val="clear" w:color="auto" w:fill="FFFFFF"/>
          <w:lang w:val="fr-FR"/>
        </w:rPr>
        <w:t>’</w:t>
      </w:r>
      <w:r w:rsidR="00EE767B" w:rsidRPr="00747BC0">
        <w:rPr>
          <w:shd w:val="clear" w:color="auto" w:fill="FFFFFF"/>
          <w:lang w:val="fr-FR"/>
        </w:rPr>
        <w:t>une barre ou poignée adéquate</w:t>
      </w:r>
      <w:r>
        <w:rPr>
          <w:lang w:val="fr-FR" w:eastAsia="ar-SA"/>
        </w:rPr>
        <w:t>. ».</w:t>
      </w:r>
    </w:p>
    <w:p w:rsidR="00EE767B" w:rsidRPr="00747BC0" w:rsidRDefault="00EE767B" w:rsidP="00CE3833">
      <w:pPr>
        <w:pStyle w:val="SingleTxtG"/>
        <w:keepNext/>
        <w:rPr>
          <w:lang w:val="fr-FR" w:eastAsia="ar-SA"/>
        </w:rPr>
      </w:pPr>
      <w:r w:rsidRPr="00883D75">
        <w:rPr>
          <w:i/>
          <w:lang w:val="fr-FR" w:eastAsia="ar-SA"/>
        </w:rPr>
        <w:lastRenderedPageBreak/>
        <w:t>Annexe 5</w:t>
      </w:r>
      <w:r w:rsidRPr="00747BC0">
        <w:rPr>
          <w:lang w:val="fr-FR" w:eastAsia="ar-SA"/>
        </w:rPr>
        <w:t>, lire</w:t>
      </w:r>
      <w:r w:rsidR="00CE3833">
        <w:rPr>
          <w:lang w:val="fr-FR" w:eastAsia="ar-SA"/>
        </w:rPr>
        <w:t> :</w:t>
      </w:r>
    </w:p>
    <w:p w:rsidR="00EE767B" w:rsidRPr="00747BC0" w:rsidRDefault="00883D75" w:rsidP="00883D75">
      <w:pPr>
        <w:pStyle w:val="HChG"/>
        <w:rPr>
          <w:lang w:val="fr-FR" w:eastAsia="ar-SA"/>
        </w:rPr>
      </w:pPr>
      <w:r>
        <w:rPr>
          <w:b w:val="0"/>
          <w:sz w:val="20"/>
          <w:lang w:val="fr-FR" w:eastAsia="ar-SA"/>
        </w:rPr>
        <w:t>« </w:t>
      </w:r>
      <w:r w:rsidR="00EE767B" w:rsidRPr="00747BC0">
        <w:rPr>
          <w:lang w:val="fr-FR" w:eastAsia="ar-SA"/>
        </w:rPr>
        <w:t>Annexe 5</w:t>
      </w:r>
    </w:p>
    <w:p w:rsidR="00EE767B" w:rsidRPr="00747BC0" w:rsidRDefault="00EE767B" w:rsidP="00883D75">
      <w:pPr>
        <w:pStyle w:val="HChG"/>
        <w:rPr>
          <w:lang w:val="fr-FR" w:eastAsia="ar-SA"/>
        </w:rPr>
      </w:pPr>
      <w:r w:rsidRPr="00747BC0">
        <w:rPr>
          <w:lang w:val="fr-FR" w:eastAsia="ar-SA"/>
        </w:rPr>
        <w:tab/>
      </w:r>
      <w:r w:rsidRPr="00747BC0">
        <w:rPr>
          <w:lang w:val="fr-FR" w:eastAsia="ar-SA"/>
        </w:rPr>
        <w:tab/>
        <w:t>Prescriptions relatives au contraste visuel</w:t>
      </w:r>
      <w:r w:rsidR="00883D75">
        <w:rPr>
          <w:lang w:val="fr-FR" w:eastAsia="ar-SA"/>
        </w:rPr>
        <w:t>, aux fins</w:t>
      </w:r>
      <w:r w:rsidR="00883D75">
        <w:rPr>
          <w:lang w:val="fr-FR" w:eastAsia="ar-SA"/>
        </w:rPr>
        <w:br/>
      </w:r>
      <w:r w:rsidRPr="00747BC0">
        <w:rPr>
          <w:lang w:val="fr-FR" w:eastAsia="ar-SA"/>
        </w:rPr>
        <w:t>des dispositions du paragraphe 3.3.3 de l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annexe 8</w:t>
      </w:r>
    </w:p>
    <w:p w:rsidR="00EE767B" w:rsidRPr="00747BC0" w:rsidRDefault="00EE767B" w:rsidP="00883D75">
      <w:pPr>
        <w:pStyle w:val="SingleTxtG"/>
        <w:rPr>
          <w:lang w:val="fr-FR" w:eastAsia="ar-SA"/>
        </w:rPr>
      </w:pPr>
      <w:r w:rsidRPr="00747BC0">
        <w:rPr>
          <w:lang w:val="fr-FR" w:eastAsia="ar-SA"/>
        </w:rPr>
        <w:t>1.</w:t>
      </w:r>
      <w:r w:rsidRPr="00747BC0">
        <w:rPr>
          <w:lang w:val="fr-FR" w:eastAsia="ar-SA"/>
        </w:rPr>
        <w:tab/>
      </w:r>
      <w:r w:rsidR="00883D75">
        <w:rPr>
          <w:lang w:val="fr-FR" w:eastAsia="ar-SA"/>
        </w:rPr>
        <w:tab/>
      </w:r>
      <w:r w:rsidRPr="00747BC0">
        <w:rPr>
          <w:shd w:val="clear" w:color="auto" w:fill="FFFFFF"/>
          <w:lang w:val="fr-FR"/>
        </w:rPr>
        <w:t>On détermine le contraste visuel C en appliquant la formule suivante</w:t>
      </w:r>
      <w:r w:rsidR="00883D75">
        <w:rPr>
          <w:shd w:val="clear" w:color="auto" w:fill="FFFFFF"/>
          <w:lang w:val="fr-FR"/>
        </w:rPr>
        <w:t> </w:t>
      </w:r>
      <w:r w:rsidR="00883D75">
        <w:rPr>
          <w:lang w:val="fr-FR" w:eastAsia="ar-SA"/>
        </w:rPr>
        <w:t>:</w:t>
      </w:r>
    </w:p>
    <w:p w:rsidR="00EE767B" w:rsidRPr="00747BC0" w:rsidRDefault="00EE767B" w:rsidP="00FE33FA">
      <w:pPr>
        <w:ind w:left="2835"/>
        <w:rPr>
          <w:lang w:val="fr-FR" w:eastAsia="ar-SA"/>
        </w:rPr>
      </w:pPr>
      <w:r w:rsidRPr="00747BC0">
        <w:rPr>
          <w:lang w:val="fr-FR" w:eastAsia="ar-SA"/>
        </w:rPr>
        <w:tab/>
      </w:r>
      <m:oMath>
        <m:r>
          <w:rPr>
            <w:rFonts w:ascii="Cambria Math" w:hAnsi="Cambria Math"/>
            <w:lang w:val="fr-FR"/>
          </w:rPr>
          <m:t>C=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lang w:val="fr-FR"/>
                      </w:rPr>
                      <w:sym w:font="Symbol" w:char="F072"/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lang w:val="fr-FR"/>
                      </w:rPr>
                      <w:sym w:font="Symbol" w:char="F072"/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lang w:val="fr-FR"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lang w:val="fr-FR"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</m:den>
        </m:f>
      </m:oMath>
    </w:p>
    <w:p w:rsidR="00883D75" w:rsidRDefault="00EE767B" w:rsidP="00FE33FA">
      <w:pPr>
        <w:pStyle w:val="SingleTxtG"/>
        <w:tabs>
          <w:tab w:val="left" w:pos="2835"/>
        </w:tabs>
        <w:ind w:left="2268"/>
        <w:rPr>
          <w:shd w:val="clear" w:color="auto" w:fill="FFFFFF"/>
          <w:lang w:val="fr-FR"/>
        </w:rPr>
      </w:pPr>
      <w:r w:rsidRPr="00747BC0">
        <w:rPr>
          <w:lang w:val="fr-FR" w:eastAsia="ar-SA"/>
        </w:rPr>
        <w:t>où</w:t>
      </w:r>
      <w:r w:rsidR="00AD63E4">
        <w:rPr>
          <w:lang w:val="fr-FR" w:eastAsia="ar-SA"/>
        </w:rPr>
        <w:t xml:space="preserve"> :</w:t>
      </w:r>
      <w:r w:rsidRPr="00747BC0">
        <w:rPr>
          <w:lang w:val="fr-FR" w:eastAsia="ar-SA"/>
        </w:rPr>
        <w:tab/>
      </w:r>
      <w:r w:rsidR="00FE33FA">
        <w:rPr>
          <w:lang w:val="fr-FR" w:eastAsia="ar-SA"/>
        </w:rPr>
        <w:tab/>
      </w:r>
      <w:r w:rsidRPr="00747BC0">
        <w:rPr>
          <w:lang w:val="fr-FR" w:eastAsia="ar-SA"/>
        </w:rPr>
        <w:sym w:font="Symbol" w:char="F072"/>
      </w:r>
      <w:r w:rsidRPr="00747BC0">
        <w:rPr>
          <w:vertAlign w:val="subscript"/>
          <w:lang w:val="fr-FR" w:eastAsia="ar-SA"/>
        </w:rPr>
        <w:t>1</w:t>
      </w:r>
      <w:r w:rsidRPr="00747BC0">
        <w:rPr>
          <w:lang w:val="fr-FR" w:eastAsia="ar-SA"/>
        </w:rPr>
        <w:t xml:space="preserve"> =</w:t>
      </w:r>
      <w:r w:rsidRPr="00747BC0">
        <w:rPr>
          <w:lang w:val="fr-FR" w:eastAsia="ar-SA"/>
        </w:rPr>
        <w:tab/>
      </w:r>
      <w:r w:rsidRPr="00747BC0">
        <w:rPr>
          <w:shd w:val="clear" w:color="auto" w:fill="FFFFFF"/>
          <w:lang w:val="fr-FR"/>
        </w:rPr>
        <w:t>réflectance du matériau de l</w:t>
      </w:r>
      <w:r w:rsidR="0006410C">
        <w:rPr>
          <w:shd w:val="clear" w:color="auto" w:fill="FFFFFF"/>
          <w:lang w:val="fr-FR"/>
        </w:rPr>
        <w:t>’</w:t>
      </w:r>
      <w:r w:rsidRPr="00747BC0">
        <w:rPr>
          <w:shd w:val="clear" w:color="auto" w:fill="FFFFFF"/>
          <w:lang w:val="fr-FR"/>
        </w:rPr>
        <w:t>objet qui doit être vu ;</w:t>
      </w:r>
    </w:p>
    <w:p w:rsidR="00EE767B" w:rsidRPr="00747BC0" w:rsidRDefault="00FE33FA" w:rsidP="00FE33FA">
      <w:pPr>
        <w:pStyle w:val="SingleTxtG"/>
        <w:tabs>
          <w:tab w:val="left" w:pos="2835"/>
        </w:tabs>
        <w:ind w:left="3402" w:hanging="1134"/>
        <w:rPr>
          <w:lang w:val="fr-FR" w:eastAsia="ar-SA"/>
        </w:rPr>
      </w:pPr>
      <w:r>
        <w:rPr>
          <w:lang w:val="fr-FR" w:eastAsia="ar-SA"/>
        </w:rPr>
        <w:tab/>
      </w:r>
      <w:r w:rsidR="00EE767B" w:rsidRPr="00747BC0">
        <w:rPr>
          <w:lang w:val="fr-FR" w:eastAsia="ar-SA"/>
        </w:rPr>
        <w:sym w:font="Symbol" w:char="F072"/>
      </w:r>
      <w:r w:rsidR="00EE767B" w:rsidRPr="00747BC0">
        <w:rPr>
          <w:vertAlign w:val="subscript"/>
          <w:lang w:val="fr-FR" w:eastAsia="ar-SA"/>
        </w:rPr>
        <w:t>2</w:t>
      </w:r>
      <w:r w:rsidR="00EE767B" w:rsidRPr="00747BC0">
        <w:rPr>
          <w:lang w:val="fr-FR" w:eastAsia="ar-SA"/>
        </w:rPr>
        <w:t xml:space="preserve"> =</w:t>
      </w:r>
      <w:r w:rsidR="00EE767B" w:rsidRPr="00747BC0">
        <w:rPr>
          <w:lang w:val="fr-FR" w:eastAsia="ar-SA"/>
        </w:rPr>
        <w:tab/>
      </w:r>
      <w:r w:rsidR="00EE767B" w:rsidRPr="00747BC0">
        <w:rPr>
          <w:shd w:val="clear" w:color="auto" w:fill="FFFFFF"/>
          <w:lang w:val="fr-FR"/>
        </w:rPr>
        <w:t>réflectance de l</w:t>
      </w:r>
      <w:r w:rsidR="0006410C">
        <w:rPr>
          <w:shd w:val="clear" w:color="auto" w:fill="FFFFFF"/>
          <w:lang w:val="fr-FR"/>
        </w:rPr>
        <w:t>’</w:t>
      </w:r>
      <w:r w:rsidR="00EE767B" w:rsidRPr="00747BC0">
        <w:rPr>
          <w:shd w:val="clear" w:color="auto" w:fill="FFFFFF"/>
          <w:lang w:val="fr-FR"/>
        </w:rPr>
        <w:t>environnement ou des matériaux, entourant l</w:t>
      </w:r>
      <w:r w:rsidR="0006410C">
        <w:rPr>
          <w:shd w:val="clear" w:color="auto" w:fill="FFFFFF"/>
          <w:lang w:val="fr-FR"/>
        </w:rPr>
        <w:t>’</w:t>
      </w:r>
      <w:r w:rsidR="00EE767B" w:rsidRPr="00747BC0">
        <w:rPr>
          <w:shd w:val="clear" w:color="auto" w:fill="FFFFFF"/>
          <w:lang w:val="fr-FR"/>
        </w:rPr>
        <w:t>objet.</w:t>
      </w:r>
    </w:p>
    <w:p w:rsidR="00EE767B" w:rsidRPr="00747BC0" w:rsidRDefault="00EE767B" w:rsidP="00883D75">
      <w:pPr>
        <w:pStyle w:val="SingleTxtG"/>
        <w:ind w:left="2268" w:hanging="1134"/>
        <w:rPr>
          <w:lang w:val="fr-FR" w:eastAsia="ar-SA"/>
        </w:rPr>
      </w:pPr>
      <w:r w:rsidRPr="00747BC0">
        <w:rPr>
          <w:lang w:val="fr-FR" w:eastAsia="ar-SA"/>
        </w:rPr>
        <w:t>2.</w:t>
      </w:r>
      <w:r w:rsidRPr="00747BC0">
        <w:rPr>
          <w:lang w:val="fr-FR" w:eastAsia="ar-SA"/>
        </w:rPr>
        <w:tab/>
      </w:r>
      <w:r w:rsidR="00883D75">
        <w:rPr>
          <w:lang w:val="fr-FR" w:eastAsia="ar-SA"/>
        </w:rPr>
        <w:tab/>
      </w:r>
      <w:r w:rsidRPr="00747BC0">
        <w:rPr>
          <w:shd w:val="clear" w:color="auto" w:fill="FFFFFF"/>
          <w:lang w:val="fr-FR"/>
        </w:rPr>
        <w:t>Pour déterminer les valeurs de réflectance</w:t>
      </w:r>
      <w:r w:rsidRPr="00747BC0">
        <w:rPr>
          <w:lang w:val="fr-FR" w:eastAsia="ar-SA"/>
        </w:rPr>
        <w:t xml:space="preserve"> </w:t>
      </w:r>
      <w:r w:rsidRPr="00747BC0">
        <w:rPr>
          <w:lang w:val="fr-FR" w:eastAsia="ar-SA"/>
        </w:rPr>
        <w:sym w:font="Symbol" w:char="F072"/>
      </w:r>
      <w:r w:rsidRPr="00747BC0">
        <w:rPr>
          <w:vertAlign w:val="subscript"/>
          <w:lang w:val="fr-FR" w:eastAsia="ar-SA"/>
        </w:rPr>
        <w:t>1</w:t>
      </w:r>
      <w:r w:rsidRPr="00747BC0">
        <w:rPr>
          <w:lang w:val="fr-FR" w:eastAsia="ar-SA"/>
        </w:rPr>
        <w:t xml:space="preserve">, </w:t>
      </w:r>
      <w:r w:rsidRPr="00747BC0">
        <w:rPr>
          <w:lang w:val="fr-FR" w:eastAsia="ar-SA"/>
        </w:rPr>
        <w:sym w:font="Symbol" w:char="F072"/>
      </w:r>
      <w:r w:rsidRPr="00747BC0">
        <w:rPr>
          <w:vertAlign w:val="subscript"/>
          <w:lang w:val="fr-FR" w:eastAsia="ar-SA"/>
        </w:rPr>
        <w:t>2</w:t>
      </w:r>
      <w:r w:rsidRPr="00747BC0">
        <w:rPr>
          <w:lang w:val="fr-FR" w:eastAsia="ar-SA"/>
        </w:rPr>
        <w:t xml:space="preserve"> et </w:t>
      </w:r>
      <w:r w:rsidRPr="00747BC0">
        <w:rPr>
          <w:lang w:val="fr-FR" w:eastAsia="ar-SA"/>
        </w:rPr>
        <w:sym w:font="Symbol" w:char="F072"/>
      </w:r>
      <w:r w:rsidRPr="00747BC0">
        <w:rPr>
          <w:vertAlign w:val="subscript"/>
          <w:lang w:val="fr-FR" w:eastAsia="ar-SA"/>
        </w:rPr>
        <w:t>d</w:t>
      </w:r>
      <w:r w:rsidRPr="00747BC0">
        <w:rPr>
          <w:lang w:val="fr-FR" w:eastAsia="ar-SA"/>
        </w:rPr>
        <w:t xml:space="preserve"> </w:t>
      </w:r>
      <w:r w:rsidRPr="00747BC0">
        <w:rPr>
          <w:shd w:val="clear" w:color="auto" w:fill="FFFFFF"/>
          <w:lang w:val="fr-FR"/>
        </w:rPr>
        <w:t>on utilise une sphère intégrante conformément à la norme</w:t>
      </w:r>
      <w:r w:rsidRPr="00747BC0">
        <w:rPr>
          <w:lang w:val="fr-FR" w:eastAsia="ar-SA"/>
        </w:rPr>
        <w:t xml:space="preserve"> CIE 38:1977.</w:t>
      </w:r>
    </w:p>
    <w:p w:rsidR="00EE767B" w:rsidRPr="00747BC0" w:rsidRDefault="00EE767B" w:rsidP="00883D75">
      <w:pPr>
        <w:pStyle w:val="SingleTxtG"/>
        <w:ind w:left="2268"/>
        <w:rPr>
          <w:lang w:val="fr-FR"/>
        </w:rPr>
      </w:pPr>
      <w:r w:rsidRPr="00747BC0">
        <w:rPr>
          <w:shd w:val="clear" w:color="auto" w:fill="FFFFFF"/>
          <w:lang w:val="fr-FR"/>
        </w:rPr>
        <w:t>La valeur de réflectance doit être lue directement sur le cadran de l</w:t>
      </w:r>
      <w:r w:rsidR="0006410C">
        <w:rPr>
          <w:shd w:val="clear" w:color="auto" w:fill="FFFFFF"/>
          <w:lang w:val="fr-FR"/>
        </w:rPr>
        <w:t>’</w:t>
      </w:r>
      <w:r w:rsidRPr="00747BC0">
        <w:rPr>
          <w:shd w:val="clear" w:color="auto" w:fill="FFFFFF"/>
          <w:lang w:val="fr-FR"/>
        </w:rPr>
        <w:t>appareil de mesure ou calculée par la formule suivante</w:t>
      </w:r>
      <w:r w:rsidR="00630085">
        <w:rPr>
          <w:shd w:val="clear" w:color="auto" w:fill="FFFFFF"/>
          <w:lang w:val="fr-FR"/>
        </w:rPr>
        <w:t> </w:t>
      </w:r>
      <w:r w:rsidR="00630085">
        <w:rPr>
          <w:lang w:val="fr-FR"/>
        </w:rPr>
        <w:t>:</w:t>
      </w:r>
    </w:p>
    <w:p w:rsidR="00EE767B" w:rsidRPr="00747BC0" w:rsidRDefault="00EE767B" w:rsidP="00FE33FA">
      <w:pPr>
        <w:ind w:left="2835"/>
        <w:rPr>
          <w:lang w:val="fr-FR" w:eastAsia="ar-SA"/>
        </w:rPr>
      </w:pPr>
      <w:r w:rsidRPr="00747BC0">
        <w:rPr>
          <w:lang w:val="fr-FR" w:eastAsia="ar-SA"/>
        </w:rPr>
        <w:tab/>
      </w:r>
      <m:oMath>
        <m:r>
          <w:rPr>
            <w:rFonts w:ascii="Cambria Math" w:hAnsi="Cambria Math"/>
            <w:i/>
            <w:lang w:val="fr-FR"/>
          </w:rPr>
          <w:sym w:font="Symbol" w:char="F072"/>
        </m:r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lang w:val="fr-FR"/>
                  </w:rPr>
                  <w:sym w:font="Symbol" w:char="F046"/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lang w:val="fr-FR"/>
                  </w:rPr>
                  <w:sym w:font="Symbol" w:char="F046"/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den>
        </m:f>
      </m:oMath>
    </w:p>
    <w:p w:rsidR="00EE767B" w:rsidRPr="00747BC0" w:rsidRDefault="00EE767B" w:rsidP="00883D75">
      <w:pPr>
        <w:pStyle w:val="SingleTxtG"/>
        <w:ind w:left="2268"/>
        <w:rPr>
          <w:lang w:val="fr-FR" w:eastAsia="ar-SA"/>
        </w:rPr>
      </w:pPr>
      <w:r w:rsidRPr="00747BC0">
        <w:rPr>
          <w:lang w:val="fr-FR" w:eastAsia="ar-SA"/>
        </w:rPr>
        <w:tab/>
        <w:t>où</w:t>
      </w:r>
      <w:r w:rsidR="00883D75">
        <w:rPr>
          <w:lang w:val="fr-FR" w:eastAsia="ar-SA"/>
        </w:rPr>
        <w:t> :</w:t>
      </w:r>
    </w:p>
    <w:p w:rsidR="00EE767B" w:rsidRPr="00747BC0" w:rsidRDefault="00883D75" w:rsidP="00FE33FA">
      <w:pPr>
        <w:pStyle w:val="SingleTxtG"/>
        <w:tabs>
          <w:tab w:val="left" w:pos="2835"/>
        </w:tabs>
        <w:ind w:left="3402" w:hanging="1134"/>
        <w:rPr>
          <w:lang w:val="fr-FR" w:eastAsia="ar-SA"/>
        </w:rPr>
      </w:pPr>
      <w:r>
        <w:rPr>
          <w:lang w:val="fr-FR" w:eastAsia="ar-SA"/>
        </w:rPr>
        <w:tab/>
      </w:r>
      <w:r w:rsidR="00EE767B" w:rsidRPr="00747BC0">
        <w:rPr>
          <w:lang w:val="fr-FR" w:eastAsia="ar-SA"/>
        </w:rPr>
        <w:sym w:font="Symbol" w:char="F046"/>
      </w:r>
      <w:r w:rsidR="00EE767B" w:rsidRPr="00747BC0">
        <w:rPr>
          <w:vertAlign w:val="subscript"/>
          <w:lang w:val="fr-FR" w:eastAsia="ar-SA"/>
        </w:rPr>
        <w:t>1</w:t>
      </w:r>
      <w:r w:rsidR="00EE767B" w:rsidRPr="00747BC0">
        <w:rPr>
          <w:lang w:val="fr-FR" w:eastAsia="ar-SA"/>
        </w:rPr>
        <w:t xml:space="preserve"> =</w:t>
      </w:r>
      <w:r w:rsidR="00EE767B" w:rsidRPr="00747BC0">
        <w:rPr>
          <w:lang w:val="fr-FR" w:eastAsia="ar-SA"/>
        </w:rPr>
        <w:tab/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flux lumineux incident sur l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échantillon de matériau ;</w:t>
      </w:r>
    </w:p>
    <w:p w:rsidR="00EE767B" w:rsidRPr="00747BC0" w:rsidRDefault="00883D75" w:rsidP="00FE33FA">
      <w:pPr>
        <w:pStyle w:val="SingleTxtG"/>
        <w:tabs>
          <w:tab w:val="left" w:pos="2835"/>
        </w:tabs>
        <w:ind w:left="3402" w:hanging="1134"/>
        <w:rPr>
          <w:lang w:val="fr-FR" w:eastAsia="ar-SA"/>
        </w:rPr>
      </w:pPr>
      <w:r>
        <w:rPr>
          <w:lang w:val="fr-FR" w:eastAsia="ar-SA"/>
        </w:rPr>
        <w:tab/>
      </w:r>
      <w:r w:rsidR="00EE767B" w:rsidRPr="00747BC0">
        <w:rPr>
          <w:lang w:val="fr-FR" w:eastAsia="ar-SA"/>
        </w:rPr>
        <w:sym w:font="Symbol" w:char="F046"/>
      </w:r>
      <w:r w:rsidR="00EE767B" w:rsidRPr="00747BC0">
        <w:rPr>
          <w:vertAlign w:val="subscript"/>
          <w:lang w:val="fr-FR" w:eastAsia="ar-SA"/>
        </w:rPr>
        <w:t>2</w:t>
      </w:r>
      <w:r w:rsidR="00EE767B" w:rsidRPr="00747BC0">
        <w:rPr>
          <w:lang w:val="fr-FR" w:eastAsia="ar-SA"/>
        </w:rPr>
        <w:t xml:space="preserve"> =</w:t>
      </w:r>
      <w:r w:rsidR="00EE767B" w:rsidRPr="00747BC0">
        <w:rPr>
          <w:lang w:val="fr-FR" w:eastAsia="ar-SA"/>
        </w:rPr>
        <w:tab/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flux lumineux réfléchi (réflectance).</w:t>
      </w:r>
    </w:p>
    <w:p w:rsidR="00EE767B" w:rsidRPr="00747BC0" w:rsidRDefault="008B6EA8" w:rsidP="00630085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2.1</w:t>
      </w:r>
      <w:r w:rsidR="00EE767B" w:rsidRPr="00747BC0">
        <w:rPr>
          <w:lang w:val="fr-FR" w:eastAsia="ar-SA"/>
        </w:rPr>
        <w:tab/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angle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illumination du flux lumineux incident sur l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53415B">
        <w:rPr>
          <w:color w:val="333333"/>
          <w:sz w:val="21"/>
          <w:szCs w:val="21"/>
          <w:shd w:val="clear" w:color="auto" w:fill="FFFFFF"/>
          <w:lang w:val="fr-FR"/>
        </w:rPr>
        <w:t xml:space="preserve">échantillon Θi doit être de 8° </w:t>
      </w:r>
      <w:r w:rsidR="0053415B" w:rsidRPr="00460532">
        <w:rPr>
          <w:lang w:val="fr-CA"/>
        </w:rPr>
        <w:sym w:font="Symbol" w:char="F0B1"/>
      </w:r>
      <w:r w:rsidR="0053415B">
        <w:rPr>
          <w:lang w:val="fr-CA"/>
        </w:rPr>
        <w:t xml:space="preserve"> 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0,5°.</w:t>
      </w:r>
    </w:p>
    <w:p w:rsidR="00EE767B" w:rsidRPr="00747BC0" w:rsidRDefault="008B6EA8" w:rsidP="00630085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2.2</w:t>
      </w:r>
      <w:r w:rsidR="00EE767B" w:rsidRPr="00747BC0">
        <w:rPr>
          <w:lang w:val="fr-FR" w:eastAsia="ar-SA"/>
        </w:rPr>
        <w:tab/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Le flux lumineux incident sur l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échantillon doit être déterminé à l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aide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un étalon de réflectance diffuse étalonné par un laboratoire agréé. L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incertitude de mesure étendue doit être inférieure à 3 %</w:t>
      </w:r>
      <w:r w:rsidR="00EE767B" w:rsidRPr="00747BC0">
        <w:rPr>
          <w:lang w:val="fr-FR" w:eastAsia="ar-SA"/>
        </w:rPr>
        <w:t>.</w:t>
      </w:r>
    </w:p>
    <w:p w:rsidR="00EE767B" w:rsidRPr="00747BC0" w:rsidRDefault="00EE767B" w:rsidP="008632F2">
      <w:pPr>
        <w:pStyle w:val="SingleTxtG"/>
        <w:ind w:left="2268" w:hanging="1134"/>
        <w:rPr>
          <w:lang w:val="fr-FR" w:eastAsia="ar-SA"/>
        </w:rPr>
      </w:pPr>
      <w:r w:rsidRPr="00747BC0">
        <w:rPr>
          <w:lang w:val="fr-FR" w:eastAsia="ar-SA"/>
        </w:rPr>
        <w:t>3.</w:t>
      </w:r>
      <w:r w:rsidRPr="00747BC0">
        <w:rPr>
          <w:lang w:val="fr-FR" w:eastAsia="ar-SA"/>
        </w:rPr>
        <w:tab/>
      </w:r>
      <w:r w:rsidRPr="00747BC0">
        <w:rPr>
          <w:color w:val="333333"/>
          <w:sz w:val="21"/>
          <w:szCs w:val="21"/>
          <w:shd w:val="clear" w:color="auto" w:fill="FFFFFF"/>
          <w:lang w:val="fr-FR"/>
        </w:rPr>
        <w:t xml:space="preserve">Exemple de sphère intégrante conforme à la norme </w:t>
      </w:r>
      <w:r w:rsidR="00630085">
        <w:rPr>
          <w:lang w:val="fr-FR" w:eastAsia="ar-SA"/>
        </w:rPr>
        <w:t>CIE 38:1977 :</w:t>
      </w:r>
    </w:p>
    <w:p w:rsidR="00EE767B" w:rsidRPr="00747BC0" w:rsidRDefault="003975E7" w:rsidP="0039511B">
      <w:pPr>
        <w:ind w:left="2268"/>
        <w:rPr>
          <w:lang w:val="fr-FR"/>
        </w:rPr>
      </w:pPr>
      <w:r w:rsidRPr="00747BC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96631" wp14:editId="404226C4">
                <wp:simplePos x="0" y="0"/>
                <wp:positionH relativeFrom="column">
                  <wp:posOffset>4743450</wp:posOffset>
                </wp:positionH>
                <wp:positionV relativeFrom="paragraph">
                  <wp:posOffset>1155700</wp:posOffset>
                </wp:positionV>
                <wp:extent cx="845820" cy="1714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7B" w:rsidRPr="009F5C67" w:rsidRDefault="00EE767B" w:rsidP="003975E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R</w:t>
                            </w:r>
                            <w:r w:rsidR="00C670F8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éflectance</w:t>
                            </w:r>
                            <w:r w:rsidR="003975E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 xml:space="preserve"> </w:t>
                            </w: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en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9663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73.5pt;margin-top:91pt;width:66.6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" fillcolor="white [3201]" stroked="f" strokeweight=".5pt">
                <v:textbox inset="0,0,0,0">
                  <w:txbxContent>
                    <w:p w:rsidR="00EE767B" w:rsidRPr="009F5C67" w:rsidRDefault="00EE767B" w:rsidP="003975E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R</w:t>
                      </w:r>
                      <w:r w:rsidR="00C670F8">
                        <w:rPr>
                          <w:sz w:val="18"/>
                          <w:szCs w:val="18"/>
                          <w:lang w:val="fr-FR" w:eastAsia="ar-SA"/>
                        </w:rPr>
                        <w:t>éflectance</w:t>
                      </w:r>
                      <w:r w:rsidR="003975E7">
                        <w:rPr>
                          <w:sz w:val="18"/>
                          <w:szCs w:val="18"/>
                          <w:lang w:val="fr-FR" w:eastAsia="ar-SA"/>
                        </w:rPr>
                        <w:t xml:space="preserve"> </w:t>
                      </w: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en %</w:t>
                      </w:r>
                    </w:p>
                  </w:txbxContent>
                </v:textbox>
              </v:shape>
            </w:pict>
          </mc:Fallback>
        </mc:AlternateContent>
      </w:r>
      <w:r w:rsidR="0039511B" w:rsidRPr="00747BC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0958763" wp14:editId="7377A453">
                <wp:simplePos x="0" y="0"/>
                <wp:positionH relativeFrom="column">
                  <wp:posOffset>2521585</wp:posOffset>
                </wp:positionH>
                <wp:positionV relativeFrom="paragraph">
                  <wp:posOffset>2210435</wp:posOffset>
                </wp:positionV>
                <wp:extent cx="866775" cy="202565"/>
                <wp:effectExtent l="0" t="0" r="9525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7B" w:rsidRPr="009F5C67" w:rsidRDefault="00EE767B" w:rsidP="00EE76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Porte-</w:t>
                            </w: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échantillon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8763" id="Zone de texte 12" o:spid="_x0000_s1027" type="#_x0000_t202" style="position:absolute;left:0;text-align:left;margin-left:198.55pt;margin-top:174.05pt;width:68.25pt;height:15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" fillcolor="white [3201]" stroked="f" strokeweight=".5pt">
                <v:textbox inset="0,0,0,0">
                  <w:txbxContent>
                    <w:p w:rsidR="00EE767B" w:rsidRPr="009F5C67" w:rsidRDefault="00EE767B" w:rsidP="00EE76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fr-FR" w:eastAsia="ar-SA"/>
                        </w:rPr>
                        <w:t>Porte-</w:t>
                      </w: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échantillon</w:t>
                      </w:r>
                    </w:p>
                  </w:txbxContent>
                </v:textbox>
              </v:shape>
            </w:pict>
          </mc:Fallback>
        </mc:AlternateContent>
      </w:r>
      <w:r w:rsidR="0039511B" w:rsidRPr="00747BC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D5F330" wp14:editId="5EDF44F0">
                <wp:simplePos x="0" y="0"/>
                <wp:positionH relativeFrom="column">
                  <wp:posOffset>2647315</wp:posOffset>
                </wp:positionH>
                <wp:positionV relativeFrom="paragraph">
                  <wp:posOffset>1425575</wp:posOffset>
                </wp:positionV>
                <wp:extent cx="942975" cy="202565"/>
                <wp:effectExtent l="0" t="0" r="9525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7B" w:rsidRPr="009F5C67" w:rsidRDefault="00EE767B" w:rsidP="00EE76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Réglage du zéro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F330" id="Zone de texte 10" o:spid="_x0000_s1028" type="#_x0000_t202" style="position:absolute;left:0;text-align:left;margin-left:208.45pt;margin-top:112.25pt;width:74.25pt;height:15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" fillcolor="white [3201]" stroked="f" strokeweight=".5pt">
                <v:textbox inset="0,0,0,0">
                  <w:txbxContent>
                    <w:p w:rsidR="00EE767B" w:rsidRPr="009F5C67" w:rsidRDefault="00EE767B" w:rsidP="00EE76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Réglage du zéro</w:t>
                      </w:r>
                    </w:p>
                  </w:txbxContent>
                </v:textbox>
              </v:shape>
            </w:pict>
          </mc:Fallback>
        </mc:AlternateContent>
      </w:r>
      <w:r w:rsidR="0039511B" w:rsidRPr="00747BC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FE7E94E" wp14:editId="0EEE3792">
                <wp:simplePos x="0" y="0"/>
                <wp:positionH relativeFrom="column">
                  <wp:posOffset>2771775</wp:posOffset>
                </wp:positionH>
                <wp:positionV relativeFrom="paragraph">
                  <wp:posOffset>1894840</wp:posOffset>
                </wp:positionV>
                <wp:extent cx="866775" cy="202565"/>
                <wp:effectExtent l="0" t="0" r="9525" b="69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7B" w:rsidRPr="009F5C67" w:rsidRDefault="00EE767B" w:rsidP="00EE76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Photodétecteur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E94E" id="Zone de texte 11" o:spid="_x0000_s1029" type="#_x0000_t202" style="position:absolute;left:0;text-align:left;margin-left:218.25pt;margin-top:149.2pt;width:68.25pt;height:15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" fillcolor="white [3201]" stroked="f" strokeweight=".5pt">
                <v:textbox inset="0,0,0,0">
                  <w:txbxContent>
                    <w:p w:rsidR="00EE767B" w:rsidRPr="009F5C67" w:rsidRDefault="00EE767B" w:rsidP="00EE76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Photodétecteur</w:t>
                      </w:r>
                    </w:p>
                  </w:txbxContent>
                </v:textbox>
              </v:shape>
            </w:pict>
          </mc:Fallback>
        </mc:AlternateContent>
      </w:r>
      <w:r w:rsidR="0039511B" w:rsidRPr="00747BC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D69488" wp14:editId="3A0D23F6">
                <wp:simplePos x="0" y="0"/>
                <wp:positionH relativeFrom="column">
                  <wp:posOffset>4881880</wp:posOffset>
                </wp:positionH>
                <wp:positionV relativeFrom="paragraph">
                  <wp:posOffset>1374140</wp:posOffset>
                </wp:positionV>
                <wp:extent cx="704850" cy="3619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7B" w:rsidRPr="009F5C67" w:rsidRDefault="00EE767B" w:rsidP="00EE7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5C67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Réglage de l’étalonnage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9488" id="Zone de texte 9" o:spid="_x0000_s1030" type="#_x0000_t202" style="position:absolute;left:0;text-align:left;margin-left:384.4pt;margin-top:108.2pt;width:55.5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" fillcolor="white [3201]" stroked="f" strokeweight=".5pt">
                <v:textbox inset="0,0,0,0">
                  <w:txbxContent>
                    <w:p w:rsidR="00EE767B" w:rsidRPr="009F5C67" w:rsidRDefault="00EE767B" w:rsidP="00EE767B">
                      <w:pPr>
                        <w:rPr>
                          <w:sz w:val="18"/>
                          <w:szCs w:val="18"/>
                        </w:rPr>
                      </w:pPr>
                      <w:r w:rsidRPr="009F5C67">
                        <w:rPr>
                          <w:sz w:val="18"/>
                          <w:szCs w:val="18"/>
                          <w:lang w:val="fr-FR" w:eastAsia="ar-SA"/>
                        </w:rPr>
                        <w:t>Réglage de l’étalonnage</w:t>
                      </w:r>
                    </w:p>
                  </w:txbxContent>
                </v:textbox>
              </v:shape>
            </w:pict>
          </mc:Fallback>
        </mc:AlternateContent>
      </w:r>
      <w:r w:rsidR="0039511B" w:rsidRPr="00747BC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664967C" wp14:editId="4BEDF115">
                <wp:simplePos x="0" y="0"/>
                <wp:positionH relativeFrom="column">
                  <wp:posOffset>3463925</wp:posOffset>
                </wp:positionH>
                <wp:positionV relativeFrom="paragraph">
                  <wp:posOffset>626110</wp:posOffset>
                </wp:positionV>
                <wp:extent cx="1333500" cy="1524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7B" w:rsidRPr="00B01F13" w:rsidRDefault="00EE767B" w:rsidP="00EE76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1F13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Compteur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967C" id="Zone de texte 7" o:spid="_x0000_s1031" type="#_x0000_t202" style="position:absolute;left:0;text-align:left;margin-left:272.75pt;margin-top:49.3pt;width:10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" fillcolor="white [3201]" stroked="f" strokeweight=".5pt">
                <v:textbox inset="0,0,0,0">
                  <w:txbxContent>
                    <w:p w:rsidR="00EE767B" w:rsidRPr="00B01F13" w:rsidRDefault="00EE767B" w:rsidP="00EE76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01F13">
                        <w:rPr>
                          <w:sz w:val="18"/>
                          <w:szCs w:val="18"/>
                          <w:lang w:val="fr-FR" w:eastAsia="ar-SA"/>
                        </w:rPr>
                        <w:t>Compteur</w:t>
                      </w:r>
                    </w:p>
                  </w:txbxContent>
                </v:textbox>
              </v:shape>
            </w:pict>
          </mc:Fallback>
        </mc:AlternateContent>
      </w:r>
      <w:r w:rsidR="0039511B" w:rsidRPr="00747BC0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2468AE6" wp14:editId="674B4BFB">
                <wp:simplePos x="0" y="0"/>
                <wp:positionH relativeFrom="column">
                  <wp:posOffset>1914525</wp:posOffset>
                </wp:positionH>
                <wp:positionV relativeFrom="paragraph">
                  <wp:posOffset>29210</wp:posOffset>
                </wp:positionV>
                <wp:extent cx="868680" cy="508635"/>
                <wp:effectExtent l="0" t="0" r="7620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7B" w:rsidRPr="00B01F13" w:rsidRDefault="00EE767B" w:rsidP="00EE7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1F13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 xml:space="preserve">Source lumineuse </w:t>
                            </w:r>
                            <w:r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br/>
                            </w:r>
                            <w:r w:rsidRPr="00B01F13">
                              <w:rPr>
                                <w:sz w:val="18"/>
                                <w:szCs w:val="18"/>
                                <w:lang w:val="fr-FR" w:eastAsia="ar-SA"/>
                              </w:rPr>
                              <w:t>et système optique collimateur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8AE6" id="Zone de texte 5" o:spid="_x0000_s1032" type="#_x0000_t202" style="position:absolute;left:0;text-align:left;margin-left:150.75pt;margin-top:2.3pt;width:68.4pt;height:40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" fillcolor="white [3201]" stroked="f" strokeweight=".5pt">
                <v:textbox inset="0,0,0,0">
                  <w:txbxContent>
                    <w:p w:rsidR="00EE767B" w:rsidRPr="00B01F13" w:rsidRDefault="00EE767B" w:rsidP="00EE767B">
                      <w:pPr>
                        <w:rPr>
                          <w:sz w:val="18"/>
                          <w:szCs w:val="18"/>
                        </w:rPr>
                      </w:pPr>
                      <w:r w:rsidRPr="00B01F13">
                        <w:rPr>
                          <w:sz w:val="18"/>
                          <w:szCs w:val="18"/>
                          <w:lang w:val="fr-FR" w:eastAsia="ar-SA"/>
                        </w:rPr>
                        <w:t xml:space="preserve">Source lumineuse </w:t>
                      </w:r>
                      <w:r>
                        <w:rPr>
                          <w:sz w:val="18"/>
                          <w:szCs w:val="18"/>
                          <w:lang w:val="fr-FR" w:eastAsia="ar-SA"/>
                        </w:rPr>
                        <w:br/>
                      </w:r>
                      <w:r w:rsidRPr="00B01F13">
                        <w:rPr>
                          <w:sz w:val="18"/>
                          <w:szCs w:val="18"/>
                          <w:lang w:val="fr-FR" w:eastAsia="ar-SA"/>
                        </w:rPr>
                        <w:t>et système optique collimateur</w:t>
                      </w:r>
                    </w:p>
                  </w:txbxContent>
                </v:textbox>
              </v:shape>
            </w:pict>
          </mc:Fallback>
        </mc:AlternateContent>
      </w:r>
      <w:r w:rsidR="00EE767B" w:rsidRPr="00747BC0">
        <w:rPr>
          <w:noProof/>
          <w:lang w:eastAsia="fr-CH"/>
        </w:rPr>
        <w:drawing>
          <wp:inline distT="0" distB="0" distL="0" distR="0" wp14:anchorId="4EAEBF64" wp14:editId="20F13CB1">
            <wp:extent cx="4135185" cy="2536647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85" cy="253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A8">
        <w:rPr>
          <w:lang w:val="fr-FR" w:eastAsia="de-DE"/>
        </w:rPr>
        <w:t> ».</w:t>
      </w:r>
    </w:p>
    <w:p w:rsidR="00EE767B" w:rsidRPr="008B6EA8" w:rsidRDefault="00EE767B" w:rsidP="008632F2">
      <w:pPr>
        <w:pStyle w:val="SingleTxtG"/>
        <w:keepNext/>
        <w:spacing w:before="240"/>
        <w:rPr>
          <w:i/>
          <w:lang w:val="fr-FR" w:eastAsia="ar-SA"/>
        </w:rPr>
      </w:pPr>
      <w:r w:rsidRPr="008B6EA8">
        <w:rPr>
          <w:i/>
          <w:lang w:val="fr-FR" w:eastAsia="ar-SA"/>
        </w:rPr>
        <w:lastRenderedPageBreak/>
        <w:t>Annexe 8</w:t>
      </w:r>
    </w:p>
    <w:p w:rsidR="00EE767B" w:rsidRPr="00747BC0" w:rsidRDefault="00EE767B" w:rsidP="008632F2">
      <w:pPr>
        <w:pStyle w:val="SingleTxtG"/>
        <w:keepNext/>
        <w:rPr>
          <w:lang w:val="fr-FR" w:eastAsia="ar-SA"/>
        </w:rPr>
      </w:pPr>
      <w:r w:rsidRPr="008B6EA8">
        <w:rPr>
          <w:i/>
          <w:lang w:val="fr-FR" w:eastAsia="ar-SA"/>
        </w:rPr>
        <w:t>Paragraphe 3.3.3</w:t>
      </w:r>
      <w:r w:rsidRPr="00747BC0">
        <w:rPr>
          <w:lang w:val="fr-FR" w:eastAsia="ar-SA"/>
        </w:rPr>
        <w:t>, lire</w:t>
      </w:r>
      <w:r w:rsidR="00CE3833">
        <w:rPr>
          <w:lang w:val="fr-FR" w:eastAsia="ar-SA"/>
        </w:rPr>
        <w:t> :</w:t>
      </w:r>
    </w:p>
    <w:p w:rsidR="00EE767B" w:rsidRPr="00747BC0" w:rsidRDefault="008B6EA8" w:rsidP="008632F2">
      <w:pPr>
        <w:pStyle w:val="SingleTxtG"/>
        <w:keepNext/>
        <w:ind w:left="2268" w:hanging="1134"/>
        <w:rPr>
          <w:lang w:val="fr-FR" w:eastAsia="ar-SA"/>
        </w:rPr>
      </w:pPr>
      <w:r>
        <w:rPr>
          <w:lang w:val="fr-FR" w:eastAsia="ar-SA"/>
        </w:rPr>
        <w:t>« 3.3.3</w:t>
      </w:r>
      <w:r w:rsidR="00EE767B" w:rsidRPr="00747BC0">
        <w:rPr>
          <w:lang w:val="fr-FR" w:eastAsia="ar-SA"/>
        </w:rPr>
        <w:tab/>
      </w:r>
      <w:r w:rsidR="00EE767B" w:rsidRPr="00747BC0">
        <w:rPr>
          <w:shd w:val="clear" w:color="auto" w:fill="FFFFFF"/>
          <w:lang w:val="fr-FR"/>
        </w:rPr>
        <w:t>Ces dispositifs de communication doivent satisfaire aux prescriptions suivantes</w:t>
      </w:r>
      <w:r>
        <w:rPr>
          <w:shd w:val="clear" w:color="auto" w:fill="FFFFFF"/>
          <w:lang w:val="fr-FR"/>
        </w:rPr>
        <w:t> </w:t>
      </w:r>
      <w:r>
        <w:rPr>
          <w:lang w:val="fr-FR" w:eastAsia="ar-SA"/>
        </w:rPr>
        <w:t>:</w:t>
      </w:r>
    </w:p>
    <w:p w:rsidR="00EE767B" w:rsidRPr="00747BC0" w:rsidRDefault="008B6EA8" w:rsidP="008B6EA8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3.3.3.1</w:t>
      </w:r>
      <w:r w:rsidR="00EE767B" w:rsidRPr="00747BC0">
        <w:rPr>
          <w:lang w:val="fr-FR" w:eastAsia="ar-SA"/>
        </w:rPr>
        <w:tab/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Offrir un contraste visuel C égal ou supérieur à 0,4 et un facteur de réflectance diffuse ρ</w:t>
      </w:r>
      <w:r w:rsidR="00EE767B" w:rsidRPr="00747BC0">
        <w:rPr>
          <w:color w:val="333333"/>
          <w:sz w:val="21"/>
          <w:szCs w:val="21"/>
          <w:shd w:val="clear" w:color="auto" w:fill="FFFFFF"/>
          <w:vertAlign w:val="subscript"/>
          <w:lang w:val="fr-FR"/>
        </w:rPr>
        <w:t>d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 xml:space="preserve"> d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au moins 0,5 calculé conformément à l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annexe 5, ou être blancs ou jaunes</w:t>
      </w:r>
      <w:r w:rsidR="00EE767B" w:rsidRPr="00747BC0">
        <w:rPr>
          <w:lang w:val="fr-FR" w:eastAsia="ar-SA"/>
        </w:rPr>
        <w:t>,</w:t>
      </w:r>
    </w:p>
    <w:p w:rsidR="00EE767B" w:rsidRPr="00747BC0" w:rsidRDefault="00EE767B" w:rsidP="008B6EA8">
      <w:pPr>
        <w:pStyle w:val="SingleTxtG"/>
        <w:ind w:left="2268" w:hanging="1134"/>
        <w:rPr>
          <w:lang w:val="fr-FR" w:eastAsia="ar-SA"/>
        </w:rPr>
      </w:pPr>
      <w:r w:rsidRPr="00747BC0">
        <w:rPr>
          <w:lang w:val="fr-FR" w:eastAsia="ar-SA"/>
        </w:rPr>
        <w:t>3.3.3.2.</w:t>
      </w:r>
      <w:r w:rsidRPr="00747BC0">
        <w:rPr>
          <w:lang w:val="fr-FR" w:eastAsia="ar-SA"/>
        </w:rPr>
        <w:tab/>
      </w:r>
      <w:r w:rsidR="003037C5">
        <w:rPr>
          <w:lang w:val="fr-FR" w:eastAsia="ar-SA"/>
        </w:rPr>
        <w:t>p</w:t>
      </w:r>
      <w:r w:rsidRPr="00747BC0">
        <w:rPr>
          <w:color w:val="333333"/>
          <w:sz w:val="21"/>
          <w:szCs w:val="21"/>
          <w:shd w:val="clear" w:color="auto" w:fill="FFFFFF"/>
          <w:lang w:val="fr-FR"/>
        </w:rPr>
        <w:t>résenter une surface tactile, c</w:t>
      </w:r>
      <w:r w:rsidR="0006410C">
        <w:rPr>
          <w:color w:val="333333"/>
          <w:sz w:val="21"/>
          <w:szCs w:val="21"/>
          <w:shd w:val="clear" w:color="auto" w:fill="FFFFFF"/>
          <w:lang w:val="fr-FR"/>
        </w:rPr>
        <w:t>’</w:t>
      </w:r>
      <w:r w:rsidR="003037C5">
        <w:rPr>
          <w:color w:val="333333"/>
          <w:sz w:val="21"/>
          <w:szCs w:val="21"/>
          <w:shd w:val="clear" w:color="auto" w:fill="FFFFFF"/>
          <w:lang w:val="fr-FR"/>
        </w:rPr>
        <w:t>est-à-dire être en saillie,</w:t>
      </w:r>
    </w:p>
    <w:p w:rsidR="00EE767B" w:rsidRPr="00747BC0" w:rsidRDefault="0039511B" w:rsidP="008B6EA8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3.3.3.3</w:t>
      </w:r>
      <w:r w:rsidR="00EE767B" w:rsidRPr="00747BC0">
        <w:rPr>
          <w:lang w:val="fr-FR" w:eastAsia="ar-SA"/>
        </w:rPr>
        <w:tab/>
      </w:r>
      <w:r w:rsidR="003037C5">
        <w:rPr>
          <w:lang w:val="fr-FR" w:eastAsia="ar-SA"/>
        </w:rPr>
        <w:t>é</w:t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mettre un signal sonore et visuel indiquant que le dispositif a bien été activé.</w:t>
      </w:r>
      <w:r w:rsidR="008B6EA8">
        <w:rPr>
          <w:lang w:val="fr-FR" w:eastAsia="ar-SA"/>
        </w:rPr>
        <w:t> ».</w:t>
      </w:r>
    </w:p>
    <w:p w:rsidR="00EE767B" w:rsidRPr="00747BC0" w:rsidRDefault="00EE767B" w:rsidP="008B6EA8">
      <w:pPr>
        <w:pStyle w:val="SingleTxtG"/>
        <w:rPr>
          <w:lang w:val="fr-FR" w:eastAsia="ar-SA"/>
        </w:rPr>
      </w:pPr>
      <w:r w:rsidRPr="008B6EA8">
        <w:rPr>
          <w:i/>
          <w:lang w:val="fr-FR" w:eastAsia="ar-SA"/>
        </w:rPr>
        <w:t>Paragraphe 3.5</w:t>
      </w:r>
      <w:r w:rsidRPr="00747BC0">
        <w:rPr>
          <w:lang w:val="fr-FR" w:eastAsia="ar-SA"/>
        </w:rPr>
        <w:t>, lire</w:t>
      </w:r>
      <w:r w:rsidR="00FC0B4E">
        <w:rPr>
          <w:lang w:val="fr-FR" w:eastAsia="ar-SA"/>
        </w:rPr>
        <w:t> :</w:t>
      </w:r>
    </w:p>
    <w:p w:rsidR="00EE767B" w:rsidRPr="00747BC0" w:rsidRDefault="0039511B" w:rsidP="008B6EA8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3.5</w:t>
      </w:r>
      <w:r w:rsidR="00EE767B" w:rsidRPr="00747BC0">
        <w:rPr>
          <w:lang w:val="fr-FR" w:eastAsia="ar-SA"/>
        </w:rPr>
        <w:tab/>
      </w:r>
      <w:r w:rsidR="00EE767B" w:rsidRPr="00747BC0">
        <w:rPr>
          <w:color w:val="333333"/>
          <w:sz w:val="21"/>
          <w:szCs w:val="21"/>
          <w:shd w:val="clear" w:color="auto" w:fill="FFFFFF"/>
          <w:lang w:val="fr-FR"/>
        </w:rPr>
        <w:t>Pente du plancher</w:t>
      </w:r>
    </w:p>
    <w:p w:rsidR="00EE767B" w:rsidRPr="00747BC0" w:rsidRDefault="00EE767B" w:rsidP="0039511B">
      <w:pPr>
        <w:pStyle w:val="SingleTxtG"/>
        <w:ind w:left="2268"/>
        <w:rPr>
          <w:lang w:val="fr-FR" w:eastAsia="ar-SA"/>
        </w:rPr>
      </w:pPr>
      <w:r w:rsidRPr="00747BC0">
        <w:rPr>
          <w:lang w:val="fr-FR" w:eastAsia="ar-SA"/>
        </w:rPr>
        <w:t>La pente de toute allée, de tout passage d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accès ou de toute surface de plancher entre un siège réservé et au moins une entrée et une issue ou une entrée/issue combinée ne doit pas être supérieure à 8 %. La pente de toute allée, de tout passage d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accès ou de toute surface de plancher entre un emplacement pour fauteuil roulant et au moins une entrée et une issue ou une entrée/issue combinée ne doit pas être supérieure à 5 %. Ces parties en pente doivent être pourvues d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un revêtement antidérapant. Cela étant, au point de convergence, dans l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allée ou un passage d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accès ou une surface de plancher, de pentes de direction différente, ces valeurs limites peuvent être dépassées à condition que l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allée, le passage d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accès ou la surface de plancher concerné ne représente pas plus de 25 % du total de la surface parcourue par le fauteuil roulant pour atteindre l</w:t>
      </w:r>
      <w:r w:rsidR="0006410C">
        <w:rPr>
          <w:lang w:val="fr-FR" w:eastAsia="ar-SA"/>
        </w:rPr>
        <w:t>’</w:t>
      </w:r>
      <w:r w:rsidRPr="00747BC0">
        <w:rPr>
          <w:lang w:val="fr-FR" w:eastAsia="ar-SA"/>
        </w:rPr>
        <w:t>emplacement qui lui est réservé</w:t>
      </w:r>
      <w:r w:rsidR="0039511B">
        <w:rPr>
          <w:lang w:val="fr-FR" w:eastAsia="ar-SA"/>
        </w:rPr>
        <w:t>. ».</w:t>
      </w:r>
    </w:p>
    <w:p w:rsidR="00EE767B" w:rsidRPr="00747BC0" w:rsidRDefault="00EE767B" w:rsidP="0039511B">
      <w:pPr>
        <w:pStyle w:val="SingleTxtG"/>
        <w:rPr>
          <w:lang w:val="fr-FR" w:eastAsia="ar-SA"/>
        </w:rPr>
      </w:pPr>
      <w:r w:rsidRPr="0039511B">
        <w:rPr>
          <w:i/>
          <w:lang w:val="fr-FR" w:eastAsia="ar-SA"/>
        </w:rPr>
        <w:t>Paragraphe 3.6.1</w:t>
      </w:r>
      <w:r w:rsidRPr="00747BC0">
        <w:rPr>
          <w:lang w:val="fr-FR" w:eastAsia="ar-SA"/>
        </w:rPr>
        <w:t>, lire</w:t>
      </w:r>
      <w:r w:rsidR="00FC0B4E">
        <w:rPr>
          <w:lang w:val="fr-FR" w:eastAsia="ar-SA"/>
        </w:rPr>
        <w:t> :</w:t>
      </w:r>
    </w:p>
    <w:p w:rsidR="006D2E1F" w:rsidRDefault="0039511B" w:rsidP="006D2E1F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>« 3.6.1</w:t>
      </w:r>
      <w:r w:rsidR="00EE767B" w:rsidRPr="00747BC0">
        <w:rPr>
          <w:lang w:val="fr-FR" w:eastAsia="ar-SA"/>
        </w:rPr>
        <w:tab/>
        <w:t>Pour chaque occupant de fauteuil roulant pour lequel le compartiment voyageurs est prévu, il doit exister un emp</w:t>
      </w:r>
      <w:r>
        <w:rPr>
          <w:lang w:val="fr-FR" w:eastAsia="ar-SA"/>
        </w:rPr>
        <w:t>lacement spécial d</w:t>
      </w:r>
      <w:r w:rsidR="0006410C">
        <w:rPr>
          <w:lang w:val="fr-FR" w:eastAsia="ar-SA"/>
        </w:rPr>
        <w:t>’</w:t>
      </w:r>
      <w:r>
        <w:rPr>
          <w:lang w:val="fr-FR" w:eastAsia="ar-SA"/>
        </w:rPr>
        <w:t>au moins 750 </w:t>
      </w:r>
      <w:r w:rsidR="00EE767B" w:rsidRPr="00747BC0">
        <w:rPr>
          <w:lang w:val="fr-FR" w:eastAsia="ar-SA"/>
        </w:rPr>
        <w:t>mm de lar</w:t>
      </w:r>
      <w:r>
        <w:rPr>
          <w:lang w:val="fr-FR" w:eastAsia="ar-SA"/>
        </w:rPr>
        <w:t>geur, 1 300 mm de longueur et 1 </w:t>
      </w:r>
      <w:r w:rsidR="00EE767B" w:rsidRPr="00747BC0">
        <w:rPr>
          <w:lang w:val="fr-FR" w:eastAsia="ar-SA"/>
        </w:rPr>
        <w:t>400 mm de hauteur. Le plan longitudinal de cet emplacement doit être parallèle au plan longitudinal du véhicule, le revêtement de plancher de cet emplacement doit être antidérapant et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emplacement ne doit présenter, ni vers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avant ni vers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ar</w:t>
      </w:r>
      <w:r>
        <w:rPr>
          <w:lang w:val="fr-FR" w:eastAsia="ar-SA"/>
        </w:rPr>
        <w:t>rière, une pente supérieure à 5 </w:t>
      </w:r>
      <w:r w:rsidR="00EE767B" w:rsidRPr="00747BC0">
        <w:rPr>
          <w:lang w:val="fr-FR" w:eastAsia="ar-SA"/>
        </w:rPr>
        <w:t xml:space="preserve">%. Dans la direction latérale, la pente </w:t>
      </w:r>
      <w:r w:rsidR="0006410C">
        <w:rPr>
          <w:lang w:val="fr-FR" w:eastAsia="ar-SA"/>
        </w:rPr>
        <w:t>ne doit pas être supérieure à 3 </w:t>
      </w:r>
      <w:r w:rsidR="00EE767B" w:rsidRPr="00747BC0">
        <w:rPr>
          <w:lang w:val="fr-FR" w:eastAsia="ar-SA"/>
        </w:rPr>
        <w:t>%. Toutefois, à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arrière de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emplacement pour fauteuil roulant où convergent des pentes de directions différentes, ces valeurs limites peuvent être dépassées à condition que cet espace ne représente au total pas plus de 25</w:t>
      </w:r>
      <w:r w:rsidR="0006410C">
        <w:rPr>
          <w:lang w:val="fr-FR" w:eastAsia="ar-SA"/>
        </w:rPr>
        <w:t> </w:t>
      </w:r>
      <w:r w:rsidR="00EE767B" w:rsidRPr="00747BC0">
        <w:rPr>
          <w:lang w:val="fr-FR" w:eastAsia="ar-SA"/>
        </w:rPr>
        <w:t>% de cet emplacement. En outre, dans le cas d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un fauteuil roulant tourné vers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 xml:space="preserve">arrière installé conformément </w:t>
      </w:r>
      <w:r w:rsidR="0006410C">
        <w:rPr>
          <w:lang w:val="fr-FR" w:eastAsia="ar-SA"/>
        </w:rPr>
        <w:t>aux prescriptions du paragraphe </w:t>
      </w:r>
      <w:r w:rsidR="00EE767B" w:rsidRPr="00747BC0">
        <w:rPr>
          <w:lang w:val="fr-FR" w:eastAsia="ar-SA"/>
        </w:rPr>
        <w:t>3.8.4, la pente dans la direction longitudinale</w:t>
      </w:r>
      <w:r>
        <w:rPr>
          <w:lang w:val="fr-FR" w:eastAsia="ar-SA"/>
        </w:rPr>
        <w:t xml:space="preserve"> peut atteindre un maximum de 8 </w:t>
      </w:r>
      <w:r w:rsidR="00EE767B" w:rsidRPr="00747BC0">
        <w:rPr>
          <w:lang w:val="fr-FR" w:eastAsia="ar-SA"/>
        </w:rPr>
        <w:t>%, si elle s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élève de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avant vers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arrière de cet emplacement spécial.</w:t>
      </w:r>
    </w:p>
    <w:p w:rsidR="00EE767B" w:rsidRPr="00747BC0" w:rsidRDefault="006D2E1F" w:rsidP="006D2E1F">
      <w:pPr>
        <w:pStyle w:val="SingleTxtG"/>
        <w:ind w:left="2268" w:hanging="1134"/>
        <w:rPr>
          <w:lang w:val="fr-FR" w:eastAsia="ar-SA"/>
        </w:rPr>
      </w:pPr>
      <w:r>
        <w:rPr>
          <w:lang w:val="fr-FR" w:eastAsia="ar-SA"/>
        </w:rPr>
        <w:tab/>
      </w:r>
      <w:r w:rsidR="00EE767B" w:rsidRPr="00747BC0">
        <w:rPr>
          <w:lang w:val="fr-FR" w:eastAsia="ar-SA"/>
        </w:rPr>
        <w:t>Dans le cas d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un emplacement pour fauteuil roulant</w:t>
      </w:r>
      <w:r>
        <w:rPr>
          <w:lang w:val="fr-FR" w:eastAsia="ar-SA"/>
        </w:rPr>
        <w:t> </w:t>
      </w:r>
      <w:r w:rsidR="00EE767B" w:rsidRPr="00747BC0">
        <w:rPr>
          <w:lang w:val="fr-FR" w:eastAsia="ar-SA"/>
        </w:rPr>
        <w:t>… conformément à la figure 22 de l</w:t>
      </w:r>
      <w:r w:rsidR="0006410C">
        <w:rPr>
          <w:lang w:val="fr-FR" w:eastAsia="ar-SA"/>
        </w:rPr>
        <w:t>’</w:t>
      </w:r>
      <w:r w:rsidR="00EE767B" w:rsidRPr="00747BC0">
        <w:rPr>
          <w:lang w:val="fr-FR" w:eastAsia="ar-SA"/>
        </w:rPr>
        <w:t>annexe 4</w:t>
      </w:r>
      <w:r w:rsidR="00EE767B" w:rsidRPr="00747BC0">
        <w:rPr>
          <w:lang w:val="fr-FR"/>
        </w:rPr>
        <w:t>.</w:t>
      </w:r>
      <w:r>
        <w:rPr>
          <w:lang w:val="fr-FR" w:eastAsia="ar-SA"/>
        </w:rPr>
        <w:t> ».</w:t>
      </w:r>
    </w:p>
    <w:p w:rsidR="00EE767B" w:rsidRPr="00747BC0" w:rsidRDefault="00EE767B" w:rsidP="006D2E1F">
      <w:pPr>
        <w:pStyle w:val="SingleTxtG"/>
        <w:rPr>
          <w:lang w:val="fr-FR" w:eastAsia="ar-SA"/>
        </w:rPr>
      </w:pPr>
      <w:r w:rsidRPr="006D2E1F">
        <w:rPr>
          <w:i/>
          <w:lang w:val="fr-FR" w:eastAsia="ar-SA"/>
        </w:rPr>
        <w:t>Annexe 12, paragraphe 3.10.12</w:t>
      </w:r>
      <w:r w:rsidRPr="00747BC0">
        <w:rPr>
          <w:lang w:val="fr-FR" w:eastAsia="ar-SA"/>
        </w:rPr>
        <w:t>, lire</w:t>
      </w:r>
      <w:r w:rsidR="00FC0B4E">
        <w:rPr>
          <w:lang w:val="fr-FR" w:eastAsia="ar-SA"/>
        </w:rPr>
        <w:t> :</w:t>
      </w:r>
    </w:p>
    <w:p w:rsidR="00EE767B" w:rsidRPr="00747BC0" w:rsidRDefault="006D2E1F" w:rsidP="006D2E1F">
      <w:pPr>
        <w:pStyle w:val="SingleTxtG"/>
        <w:rPr>
          <w:lang w:val="fr-FR" w:eastAsia="ar-SA"/>
        </w:rPr>
      </w:pPr>
      <w:r>
        <w:rPr>
          <w:lang w:val="fr-FR" w:eastAsia="ar-SA"/>
        </w:rPr>
        <w:t>« 3.10.12</w:t>
      </w:r>
      <w:r w:rsidR="00EE767B" w:rsidRPr="00747BC0">
        <w:rPr>
          <w:lang w:val="fr-FR" w:eastAsia="ar-SA"/>
        </w:rPr>
        <w:tab/>
      </w:r>
      <w:r w:rsidR="00EE767B" w:rsidRPr="00747BC0">
        <w:rPr>
          <w:lang w:val="fr-FR"/>
        </w:rPr>
        <w:t>Toutes les isolations</w:t>
      </w:r>
      <w:r>
        <w:rPr>
          <w:lang w:val="fr-FR"/>
        </w:rPr>
        <w:t> </w:t>
      </w:r>
      <w:r w:rsidR="00EE767B" w:rsidRPr="00747BC0">
        <w:rPr>
          <w:lang w:val="fr-FR" w:eastAsia="ar-SA"/>
        </w:rPr>
        <w:t>…</w:t>
      </w:r>
    </w:p>
    <w:p w:rsidR="00EE767B" w:rsidRPr="00747BC0" w:rsidRDefault="00EE767B" w:rsidP="006D2E1F">
      <w:pPr>
        <w:pStyle w:val="SingleTxtG"/>
        <w:ind w:left="2268"/>
        <w:rPr>
          <w:lang w:val="fr-FR" w:eastAsia="ar-SA"/>
        </w:rPr>
      </w:pPr>
      <w:r w:rsidRPr="00747BC0">
        <w:rPr>
          <w:lang w:val="fr-FR" w:eastAsia="ar-SA"/>
        </w:rPr>
        <w:t xml:space="preserve">… </w:t>
      </w:r>
      <w:r w:rsidRPr="00747BC0">
        <w:rPr>
          <w:lang w:val="fr-FR"/>
        </w:rPr>
        <w:t>en courant alternatif</w:t>
      </w:r>
      <w:r w:rsidRPr="00747BC0">
        <w:rPr>
          <w:lang w:val="fr-FR" w:eastAsia="ar-SA"/>
        </w:rPr>
        <w:t>.</w:t>
      </w:r>
    </w:p>
    <w:p w:rsidR="00F9573C" w:rsidRDefault="00EE767B" w:rsidP="006D2E1F">
      <w:pPr>
        <w:pStyle w:val="SingleTxtG"/>
        <w:ind w:left="2268"/>
        <w:rPr>
          <w:lang w:val="fr-FR" w:eastAsia="ar-SA"/>
        </w:rPr>
      </w:pPr>
      <w:r w:rsidRPr="00747BC0">
        <w:rPr>
          <w:lang w:val="fr-FR" w:eastAsia="ar-SA"/>
        </w:rPr>
        <w:t>Les circuits directement connectés à la ligne aérienne doivent être doublement isolés.</w:t>
      </w:r>
      <w:r w:rsidR="006D2E1F">
        <w:rPr>
          <w:lang w:val="fr-FR" w:eastAsia="ar-SA"/>
        </w:rPr>
        <w:t> ».</w:t>
      </w:r>
    </w:p>
    <w:p w:rsidR="006D2E1F" w:rsidRPr="006D2E1F" w:rsidRDefault="006D2E1F" w:rsidP="006D2E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2E1F" w:rsidRPr="006D2E1F" w:rsidSect="00307C8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C3" w:rsidRDefault="00A845C3" w:rsidP="00F95C08">
      <w:pPr>
        <w:spacing w:line="240" w:lineRule="auto"/>
      </w:pPr>
    </w:p>
  </w:endnote>
  <w:endnote w:type="continuationSeparator" w:id="0">
    <w:p w:rsidR="00A845C3" w:rsidRPr="00AC3823" w:rsidRDefault="00A845C3" w:rsidP="00AC3823">
      <w:pPr>
        <w:pStyle w:val="Footer"/>
      </w:pPr>
    </w:p>
  </w:endnote>
  <w:endnote w:type="continuationNotice" w:id="1">
    <w:p w:rsidR="00A845C3" w:rsidRDefault="00A845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8B" w:rsidRPr="00307C8B" w:rsidRDefault="00307C8B" w:rsidP="00307C8B">
    <w:pPr>
      <w:pStyle w:val="Footer"/>
      <w:tabs>
        <w:tab w:val="right" w:pos="9638"/>
      </w:tabs>
    </w:pPr>
    <w:r w:rsidRPr="00307C8B">
      <w:rPr>
        <w:b/>
        <w:sz w:val="18"/>
      </w:rPr>
      <w:fldChar w:fldCharType="begin"/>
    </w:r>
    <w:r w:rsidRPr="00307C8B">
      <w:rPr>
        <w:b/>
        <w:sz w:val="18"/>
      </w:rPr>
      <w:instrText xml:space="preserve"> PAGE  \* MERGEFORMAT </w:instrText>
    </w:r>
    <w:r w:rsidRPr="00307C8B">
      <w:rPr>
        <w:b/>
        <w:sz w:val="18"/>
      </w:rPr>
      <w:fldChar w:fldCharType="separate"/>
    </w:r>
    <w:r w:rsidR="00AD2CB9">
      <w:rPr>
        <w:b/>
        <w:noProof/>
        <w:sz w:val="18"/>
      </w:rPr>
      <w:t>2</w:t>
    </w:r>
    <w:r w:rsidRPr="00307C8B">
      <w:rPr>
        <w:b/>
        <w:sz w:val="18"/>
      </w:rPr>
      <w:fldChar w:fldCharType="end"/>
    </w:r>
    <w:r>
      <w:rPr>
        <w:b/>
        <w:sz w:val="18"/>
      </w:rPr>
      <w:tab/>
    </w:r>
    <w:r>
      <w:t>GE.17-23504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8B" w:rsidRPr="00307C8B" w:rsidRDefault="00307C8B" w:rsidP="00307C8B">
    <w:pPr>
      <w:pStyle w:val="Footer"/>
      <w:tabs>
        <w:tab w:val="right" w:pos="9638"/>
      </w:tabs>
      <w:rPr>
        <w:b/>
        <w:sz w:val="18"/>
      </w:rPr>
    </w:pPr>
    <w:r>
      <w:t>GE.17-23504</w:t>
    </w:r>
    <w:r>
      <w:tab/>
    </w:r>
    <w:r w:rsidRPr="00307C8B">
      <w:rPr>
        <w:b/>
        <w:sz w:val="18"/>
      </w:rPr>
      <w:fldChar w:fldCharType="begin"/>
    </w:r>
    <w:r w:rsidRPr="00307C8B">
      <w:rPr>
        <w:b/>
        <w:sz w:val="18"/>
      </w:rPr>
      <w:instrText xml:space="preserve"> PAGE  \* MERGEFORMAT </w:instrText>
    </w:r>
    <w:r w:rsidRPr="00307C8B">
      <w:rPr>
        <w:b/>
        <w:sz w:val="18"/>
      </w:rPr>
      <w:fldChar w:fldCharType="separate"/>
    </w:r>
    <w:r w:rsidR="00AD2CB9">
      <w:rPr>
        <w:b/>
        <w:noProof/>
        <w:sz w:val="18"/>
      </w:rPr>
      <w:t>3</w:t>
    </w:r>
    <w:r w:rsidRPr="00307C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307C8B" w:rsidRDefault="00307C8B" w:rsidP="00307C8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17-23504  (F)    030118    040118</w:t>
    </w:r>
    <w:r>
      <w:rPr>
        <w:sz w:val="20"/>
      </w:rPr>
      <w:br/>
    </w:r>
    <w:r w:rsidRPr="00307C8B">
      <w:rPr>
        <w:rFonts w:ascii="C39T30Lfz" w:hAnsi="C39T30Lfz"/>
        <w:sz w:val="56"/>
      </w:rPr>
      <w:t></w:t>
    </w:r>
    <w:r w:rsidRPr="00307C8B">
      <w:rPr>
        <w:rFonts w:ascii="C39T30Lfz" w:hAnsi="C39T30Lfz"/>
        <w:sz w:val="56"/>
      </w:rPr>
      <w:t></w:t>
    </w:r>
    <w:r w:rsidRPr="00307C8B">
      <w:rPr>
        <w:rFonts w:ascii="C39T30Lfz" w:hAnsi="C39T30Lfz"/>
        <w:sz w:val="56"/>
      </w:rPr>
      <w:t></w:t>
    </w:r>
    <w:r w:rsidRPr="00307C8B">
      <w:rPr>
        <w:rFonts w:ascii="C39T30Lfz" w:hAnsi="C39T30Lfz"/>
        <w:sz w:val="56"/>
      </w:rPr>
      <w:t></w:t>
    </w:r>
    <w:r w:rsidRPr="00307C8B">
      <w:rPr>
        <w:rFonts w:ascii="C39T30Lfz" w:hAnsi="C39T30Lfz"/>
        <w:sz w:val="56"/>
      </w:rPr>
      <w:t></w:t>
    </w:r>
    <w:r w:rsidRPr="00307C8B">
      <w:rPr>
        <w:rFonts w:ascii="C39T30Lfz" w:hAnsi="C39T30Lfz"/>
        <w:sz w:val="56"/>
      </w:rPr>
      <w:t></w:t>
    </w:r>
    <w:r w:rsidRPr="00307C8B">
      <w:rPr>
        <w:rFonts w:ascii="C39T30Lfz" w:hAnsi="C39T30Lfz"/>
        <w:sz w:val="56"/>
      </w:rPr>
      <w:t></w:t>
    </w:r>
    <w:r w:rsidRPr="00307C8B">
      <w:rPr>
        <w:rFonts w:ascii="C39T30Lfz" w:hAnsi="C39T30Lfz"/>
        <w:sz w:val="56"/>
      </w:rPr>
      <w:t></w:t>
    </w:r>
    <w:r w:rsidRPr="00307C8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C3" w:rsidRPr="00AC3823" w:rsidRDefault="00A845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45C3" w:rsidRPr="00AC3823" w:rsidRDefault="00A845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45C3" w:rsidRPr="00AC3823" w:rsidRDefault="00A845C3">
      <w:pPr>
        <w:spacing w:line="240" w:lineRule="auto"/>
        <w:rPr>
          <w:sz w:val="2"/>
          <w:szCs w:val="2"/>
        </w:rPr>
      </w:pPr>
    </w:p>
  </w:footnote>
  <w:footnote w:id="2">
    <w:p w:rsidR="00EE767B" w:rsidRPr="00EA7CA1" w:rsidRDefault="00EE767B" w:rsidP="00EE767B">
      <w:pPr>
        <w:pStyle w:val="FootnoteText"/>
        <w:rPr>
          <w:lang w:val="fr-FR"/>
        </w:rPr>
      </w:pPr>
      <w:r w:rsidRPr="00A90EA8">
        <w:rPr>
          <w:lang w:val="en-GB"/>
        </w:rPr>
        <w:tab/>
      </w:r>
      <w:r w:rsidRPr="00EA7CA1">
        <w:rPr>
          <w:lang w:val="fr-FR"/>
        </w:rPr>
        <w:t>*</w:t>
      </w:r>
      <w:r w:rsidRPr="00EA7CA1">
        <w:rPr>
          <w:lang w:val="fr-FR"/>
        </w:rPr>
        <w:tab/>
      </w:r>
      <w:r w:rsidRPr="00420C7E">
        <w:rPr>
          <w:lang w:val="fr-FR"/>
        </w:rPr>
        <w:t xml:space="preserve">Conformément au programme de travail du Comité des transports </w:t>
      </w:r>
      <w:r w:rsidR="003D7274">
        <w:rPr>
          <w:lang w:val="fr-FR"/>
        </w:rPr>
        <w:t>intérieurs pour la période 2016</w:t>
      </w:r>
      <w:r w:rsidR="003D7274">
        <w:rPr>
          <w:lang w:val="fr-FR"/>
        </w:rPr>
        <w:noBreakHyphen/>
      </w:r>
      <w:r w:rsidRPr="00420C7E">
        <w:rPr>
          <w:lang w:val="fr-FR"/>
        </w:rPr>
        <w:t xml:space="preserve">2017 (ECE/TRANS/254, par. 159, et ECE/TRANS/2016/28/Add.1, </w:t>
      </w:r>
      <w:r>
        <w:rPr>
          <w:lang w:val="fr-FR"/>
        </w:rPr>
        <w:t xml:space="preserve">module </w:t>
      </w:r>
      <w:r w:rsidRPr="00420C7E">
        <w:rPr>
          <w:lang w:val="fr-FR"/>
        </w:rPr>
        <w:t xml:space="preserve">3.1), le Forum mondial a pour mission d’élaborer, d’harmoniser et de mettre à jour les Règlements en vue d’améliorer les caractéristiques fonctionnelles des véhicules. </w:t>
      </w:r>
      <w:r w:rsidRPr="005754E0">
        <w:rPr>
          <w:lang w:val="fr-FR"/>
        </w:rPr>
        <w:t>Le présent document est soumis en vertu de ce mandat</w:t>
      </w:r>
      <w:r w:rsidRPr="00EA7CA1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8B" w:rsidRPr="00307C8B" w:rsidRDefault="00AD2C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0DE7">
      <w:t>ECE/TRANS/WP.29/2018/21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8B" w:rsidRPr="00307C8B" w:rsidRDefault="00AD2CB9" w:rsidP="00307C8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0DE7">
      <w:t>ECE/TRANS/WP.29/2018/21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3"/>
    <w:rsid w:val="00017F94"/>
    <w:rsid w:val="00023842"/>
    <w:rsid w:val="000334F9"/>
    <w:rsid w:val="00045FEB"/>
    <w:rsid w:val="0006410C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37C5"/>
    <w:rsid w:val="00305801"/>
    <w:rsid w:val="00307C8B"/>
    <w:rsid w:val="003916DE"/>
    <w:rsid w:val="0039511B"/>
    <w:rsid w:val="003975E7"/>
    <w:rsid w:val="003A01E1"/>
    <w:rsid w:val="003C4A08"/>
    <w:rsid w:val="003D7274"/>
    <w:rsid w:val="00441C3B"/>
    <w:rsid w:val="00446FE5"/>
    <w:rsid w:val="00452396"/>
    <w:rsid w:val="004837D8"/>
    <w:rsid w:val="004E468C"/>
    <w:rsid w:val="00514C40"/>
    <w:rsid w:val="0053415B"/>
    <w:rsid w:val="005505B7"/>
    <w:rsid w:val="00573BE5"/>
    <w:rsid w:val="00586ED3"/>
    <w:rsid w:val="00596AA9"/>
    <w:rsid w:val="00630085"/>
    <w:rsid w:val="006D2E1F"/>
    <w:rsid w:val="0071601D"/>
    <w:rsid w:val="007362EF"/>
    <w:rsid w:val="007A62E6"/>
    <w:rsid w:val="007F20FA"/>
    <w:rsid w:val="0080684C"/>
    <w:rsid w:val="008632F2"/>
    <w:rsid w:val="00871C75"/>
    <w:rsid w:val="008776DC"/>
    <w:rsid w:val="00883D75"/>
    <w:rsid w:val="008B6EA8"/>
    <w:rsid w:val="009446C0"/>
    <w:rsid w:val="009705C8"/>
    <w:rsid w:val="009C1CF4"/>
    <w:rsid w:val="009C1EC7"/>
    <w:rsid w:val="009F6B74"/>
    <w:rsid w:val="00A07F2E"/>
    <w:rsid w:val="00A30353"/>
    <w:rsid w:val="00A845C3"/>
    <w:rsid w:val="00AA0DE7"/>
    <w:rsid w:val="00AC3823"/>
    <w:rsid w:val="00AD2CB9"/>
    <w:rsid w:val="00AD63E4"/>
    <w:rsid w:val="00AE323C"/>
    <w:rsid w:val="00AF0CB5"/>
    <w:rsid w:val="00B00181"/>
    <w:rsid w:val="00B00B0D"/>
    <w:rsid w:val="00B50C33"/>
    <w:rsid w:val="00B765F7"/>
    <w:rsid w:val="00BA0CA9"/>
    <w:rsid w:val="00C02897"/>
    <w:rsid w:val="00C670F8"/>
    <w:rsid w:val="00C80D7F"/>
    <w:rsid w:val="00C97039"/>
    <w:rsid w:val="00CE3833"/>
    <w:rsid w:val="00CF4CBF"/>
    <w:rsid w:val="00D3439C"/>
    <w:rsid w:val="00D51DF5"/>
    <w:rsid w:val="00DB1831"/>
    <w:rsid w:val="00DD3BFD"/>
    <w:rsid w:val="00DF6678"/>
    <w:rsid w:val="00E0299A"/>
    <w:rsid w:val="00E3614D"/>
    <w:rsid w:val="00E85C74"/>
    <w:rsid w:val="00EA6547"/>
    <w:rsid w:val="00EE767B"/>
    <w:rsid w:val="00EF2E22"/>
    <w:rsid w:val="00F35BAF"/>
    <w:rsid w:val="00F660DF"/>
    <w:rsid w:val="00F94664"/>
    <w:rsid w:val="00F9573C"/>
    <w:rsid w:val="00F95C08"/>
    <w:rsid w:val="00FC0B4E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7A6C6F-A89B-47BB-9591-64D5A045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ECE/TRANS/WP.29/2018/21</vt:lpstr>
      <vt:lpstr>ECE/TRANS/WP.29/2018/21</vt:lpstr>
    </vt:vector>
  </TitlesOfParts>
  <Company>DCM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ECE/TRANS/WP.29/2018/21</dc:title>
  <dc:subject/>
  <dc:creator>Sylvie LAMY</dc:creator>
  <cp:keywords/>
  <cp:lastModifiedBy>Lucille Caillot</cp:lastModifiedBy>
  <cp:revision>2</cp:revision>
  <cp:lastPrinted>2018-01-04T07:33:00Z</cp:lastPrinted>
  <dcterms:created xsi:type="dcterms:W3CDTF">2018-01-22T12:39:00Z</dcterms:created>
  <dcterms:modified xsi:type="dcterms:W3CDTF">2018-01-22T12:39:00Z</dcterms:modified>
</cp:coreProperties>
</file>