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9791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97917" w:rsidP="00997917">
            <w:pPr>
              <w:jc w:val="right"/>
            </w:pPr>
            <w:r w:rsidRPr="00997917">
              <w:rPr>
                <w:sz w:val="40"/>
              </w:rPr>
              <w:t>ECE</w:t>
            </w:r>
            <w:r>
              <w:t>/TRANS/WP.11/2018/7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9791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997917" w:rsidRDefault="00997917" w:rsidP="00997917">
            <w:pPr>
              <w:spacing w:line="240" w:lineRule="exact"/>
            </w:pPr>
            <w:r>
              <w:t>29 juin 2018</w:t>
            </w:r>
          </w:p>
          <w:p w:rsidR="00997917" w:rsidRDefault="00997917" w:rsidP="00997917">
            <w:pPr>
              <w:spacing w:line="240" w:lineRule="exact"/>
            </w:pPr>
            <w:r>
              <w:t>Français</w:t>
            </w:r>
          </w:p>
          <w:p w:rsidR="00997917" w:rsidRPr="00DB58B5" w:rsidRDefault="00997917" w:rsidP="0099791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97917" w:rsidRPr="00997917" w:rsidRDefault="00997917" w:rsidP="00997917">
      <w:pPr>
        <w:spacing w:before="120" w:after="120"/>
        <w:rPr>
          <w:b/>
          <w:sz w:val="24"/>
          <w:szCs w:val="24"/>
        </w:rPr>
      </w:pPr>
      <w:r w:rsidRPr="00997917">
        <w:rPr>
          <w:b/>
          <w:sz w:val="24"/>
          <w:szCs w:val="24"/>
        </w:rPr>
        <w:t xml:space="preserve">Groupe de travail du transport des denrées périssables </w:t>
      </w:r>
    </w:p>
    <w:p w:rsidR="00997917" w:rsidRPr="00530A4D" w:rsidRDefault="00997917" w:rsidP="00997917">
      <w:pPr>
        <w:rPr>
          <w:b/>
        </w:rPr>
      </w:pPr>
      <w:r w:rsidRPr="00530A4D">
        <w:rPr>
          <w:b/>
        </w:rPr>
        <w:t>Soixante-quatorzième session</w:t>
      </w:r>
    </w:p>
    <w:p w:rsidR="00997917" w:rsidRPr="00A4555B" w:rsidRDefault="00997917" w:rsidP="00997917">
      <w:r w:rsidRPr="00A4555B">
        <w:t>Genève, 8-12 octobre 2018</w:t>
      </w:r>
    </w:p>
    <w:p w:rsidR="00997917" w:rsidRPr="00765C1A" w:rsidRDefault="00997917" w:rsidP="00997917">
      <w:r w:rsidRPr="00765C1A">
        <w:t xml:space="preserve">Point </w:t>
      </w:r>
      <w:r w:rsidRPr="00765C1A">
        <w:rPr>
          <w:bCs/>
        </w:rPr>
        <w:t>6</w:t>
      </w:r>
      <w:r>
        <w:rPr>
          <w:bCs/>
        </w:rPr>
        <w:t xml:space="preserve"> </w:t>
      </w:r>
      <w:r w:rsidRPr="00765C1A">
        <w:rPr>
          <w:bCs/>
        </w:rPr>
        <w:t xml:space="preserve">a) </w:t>
      </w:r>
      <w:r w:rsidRPr="00765C1A">
        <w:t>de l</w:t>
      </w:r>
      <w:r>
        <w:t>’</w:t>
      </w:r>
      <w:r w:rsidRPr="00765C1A">
        <w:t>ordre du jour provisoire</w:t>
      </w:r>
    </w:p>
    <w:p w:rsidR="00997917" w:rsidRPr="008F27A8" w:rsidRDefault="00997917" w:rsidP="00997917">
      <w:pPr>
        <w:rPr>
          <w:b/>
          <w:bCs/>
        </w:rPr>
      </w:pPr>
      <w:r w:rsidRPr="008F27A8">
        <w:rPr>
          <w:b/>
          <w:bCs/>
        </w:rPr>
        <w:t>Propositions d</w:t>
      </w:r>
      <w:r>
        <w:rPr>
          <w:b/>
          <w:bCs/>
        </w:rPr>
        <w:t>’</w:t>
      </w:r>
      <w:r w:rsidRPr="008F27A8">
        <w:rPr>
          <w:b/>
          <w:bCs/>
        </w:rPr>
        <w:t>amendements à l</w:t>
      </w:r>
      <w:r>
        <w:rPr>
          <w:b/>
          <w:bCs/>
        </w:rPr>
        <w:t>’</w:t>
      </w:r>
      <w:r w:rsidRPr="008F27A8">
        <w:rPr>
          <w:b/>
          <w:bCs/>
        </w:rPr>
        <w:t>ATP</w:t>
      </w:r>
      <w:r>
        <w:rPr>
          <w:b/>
          <w:bCs/>
        </w:rPr>
        <w:t> </w:t>
      </w:r>
      <w:r w:rsidRPr="008F27A8">
        <w:rPr>
          <w:b/>
          <w:bCs/>
        </w:rPr>
        <w:t>:</w:t>
      </w:r>
    </w:p>
    <w:p w:rsidR="00997917" w:rsidRPr="008F27A8" w:rsidRDefault="00997917" w:rsidP="00997917">
      <w:pPr>
        <w:rPr>
          <w:b/>
          <w:bCs/>
        </w:rPr>
      </w:pPr>
      <w:r w:rsidRPr="008F27A8">
        <w:rPr>
          <w:b/>
          <w:bCs/>
        </w:rPr>
        <w:t>nouvelles propos</w:t>
      </w:r>
      <w:r>
        <w:rPr>
          <w:b/>
          <w:bCs/>
        </w:rPr>
        <w:t>itions</w:t>
      </w:r>
    </w:p>
    <w:p w:rsidR="00997917" w:rsidRPr="008F27A8" w:rsidRDefault="00997917" w:rsidP="00997917">
      <w:pPr>
        <w:pStyle w:val="HChG"/>
      </w:pPr>
      <w:r w:rsidRPr="008F27A8">
        <w:tab/>
      </w:r>
      <w:r w:rsidRPr="008F27A8">
        <w:tab/>
        <w:t xml:space="preserve"> </w:t>
      </w:r>
      <w:r>
        <w:t>P</w:t>
      </w:r>
      <w:r w:rsidRPr="00492212">
        <w:t>aragraphe 1.2 de l</w:t>
      </w:r>
      <w:r>
        <w:t>’</w:t>
      </w:r>
      <w:r w:rsidRPr="00492212">
        <w:t>appendice 2 de l</w:t>
      </w:r>
      <w:r>
        <w:t>’</w:t>
      </w:r>
      <w:r w:rsidRPr="00492212">
        <w:t>annexe 1</w:t>
      </w:r>
    </w:p>
    <w:p w:rsidR="00997917" w:rsidRPr="00A4555B" w:rsidRDefault="00997917" w:rsidP="00997917">
      <w:pPr>
        <w:pStyle w:val="H1G"/>
      </w:pPr>
      <w:r w:rsidRPr="008F27A8">
        <w:tab/>
      </w:r>
      <w:r w:rsidRPr="008F27A8">
        <w:tab/>
      </w:r>
      <w:r w:rsidRPr="00A4555B">
        <w:t>Communication des Gouvernements de l</w:t>
      </w:r>
      <w:r>
        <w:t>’Allemagne</w:t>
      </w:r>
      <w:r>
        <w:br/>
      </w:r>
      <w:r w:rsidRPr="00A4555B">
        <w:t>et du Royaume</w:t>
      </w:r>
      <w:r>
        <w:noBreakHyphen/>
      </w:r>
      <w:r w:rsidRPr="00A4555B">
        <w:t xml:space="preserve">Uni </w:t>
      </w:r>
    </w:p>
    <w:p w:rsidR="00997917" w:rsidRPr="00A4555B" w:rsidRDefault="00997917" w:rsidP="00997917">
      <w:pPr>
        <w:pStyle w:val="HChG"/>
      </w:pPr>
      <w:r w:rsidRPr="00A4555B">
        <w:tab/>
      </w:r>
      <w:r w:rsidRPr="00A4555B">
        <w:tab/>
        <w:t>Introduction</w:t>
      </w:r>
    </w:p>
    <w:p w:rsidR="00997917" w:rsidRPr="009C3A52" w:rsidRDefault="00997917" w:rsidP="00997917">
      <w:pPr>
        <w:pStyle w:val="SingleTxtG"/>
      </w:pPr>
      <w:r w:rsidRPr="009C3A52">
        <w:t>1.</w:t>
      </w:r>
      <w:r w:rsidRPr="009C3A52">
        <w:tab/>
        <w:t xml:space="preserve"> </w:t>
      </w:r>
      <w:r>
        <w:t xml:space="preserve">Lors de </w:t>
      </w:r>
      <w:r w:rsidRPr="009C3A52">
        <w:t>la soixante et onzième session du WP.11, le Royaume-Uni a</w:t>
      </w:r>
      <w:r>
        <w:t>vait</w:t>
      </w:r>
      <w:r w:rsidRPr="009C3A52">
        <w:t xml:space="preserve"> soumis une proposition révisée visant à harmoniser la mesure de la surface extérieure pour les fourgons ainsi que les procès-verbaux d</w:t>
      </w:r>
      <w:r>
        <w:t>’</w:t>
      </w:r>
      <w:r w:rsidRPr="009C3A52">
        <w:t xml:space="preserve">essai (ECE/TRANS/WP.11/2015/2), </w:t>
      </w:r>
      <w:r>
        <w:t>qui avait été adoptée</w:t>
      </w:r>
      <w:r w:rsidRPr="009C3A52">
        <w:t>.</w:t>
      </w:r>
    </w:p>
    <w:p w:rsidR="00997917" w:rsidRPr="00F44426" w:rsidRDefault="00997917" w:rsidP="00997917">
      <w:pPr>
        <w:pStyle w:val="SingleTxtG"/>
      </w:pPr>
      <w:r w:rsidRPr="009C3A52">
        <w:t>2.</w:t>
      </w:r>
      <w:r w:rsidRPr="009C3A52">
        <w:tab/>
        <w:t>À la soixante-treizième session du WP.11 l</w:t>
      </w:r>
      <w:r>
        <w:t>’</w:t>
      </w:r>
      <w:r w:rsidRPr="009C3A52">
        <w:t xml:space="preserve">année dernière, la proposition a été publiée dans le dernier accord ATP </w:t>
      </w:r>
      <w:r>
        <w:t>daté du</w:t>
      </w:r>
      <w:r w:rsidRPr="009C3A52">
        <w:t xml:space="preserve"> 6</w:t>
      </w:r>
      <w:r>
        <w:t> janvier</w:t>
      </w:r>
      <w:r w:rsidRPr="009C3A52">
        <w:t xml:space="preserve"> 2018. </w:t>
      </w:r>
      <w:r w:rsidRPr="00F44426">
        <w:t xml:space="preserve">Par la suite, il a été noté lors de la dernière réunion de la Sous-Commission CERTE en Allemagne que les équations étaient différentes de celles </w:t>
      </w:r>
      <w:r>
        <w:t>qui figurent dans la</w:t>
      </w:r>
      <w:r w:rsidRPr="00F44426">
        <w:t xml:space="preserve"> </w:t>
      </w:r>
      <w:r>
        <w:t>norme CEN ; les corrections proposées ici visent à harmoniser les dispositions de l’</w:t>
      </w:r>
      <w:r w:rsidRPr="00F44426">
        <w:t xml:space="preserve">ATP </w:t>
      </w:r>
      <w:r>
        <w:t>et les normes</w:t>
      </w:r>
      <w:r w:rsidRPr="00F44426">
        <w:t xml:space="preserve"> CEN.</w:t>
      </w:r>
    </w:p>
    <w:p w:rsidR="00997917" w:rsidRPr="00F44426" w:rsidRDefault="00997917" w:rsidP="00997917">
      <w:pPr>
        <w:pStyle w:val="SingleTxtG"/>
      </w:pPr>
      <w:r w:rsidRPr="00F44426">
        <w:t>3.</w:t>
      </w:r>
      <w:r w:rsidRPr="00F44426">
        <w:tab/>
        <w:t>L</w:t>
      </w:r>
      <w:r>
        <w:t>’</w:t>
      </w:r>
      <w:r w:rsidRPr="00F44426">
        <w:t>Allemagne et le Royaume-Uni proposent de modifier le paragraphe</w:t>
      </w:r>
      <w:r>
        <w:t> </w:t>
      </w:r>
      <w:r w:rsidRPr="00F44426">
        <w:t xml:space="preserve">1.2 </w:t>
      </w:r>
      <w:r>
        <w:t>comme suit</w:t>
      </w:r>
      <w:r w:rsidRPr="00F44426">
        <w:t xml:space="preserve"> (</w:t>
      </w:r>
      <w:r>
        <w:t xml:space="preserve">les modifications figurent en caractères </w:t>
      </w:r>
      <w:r w:rsidRPr="00F44426">
        <w:rPr>
          <w:strike/>
        </w:rPr>
        <w:t>biffés</w:t>
      </w:r>
      <w:r>
        <w:t xml:space="preserve"> et les ajouts en </w:t>
      </w:r>
      <w:r>
        <w:rPr>
          <w:b/>
          <w:bCs/>
        </w:rPr>
        <w:t>caractères gras</w:t>
      </w:r>
      <w:r w:rsidRPr="00F44426">
        <w:t>)</w:t>
      </w:r>
      <w:r>
        <w:t> </w:t>
      </w:r>
      <w:r w:rsidRPr="00F44426">
        <w:t>:</w:t>
      </w:r>
    </w:p>
    <w:p w:rsidR="00997917" w:rsidRPr="00F44426" w:rsidRDefault="00997917" w:rsidP="00997917">
      <w:pPr>
        <w:pStyle w:val="SingleTxtG"/>
      </w:pPr>
      <w:r>
        <w:t xml:space="preserve">« Méthode B. </w:t>
      </w:r>
      <w:r w:rsidRPr="00F44426">
        <w:t>Le fabricant doit fournir les croquis et la station d</w:t>
      </w:r>
      <w:r>
        <w:t>’</w:t>
      </w:r>
      <w:r w:rsidRPr="00F44426">
        <w:t>essai désignée par l</w:t>
      </w:r>
      <w:r>
        <w:t>’</w:t>
      </w:r>
      <w:r w:rsidRPr="00F44426">
        <w:t>autorité compétente doit effectuer les calculs en se conformant aux figures</w:t>
      </w:r>
      <w:r w:rsidRPr="00F44426">
        <w:rPr>
          <w:vertAlign w:val="superscript"/>
        </w:rPr>
        <w:t>5</w:t>
      </w:r>
      <w:r w:rsidRPr="00F44426">
        <w:t xml:space="preserve"> </w:t>
      </w:r>
      <w:r>
        <w:t>et formules suivantes</w:t>
      </w:r>
      <w:r w:rsidRPr="00F44426">
        <w:t>.</w:t>
      </w:r>
    </w:p>
    <w:p w:rsidR="00997917" w:rsidRPr="00F319CE" w:rsidRDefault="00997917" w:rsidP="00997917">
      <w:pPr>
        <w:pStyle w:val="SingleTxtG"/>
        <w:rPr>
          <w:iCs/>
          <w:strike/>
        </w:rPr>
      </w:pPr>
      <w:r w:rsidRPr="00F319CE">
        <w:rPr>
          <w:iCs/>
          <w:strike/>
        </w:rPr>
        <w:t>Si = (((WI x LI) + (WI x LI) + (Wi x Wi)) x 2)</w:t>
      </w:r>
    </w:p>
    <w:p w:rsidR="00997917" w:rsidRPr="00F319CE" w:rsidRDefault="00997917" w:rsidP="00997917">
      <w:pPr>
        <w:pStyle w:val="SingleTxtG"/>
        <w:rPr>
          <w:b/>
        </w:rPr>
      </w:pPr>
      <w:r w:rsidRPr="00F319CE">
        <w:rPr>
          <w:b/>
        </w:rPr>
        <w:t>Si = (((WI x LI) + (HI x LI) + (HI x WI)) x 2)</w:t>
      </w:r>
    </w:p>
    <w:p w:rsidR="00997917" w:rsidRPr="004722D0" w:rsidRDefault="00997917" w:rsidP="00997917">
      <w:pPr>
        <w:pStyle w:val="SingleTxtG"/>
        <w:rPr>
          <w:iCs/>
          <w:strike/>
          <w:lang w:val="en-US"/>
        </w:rPr>
      </w:pPr>
      <w:r w:rsidRPr="004722D0">
        <w:rPr>
          <w:iCs/>
          <w:strike/>
          <w:lang w:val="en-US"/>
        </w:rPr>
        <w:t>Se = (((WE x LE) + (WE x LE) + (We x We)) x 2)</w:t>
      </w:r>
    </w:p>
    <w:p w:rsidR="00997917" w:rsidRPr="004722D0" w:rsidRDefault="00997917" w:rsidP="00997917">
      <w:pPr>
        <w:pStyle w:val="SingleTxtG"/>
        <w:rPr>
          <w:b/>
          <w:lang w:val="en-US"/>
        </w:rPr>
      </w:pPr>
      <w:r w:rsidRPr="004722D0">
        <w:rPr>
          <w:b/>
          <w:lang w:val="en-US"/>
        </w:rPr>
        <w:t>Se = (((WE x LE) + (HE x LE) + (HE x WE)) x 2)</w:t>
      </w:r>
    </w:p>
    <w:p w:rsidR="00997917" w:rsidRPr="008C69A3" w:rsidRDefault="00997917" w:rsidP="00997917">
      <w:pPr>
        <w:pStyle w:val="SingleTxtG"/>
      </w:pPr>
      <w:r>
        <w:t>Où </w:t>
      </w:r>
      <w:r w:rsidRPr="008C69A3">
        <w:t xml:space="preserve">: </w:t>
      </w:r>
    </w:p>
    <w:p w:rsidR="00997917" w:rsidRPr="008C69A3" w:rsidRDefault="00997917" w:rsidP="00997917">
      <w:pPr>
        <w:pStyle w:val="SingleTxtG"/>
      </w:pPr>
      <w:r w:rsidRPr="008C69A3">
        <w:t>WI est l</w:t>
      </w:r>
      <w:r>
        <w:t>’</w:t>
      </w:r>
      <w:r w:rsidRPr="008C69A3">
        <w:t xml:space="preserve">axe des Y de la surface intérieure </w:t>
      </w:r>
    </w:p>
    <w:p w:rsidR="00997917" w:rsidRDefault="00997917" w:rsidP="00997917">
      <w:pPr>
        <w:pStyle w:val="SingleTxtG"/>
      </w:pPr>
      <w:r w:rsidRPr="008C69A3">
        <w:t>LI est l</w:t>
      </w:r>
      <w:r>
        <w:t>’</w:t>
      </w:r>
      <w:r w:rsidRPr="008C69A3">
        <w:t xml:space="preserve">axe des X de la surface intérieure </w:t>
      </w:r>
    </w:p>
    <w:p w:rsidR="00997917" w:rsidRPr="00DC5193" w:rsidRDefault="00997917" w:rsidP="00997917">
      <w:pPr>
        <w:pStyle w:val="SingleTxtG"/>
        <w:rPr>
          <w:strike/>
        </w:rPr>
      </w:pPr>
      <w:r w:rsidRPr="00DC5193">
        <w:rPr>
          <w:strike/>
        </w:rPr>
        <w:lastRenderedPageBreak/>
        <w:t>Wi est l</w:t>
      </w:r>
      <w:r>
        <w:rPr>
          <w:strike/>
        </w:rPr>
        <w:t>’</w:t>
      </w:r>
      <w:r w:rsidRPr="00DC5193">
        <w:rPr>
          <w:strike/>
        </w:rPr>
        <w:t>axe des Z de la surface intérieure</w:t>
      </w:r>
    </w:p>
    <w:p w:rsidR="00997917" w:rsidRPr="00DC5193" w:rsidRDefault="00997917" w:rsidP="00997917">
      <w:pPr>
        <w:pStyle w:val="SingleTxtG"/>
        <w:rPr>
          <w:b/>
        </w:rPr>
      </w:pPr>
      <w:r w:rsidRPr="00DC5193">
        <w:rPr>
          <w:b/>
        </w:rPr>
        <w:t xml:space="preserve">HI </w:t>
      </w:r>
      <w:r>
        <w:rPr>
          <w:b/>
        </w:rPr>
        <w:t>e</w:t>
      </w:r>
      <w:r w:rsidRPr="00DC5193">
        <w:rPr>
          <w:b/>
        </w:rPr>
        <w:t>st l</w:t>
      </w:r>
      <w:r>
        <w:rPr>
          <w:b/>
        </w:rPr>
        <w:t>’</w:t>
      </w:r>
      <w:r w:rsidRPr="00DC5193">
        <w:rPr>
          <w:b/>
        </w:rPr>
        <w:t>axe des Z de la surface intérieure</w:t>
      </w:r>
    </w:p>
    <w:p w:rsidR="00997917" w:rsidRPr="00DC5193" w:rsidRDefault="00997917" w:rsidP="00997917">
      <w:pPr>
        <w:pStyle w:val="SingleTxtG"/>
      </w:pPr>
      <w:r w:rsidRPr="00DC5193">
        <w:t>WE est l</w:t>
      </w:r>
      <w:r>
        <w:t>’</w:t>
      </w:r>
      <w:r w:rsidRPr="00DC5193">
        <w:t xml:space="preserve">axe des Y de la surface extérieure </w:t>
      </w:r>
    </w:p>
    <w:p w:rsidR="00997917" w:rsidRDefault="00997917" w:rsidP="00997917">
      <w:pPr>
        <w:pStyle w:val="SingleTxtG"/>
      </w:pPr>
      <w:r w:rsidRPr="00DC5193">
        <w:t>LE est l</w:t>
      </w:r>
      <w:r>
        <w:t>’</w:t>
      </w:r>
      <w:r w:rsidRPr="00DC5193">
        <w:t xml:space="preserve">axe des X de la surface extérieure </w:t>
      </w:r>
    </w:p>
    <w:p w:rsidR="00997917" w:rsidRPr="00DC5193" w:rsidRDefault="00997917" w:rsidP="00997917">
      <w:pPr>
        <w:pStyle w:val="SingleTxtG"/>
        <w:rPr>
          <w:strike/>
        </w:rPr>
      </w:pPr>
      <w:r w:rsidRPr="00DC5193">
        <w:rPr>
          <w:strike/>
        </w:rPr>
        <w:t>WE est l</w:t>
      </w:r>
      <w:r>
        <w:rPr>
          <w:strike/>
        </w:rPr>
        <w:t>’</w:t>
      </w:r>
      <w:r w:rsidRPr="00DC5193">
        <w:rPr>
          <w:strike/>
        </w:rPr>
        <w:t xml:space="preserve">axe des </w:t>
      </w:r>
      <w:r>
        <w:rPr>
          <w:strike/>
        </w:rPr>
        <w:t>Z</w:t>
      </w:r>
      <w:r w:rsidRPr="00DC5193">
        <w:rPr>
          <w:strike/>
        </w:rPr>
        <w:t xml:space="preserve"> de la surface extérieure </w:t>
      </w:r>
    </w:p>
    <w:p w:rsidR="00997917" w:rsidRPr="00DC5193" w:rsidRDefault="00997917" w:rsidP="00997917">
      <w:pPr>
        <w:pStyle w:val="SingleTxtG"/>
        <w:rPr>
          <w:b/>
        </w:rPr>
      </w:pPr>
      <w:r w:rsidRPr="00DC5193">
        <w:rPr>
          <w:b/>
        </w:rPr>
        <w:t>HE est l</w:t>
      </w:r>
      <w:r>
        <w:rPr>
          <w:b/>
        </w:rPr>
        <w:t>’</w:t>
      </w:r>
      <w:r w:rsidRPr="00DC5193">
        <w:rPr>
          <w:b/>
        </w:rPr>
        <w:t>axe des Z de la surface extérieure</w:t>
      </w:r>
    </w:p>
    <w:p w:rsidR="00997917" w:rsidRDefault="00997917" w:rsidP="00997917">
      <w:pPr>
        <w:pStyle w:val="SingleTxtG"/>
      </w:pPr>
      <w:r w:rsidRPr="00DC5193">
        <w:t>En utilisant la formule la plus appropriée pour</w:t>
      </w:r>
      <w:r>
        <w:t xml:space="preserve"> </w:t>
      </w:r>
      <w:r w:rsidRPr="00DC5193">
        <w:t>calculer l</w:t>
      </w:r>
      <w:r>
        <w:t>’</w:t>
      </w:r>
      <w:r w:rsidRPr="00DC5193">
        <w:t>axe des Y de la surface intérieure</w:t>
      </w:r>
    </w:p>
    <w:p w:rsidR="00997917" w:rsidRPr="00DC5193" w:rsidRDefault="00997917" w:rsidP="00997917">
      <w:pPr>
        <w:pStyle w:val="SingleTxtG"/>
        <w:rPr>
          <w:iCs/>
          <w:lang w:val="en-US"/>
        </w:rPr>
      </w:pPr>
      <w:r w:rsidRPr="00DC5193">
        <w:rPr>
          <w:iCs/>
          <w:lang w:val="en-US"/>
        </w:rPr>
        <w:t>WI = (</w:t>
      </w:r>
      <w:proofErr w:type="spellStart"/>
      <w:r w:rsidRPr="00DC5193">
        <w:rPr>
          <w:iCs/>
          <w:lang w:val="en-US"/>
        </w:rPr>
        <w:t>WIa</w:t>
      </w:r>
      <w:proofErr w:type="spellEnd"/>
      <w:r w:rsidRPr="00DC5193">
        <w:rPr>
          <w:iCs/>
          <w:lang w:val="en-US"/>
        </w:rPr>
        <w:t xml:space="preserve"> x a + </w:t>
      </w:r>
      <w:proofErr w:type="spellStart"/>
      <w:r w:rsidRPr="00DC5193">
        <w:rPr>
          <w:iCs/>
          <w:lang w:val="en-US"/>
        </w:rPr>
        <w:t>WIb</w:t>
      </w:r>
      <w:proofErr w:type="spellEnd"/>
      <w:r w:rsidRPr="00DC5193">
        <w:rPr>
          <w:iCs/>
          <w:lang w:val="en-US"/>
        </w:rPr>
        <w:t xml:space="preserve"> x (b + c/2) + </w:t>
      </w:r>
      <w:proofErr w:type="spellStart"/>
      <w:r w:rsidRPr="00DC5193">
        <w:rPr>
          <w:iCs/>
          <w:lang w:val="en-US"/>
        </w:rPr>
        <w:t>WIc</w:t>
      </w:r>
      <w:proofErr w:type="spellEnd"/>
      <w:r w:rsidRPr="00DC5193">
        <w:rPr>
          <w:iCs/>
          <w:lang w:val="en-US"/>
        </w:rPr>
        <w:t xml:space="preserve"> x c/2) / (a + b + c)</w:t>
      </w:r>
    </w:p>
    <w:p w:rsidR="00997917" w:rsidRPr="007C52CA" w:rsidRDefault="00997917" w:rsidP="00997917">
      <w:pPr>
        <w:pStyle w:val="SingleTxtG"/>
        <w:rPr>
          <w:strike/>
          <w:lang w:val="en-US"/>
        </w:rPr>
      </w:pPr>
      <w:r w:rsidRPr="007C52CA">
        <w:rPr>
          <w:strike/>
          <w:lang w:val="en-US"/>
        </w:rPr>
        <w:t>WI = (</w:t>
      </w:r>
      <w:proofErr w:type="spellStart"/>
      <w:r w:rsidRPr="007C52CA">
        <w:rPr>
          <w:strike/>
          <w:lang w:val="en-US"/>
        </w:rPr>
        <w:t>WIa</w:t>
      </w:r>
      <w:proofErr w:type="spellEnd"/>
      <w:r w:rsidRPr="007C52CA">
        <w:rPr>
          <w:strike/>
          <w:lang w:val="en-US"/>
        </w:rPr>
        <w:t xml:space="preserve"> x a/2 + </w:t>
      </w:r>
      <w:proofErr w:type="spellStart"/>
      <w:r w:rsidRPr="007C52CA">
        <w:rPr>
          <w:strike/>
          <w:lang w:val="en-US"/>
        </w:rPr>
        <w:t>WIb</w:t>
      </w:r>
      <w:proofErr w:type="spellEnd"/>
      <w:r w:rsidRPr="007C52CA">
        <w:rPr>
          <w:strike/>
          <w:lang w:val="en-US"/>
        </w:rPr>
        <w:t xml:space="preserve"> (a/2 + b/2) + </w:t>
      </w:r>
      <w:proofErr w:type="spellStart"/>
      <w:r w:rsidRPr="007C52CA">
        <w:rPr>
          <w:strike/>
          <w:lang w:val="en-US"/>
        </w:rPr>
        <w:t>WIc</w:t>
      </w:r>
      <w:proofErr w:type="spellEnd"/>
      <w:r w:rsidRPr="007C52CA">
        <w:rPr>
          <w:strike/>
          <w:lang w:val="en-US"/>
        </w:rPr>
        <w:t xml:space="preserve"> (b/2) / (a + b)</w:t>
      </w:r>
    </w:p>
    <w:p w:rsidR="00997917" w:rsidRPr="004722D0" w:rsidRDefault="00997917" w:rsidP="00997917">
      <w:pPr>
        <w:pStyle w:val="SingleTxtG"/>
        <w:rPr>
          <w:b/>
          <w:lang w:val="en-US"/>
        </w:rPr>
      </w:pPr>
      <w:r w:rsidRPr="004722D0">
        <w:rPr>
          <w:b/>
          <w:lang w:val="en-US"/>
        </w:rPr>
        <w:t>WI = (</w:t>
      </w:r>
      <w:proofErr w:type="spellStart"/>
      <w:r w:rsidRPr="004722D0">
        <w:rPr>
          <w:b/>
          <w:lang w:val="en-US"/>
        </w:rPr>
        <w:t>WIa</w:t>
      </w:r>
      <w:proofErr w:type="spellEnd"/>
      <w:r w:rsidRPr="004722D0">
        <w:rPr>
          <w:b/>
          <w:lang w:val="en-US"/>
        </w:rPr>
        <w:t xml:space="preserve"> x a/2 + </w:t>
      </w:r>
      <w:proofErr w:type="spellStart"/>
      <w:r w:rsidRPr="004722D0">
        <w:rPr>
          <w:b/>
          <w:lang w:val="en-US"/>
        </w:rPr>
        <w:t>WIb</w:t>
      </w:r>
      <w:proofErr w:type="spellEnd"/>
      <w:r w:rsidRPr="004722D0">
        <w:rPr>
          <w:b/>
          <w:lang w:val="en-US"/>
        </w:rPr>
        <w:t xml:space="preserve"> (a/2 + b/2) + </w:t>
      </w:r>
      <w:proofErr w:type="spellStart"/>
      <w:r w:rsidRPr="004722D0">
        <w:rPr>
          <w:b/>
          <w:lang w:val="en-US"/>
        </w:rPr>
        <w:t>WIc</w:t>
      </w:r>
      <w:proofErr w:type="spellEnd"/>
      <w:r w:rsidRPr="004722D0">
        <w:rPr>
          <w:b/>
          <w:lang w:val="en-US"/>
        </w:rPr>
        <w:t xml:space="preserve"> (b/2)) / (a + b)</w:t>
      </w:r>
    </w:p>
    <w:p w:rsidR="00997917" w:rsidRPr="007C52CA" w:rsidRDefault="00997917" w:rsidP="00997917">
      <w:pPr>
        <w:pStyle w:val="SingleTxtG"/>
        <w:rPr>
          <w:strike/>
          <w:lang w:val="en-US"/>
        </w:rPr>
      </w:pPr>
      <w:r w:rsidRPr="007C52CA">
        <w:rPr>
          <w:strike/>
          <w:lang w:val="en-US"/>
        </w:rPr>
        <w:t>WI = ((</w:t>
      </w:r>
      <w:proofErr w:type="spellStart"/>
      <w:r w:rsidRPr="007C52CA">
        <w:rPr>
          <w:strike/>
          <w:lang w:val="en-US"/>
        </w:rPr>
        <w:t>WIb</w:t>
      </w:r>
      <w:proofErr w:type="spellEnd"/>
      <w:r w:rsidRPr="007C52CA">
        <w:rPr>
          <w:strike/>
          <w:lang w:val="en-US"/>
        </w:rPr>
        <w:t xml:space="preserve"> x b)+(</w:t>
      </w:r>
      <w:proofErr w:type="spellStart"/>
      <w:r w:rsidRPr="007C52CA">
        <w:rPr>
          <w:strike/>
          <w:lang w:val="en-US"/>
        </w:rPr>
        <w:t>WIb</w:t>
      </w:r>
      <w:proofErr w:type="spellEnd"/>
      <w:r w:rsidRPr="007C52CA">
        <w:rPr>
          <w:strike/>
          <w:lang w:val="en-US"/>
        </w:rPr>
        <w:t xml:space="preserve"> x c) – ((</w:t>
      </w:r>
      <w:proofErr w:type="spellStart"/>
      <w:r w:rsidRPr="007C52CA">
        <w:rPr>
          <w:strike/>
          <w:lang w:val="en-US"/>
        </w:rPr>
        <w:t>WIb</w:t>
      </w:r>
      <w:proofErr w:type="spellEnd"/>
      <w:r w:rsidRPr="007C52CA">
        <w:rPr>
          <w:strike/>
          <w:lang w:val="en-US"/>
        </w:rPr>
        <w:t xml:space="preserve"> – </w:t>
      </w:r>
      <w:proofErr w:type="spellStart"/>
      <w:r w:rsidRPr="007C52CA">
        <w:rPr>
          <w:strike/>
          <w:lang w:val="en-US"/>
        </w:rPr>
        <w:t>WIc</w:t>
      </w:r>
      <w:proofErr w:type="spellEnd"/>
      <w:r w:rsidRPr="007C52CA">
        <w:rPr>
          <w:strike/>
          <w:lang w:val="en-US"/>
        </w:rPr>
        <w:t>) x c) +</w:t>
      </w:r>
    </w:p>
    <w:p w:rsidR="00997917" w:rsidRPr="007C52CA" w:rsidRDefault="00997917" w:rsidP="00997917">
      <w:pPr>
        <w:pStyle w:val="SingleTxtG"/>
        <w:rPr>
          <w:strike/>
          <w:lang w:val="en-US"/>
        </w:rPr>
      </w:pPr>
      <w:r w:rsidRPr="007C52CA">
        <w:rPr>
          <w:strike/>
          <w:lang w:val="en-US"/>
        </w:rPr>
        <w:t>(2 x ((</w:t>
      </w:r>
      <w:proofErr w:type="spellStart"/>
      <w:r w:rsidRPr="007C52CA">
        <w:rPr>
          <w:strike/>
          <w:lang w:val="en-US"/>
        </w:rPr>
        <w:t>WIb</w:t>
      </w:r>
      <w:proofErr w:type="spellEnd"/>
      <w:r w:rsidRPr="007C52CA">
        <w:rPr>
          <w:strike/>
          <w:lang w:val="en-US"/>
        </w:rPr>
        <w:t xml:space="preserve"> – </w:t>
      </w:r>
      <w:proofErr w:type="spellStart"/>
      <w:r w:rsidRPr="007C52CA">
        <w:rPr>
          <w:strike/>
          <w:lang w:val="en-US"/>
        </w:rPr>
        <w:t>WIa</w:t>
      </w:r>
      <w:proofErr w:type="spellEnd"/>
      <w:r w:rsidRPr="007C52CA">
        <w:rPr>
          <w:strike/>
          <w:lang w:val="en-US"/>
        </w:rPr>
        <w:t>) x a )))/(a + b + c)</w:t>
      </w:r>
    </w:p>
    <w:p w:rsidR="00997917" w:rsidRPr="004722D0" w:rsidRDefault="00997917" w:rsidP="00997917">
      <w:pPr>
        <w:pStyle w:val="SingleTxtG"/>
        <w:rPr>
          <w:b/>
          <w:lang w:val="en-US"/>
        </w:rPr>
      </w:pPr>
      <w:r w:rsidRPr="004722D0">
        <w:rPr>
          <w:b/>
          <w:lang w:val="en-US"/>
        </w:rPr>
        <w:t>WI = (</w:t>
      </w:r>
      <w:proofErr w:type="spellStart"/>
      <w:r w:rsidRPr="004722D0">
        <w:rPr>
          <w:b/>
          <w:lang w:val="en-US"/>
        </w:rPr>
        <w:t>WIa</w:t>
      </w:r>
      <w:proofErr w:type="spellEnd"/>
      <w:r w:rsidRPr="004722D0">
        <w:rPr>
          <w:b/>
          <w:lang w:val="en-US"/>
        </w:rPr>
        <w:t xml:space="preserve"> x a</w:t>
      </w:r>
      <w:r>
        <w:rPr>
          <w:b/>
          <w:lang w:val="en-US"/>
        </w:rPr>
        <w:t xml:space="preserve"> + </w:t>
      </w:r>
      <w:proofErr w:type="spellStart"/>
      <w:r>
        <w:rPr>
          <w:b/>
          <w:lang w:val="en-US"/>
        </w:rPr>
        <w:t>WIb</w:t>
      </w:r>
      <w:proofErr w:type="spellEnd"/>
      <w:r>
        <w:rPr>
          <w:b/>
          <w:lang w:val="en-US"/>
        </w:rPr>
        <w:t xml:space="preserve"> x b + (</w:t>
      </w:r>
      <w:proofErr w:type="spellStart"/>
      <w:r>
        <w:rPr>
          <w:b/>
          <w:lang w:val="en-US"/>
        </w:rPr>
        <w:t>WIb</w:t>
      </w:r>
      <w:proofErr w:type="spellEnd"/>
      <w:r>
        <w:rPr>
          <w:b/>
          <w:lang w:val="en-US"/>
        </w:rPr>
        <w:t xml:space="preserve"> + </w:t>
      </w:r>
      <w:proofErr w:type="spellStart"/>
      <w:r>
        <w:rPr>
          <w:b/>
          <w:lang w:val="en-US"/>
        </w:rPr>
        <w:t>WIc</w:t>
      </w:r>
      <w:proofErr w:type="spellEnd"/>
      <w:r>
        <w:rPr>
          <w:b/>
          <w:lang w:val="en-US"/>
        </w:rPr>
        <w:t>)/2 x c)/</w:t>
      </w:r>
      <w:r w:rsidRPr="004722D0">
        <w:rPr>
          <w:b/>
          <w:lang w:val="en-US"/>
        </w:rPr>
        <w:t>(a + b + c)</w:t>
      </w:r>
    </w:p>
    <w:p w:rsidR="00997917" w:rsidRPr="00DC5193" w:rsidRDefault="00997917" w:rsidP="00997917">
      <w:pPr>
        <w:pStyle w:val="SingleTxtG"/>
      </w:pPr>
      <w:r w:rsidRPr="00DC5193">
        <w:t>Où</w:t>
      </w:r>
      <w:r>
        <w:t> </w:t>
      </w:r>
      <w:r w:rsidRPr="00DC5193">
        <w:t>:</w:t>
      </w:r>
    </w:p>
    <w:p w:rsidR="00997917" w:rsidRPr="00DC5193" w:rsidRDefault="00997917" w:rsidP="00997917">
      <w:pPr>
        <w:pStyle w:val="SingleTxtG"/>
      </w:pPr>
      <w:proofErr w:type="spellStart"/>
      <w:r w:rsidRPr="00DC5193">
        <w:t>WIa</w:t>
      </w:r>
      <w:proofErr w:type="spellEnd"/>
      <w:r w:rsidRPr="00DC5193">
        <w:t xml:space="preserve"> est la largeur intérieure telle que mesurée au plancher ou entre les </w:t>
      </w:r>
      <w:r>
        <w:t>d</w:t>
      </w:r>
      <w:r w:rsidRPr="00DC5193">
        <w:t xml:space="preserve">écrochements pour le passage des roues </w:t>
      </w:r>
    </w:p>
    <w:p w:rsidR="00997917" w:rsidRPr="00DC5193" w:rsidRDefault="00997917" w:rsidP="00997917">
      <w:pPr>
        <w:pStyle w:val="SingleTxtG"/>
      </w:pPr>
      <w:proofErr w:type="spellStart"/>
      <w:r w:rsidRPr="00DC5193">
        <w:t>WIb</w:t>
      </w:r>
      <w:proofErr w:type="spellEnd"/>
      <w:r w:rsidRPr="00DC5193">
        <w:t xml:space="preserve"> est la largeur intérieure telle que mesurée à la hauteur de l</w:t>
      </w:r>
      <w:r>
        <w:t>’</w:t>
      </w:r>
      <w:r w:rsidRPr="00DC5193">
        <w:t>arête verticale depuis le plancher ou au-dessus des décrochements pour le passage des roues</w:t>
      </w:r>
    </w:p>
    <w:p w:rsidR="00997917" w:rsidRDefault="00997917" w:rsidP="00997917">
      <w:pPr>
        <w:pStyle w:val="SingleTxtG"/>
      </w:pPr>
      <w:proofErr w:type="spellStart"/>
      <w:r w:rsidRPr="00DC5193">
        <w:t>WIc</w:t>
      </w:r>
      <w:proofErr w:type="spellEnd"/>
      <w:r w:rsidRPr="00DC5193">
        <w:t xml:space="preserve"> est la largeur intérieure telle que mesurée au toit </w:t>
      </w:r>
    </w:p>
    <w:p w:rsidR="00997917" w:rsidRPr="00A4555B" w:rsidRDefault="00997917" w:rsidP="00997917">
      <w:pPr>
        <w:pStyle w:val="SingleTxtG"/>
      </w:pPr>
      <w:r w:rsidRPr="00A4555B">
        <w:t>a est la hauteur de l</w:t>
      </w:r>
      <w:r>
        <w:t>’</w:t>
      </w:r>
      <w:r w:rsidRPr="00A4555B">
        <w:t xml:space="preserve">arête verticale telle que mesurée à partir du plancher </w:t>
      </w:r>
    </w:p>
    <w:p w:rsidR="00997917" w:rsidRPr="00DC5193" w:rsidRDefault="00997917" w:rsidP="00997917">
      <w:pPr>
        <w:pStyle w:val="SingleTxtG"/>
      </w:pPr>
      <w:r w:rsidRPr="00DC5193">
        <w:t>b est la hauteur telle que mesurée soit entre le point le plus bas de l</w:t>
      </w:r>
      <w:r>
        <w:t>’</w:t>
      </w:r>
      <w:r w:rsidRPr="00DC5193">
        <w:t>arête verticale et le toit ou entre le sommet du décrochement pour le passage des roues et le point le plus haut de l</w:t>
      </w:r>
      <w:r>
        <w:t>’</w:t>
      </w:r>
      <w:r w:rsidRPr="00DC5193">
        <w:t>arête verticale à partir du plancher</w:t>
      </w:r>
    </w:p>
    <w:p w:rsidR="00997917" w:rsidRPr="00DC5193" w:rsidRDefault="00997917" w:rsidP="00997917">
      <w:pPr>
        <w:pStyle w:val="SingleTxtG"/>
      </w:pPr>
      <w:proofErr w:type="spellStart"/>
      <w:r w:rsidRPr="00DC5193">
        <w:t>c est</w:t>
      </w:r>
      <w:proofErr w:type="spellEnd"/>
      <w:r w:rsidRPr="00DC5193">
        <w:t xml:space="preserve"> la hauteur entre le toit et le point b</w:t>
      </w:r>
    </w:p>
    <w:p w:rsidR="00997917" w:rsidRPr="00DC5193" w:rsidRDefault="00997917" w:rsidP="00997917">
      <w:pPr>
        <w:pStyle w:val="SingleTxtG"/>
      </w:pPr>
      <w:r w:rsidRPr="00DC5193">
        <w:t xml:space="preserve">Ainsi que les deux formules suivantes pour le calcul des axes </w:t>
      </w:r>
      <w:r>
        <w:t>X et Z de la surface intérieure </w:t>
      </w:r>
      <w:r w:rsidRPr="00DC5193">
        <w:t>:</w:t>
      </w:r>
    </w:p>
    <w:p w:rsidR="00997917" w:rsidRPr="004722D0" w:rsidRDefault="00997917" w:rsidP="00997917">
      <w:pPr>
        <w:pStyle w:val="SingleTxtG"/>
        <w:rPr>
          <w:i/>
          <w:lang w:val="en-US"/>
        </w:rPr>
      </w:pPr>
      <w:r w:rsidRPr="004722D0">
        <w:rPr>
          <w:i/>
          <w:lang w:val="en-US"/>
        </w:rPr>
        <w:t>LI = ((</w:t>
      </w:r>
      <w:proofErr w:type="spellStart"/>
      <w:r w:rsidRPr="004722D0">
        <w:rPr>
          <w:i/>
          <w:lang w:val="en-US"/>
        </w:rPr>
        <w:t>LIa</w:t>
      </w:r>
      <w:proofErr w:type="spellEnd"/>
      <w:r w:rsidRPr="004722D0">
        <w:rPr>
          <w:i/>
          <w:lang w:val="en-US"/>
        </w:rPr>
        <w:t xml:space="preserve"> x a) + (</w:t>
      </w:r>
      <w:proofErr w:type="spellStart"/>
      <w:r w:rsidRPr="004722D0">
        <w:rPr>
          <w:i/>
          <w:lang w:val="en-US"/>
        </w:rPr>
        <w:t>LI</w:t>
      </w:r>
      <w:r>
        <w:rPr>
          <w:i/>
          <w:lang w:val="en-US"/>
        </w:rPr>
        <w:t>b</w:t>
      </w:r>
      <w:proofErr w:type="spellEnd"/>
      <w:r>
        <w:rPr>
          <w:i/>
          <w:lang w:val="en-US"/>
        </w:rPr>
        <w:t xml:space="preserve"> + </w:t>
      </w:r>
      <w:proofErr w:type="spellStart"/>
      <w:r>
        <w:rPr>
          <w:i/>
          <w:lang w:val="en-US"/>
        </w:rPr>
        <w:t>LIc</w:t>
      </w:r>
      <w:proofErr w:type="spellEnd"/>
      <w:r>
        <w:rPr>
          <w:i/>
          <w:lang w:val="en-US"/>
        </w:rPr>
        <w:t>)/2 x b + (</w:t>
      </w:r>
      <w:proofErr w:type="spellStart"/>
      <w:r>
        <w:rPr>
          <w:i/>
          <w:lang w:val="en-US"/>
        </w:rPr>
        <w:t>LIc</w:t>
      </w:r>
      <w:proofErr w:type="spellEnd"/>
      <w:r>
        <w:rPr>
          <w:i/>
          <w:lang w:val="en-US"/>
        </w:rPr>
        <w:t xml:space="preserve"> x c))/</w:t>
      </w:r>
      <w:r w:rsidRPr="004722D0">
        <w:rPr>
          <w:i/>
          <w:lang w:val="en-US"/>
        </w:rPr>
        <w:t>(a + b + c)</w:t>
      </w:r>
    </w:p>
    <w:p w:rsidR="00997917" w:rsidRPr="00DC5193" w:rsidRDefault="00997917" w:rsidP="00997917">
      <w:pPr>
        <w:pStyle w:val="SingleTxtG"/>
      </w:pPr>
      <w:r w:rsidRPr="00DC5193">
        <w:t>Où</w:t>
      </w:r>
      <w:r>
        <w:t> </w:t>
      </w:r>
      <w:r w:rsidRPr="00DC5193">
        <w:t>:</w:t>
      </w:r>
    </w:p>
    <w:p w:rsidR="00997917" w:rsidRPr="00DC5193" w:rsidRDefault="00997917" w:rsidP="00997917">
      <w:pPr>
        <w:pStyle w:val="SingleTxtG"/>
      </w:pPr>
      <w:proofErr w:type="spellStart"/>
      <w:r w:rsidRPr="00DC5193">
        <w:t>LIa</w:t>
      </w:r>
      <w:proofErr w:type="spellEnd"/>
      <w:r w:rsidRPr="00DC5193">
        <w:t xml:space="preserve"> est la longueur intérieure telle que mesurée au plancher</w:t>
      </w:r>
    </w:p>
    <w:p w:rsidR="00997917" w:rsidRPr="00DC5193" w:rsidRDefault="00997917" w:rsidP="00997917">
      <w:pPr>
        <w:pStyle w:val="SingleTxtG"/>
      </w:pPr>
      <w:proofErr w:type="spellStart"/>
      <w:r w:rsidRPr="00DC5193">
        <w:t>LIb</w:t>
      </w:r>
      <w:proofErr w:type="spellEnd"/>
      <w:r w:rsidRPr="00DC5193">
        <w:t xml:space="preserve"> est la longueur intérieure telle que mesurée au-dessus des décrochements pour le passage des roues </w:t>
      </w:r>
    </w:p>
    <w:p w:rsidR="00997917" w:rsidRPr="00DC5193" w:rsidRDefault="00997917" w:rsidP="00997917">
      <w:pPr>
        <w:pStyle w:val="SingleTxtG"/>
      </w:pPr>
      <w:proofErr w:type="spellStart"/>
      <w:r w:rsidRPr="00DC5193">
        <w:t>LIc</w:t>
      </w:r>
      <w:proofErr w:type="spellEnd"/>
      <w:r w:rsidRPr="00DC5193">
        <w:t xml:space="preserve"> est la longueur intérieure telle que mesurée au toit </w:t>
      </w:r>
    </w:p>
    <w:p w:rsidR="00997917" w:rsidRPr="00DC5193" w:rsidRDefault="00997917" w:rsidP="00997917">
      <w:pPr>
        <w:pStyle w:val="SingleTxtG"/>
      </w:pPr>
      <w:r w:rsidRPr="00DC5193">
        <w:t xml:space="preserve">a est la hauteur entre </w:t>
      </w:r>
      <w:proofErr w:type="spellStart"/>
      <w:r w:rsidRPr="00DC5193">
        <w:t>LIa</w:t>
      </w:r>
      <w:proofErr w:type="spellEnd"/>
      <w:r w:rsidRPr="00DC5193">
        <w:t xml:space="preserve"> et </w:t>
      </w:r>
      <w:proofErr w:type="spellStart"/>
      <w:r w:rsidRPr="00DC5193">
        <w:t>LIb</w:t>
      </w:r>
      <w:proofErr w:type="spellEnd"/>
    </w:p>
    <w:p w:rsidR="00997917" w:rsidRPr="00DC5193" w:rsidRDefault="00997917" w:rsidP="00997917">
      <w:pPr>
        <w:pStyle w:val="SingleTxtG"/>
      </w:pPr>
      <w:r w:rsidRPr="00DC5193">
        <w:t xml:space="preserve">b est la hauteur entre </w:t>
      </w:r>
      <w:proofErr w:type="spellStart"/>
      <w:r w:rsidRPr="00DC5193">
        <w:t>LIb</w:t>
      </w:r>
      <w:proofErr w:type="spellEnd"/>
      <w:r w:rsidRPr="00DC5193">
        <w:t xml:space="preserve"> et </w:t>
      </w:r>
      <w:proofErr w:type="spellStart"/>
      <w:r w:rsidRPr="00DC5193">
        <w:t>LIc</w:t>
      </w:r>
      <w:proofErr w:type="spellEnd"/>
    </w:p>
    <w:p w:rsidR="00997917" w:rsidRPr="0030314C" w:rsidRDefault="00997917" w:rsidP="00997917">
      <w:pPr>
        <w:pStyle w:val="SingleTxtG"/>
      </w:pPr>
      <w:proofErr w:type="spellStart"/>
      <w:r w:rsidRPr="0030314C">
        <w:t>c est</w:t>
      </w:r>
      <w:proofErr w:type="spellEnd"/>
      <w:r w:rsidRPr="0030314C">
        <w:t xml:space="preserve"> la hauteur entre </w:t>
      </w:r>
      <w:proofErr w:type="spellStart"/>
      <w:r w:rsidRPr="0030314C">
        <w:t>LIc</w:t>
      </w:r>
      <w:proofErr w:type="spellEnd"/>
      <w:r w:rsidRPr="0030314C">
        <w:t xml:space="preserve"> et le toit</w:t>
      </w:r>
    </w:p>
    <w:p w:rsidR="00997917" w:rsidRPr="007C52CA" w:rsidRDefault="00997917" w:rsidP="00997917">
      <w:pPr>
        <w:pStyle w:val="SingleTxtG"/>
        <w:rPr>
          <w:strike/>
        </w:rPr>
      </w:pPr>
      <w:r w:rsidRPr="007C52CA">
        <w:rPr>
          <w:strike/>
        </w:rPr>
        <w:t>Wi = (Wi arrière + Wi avant)/2</w:t>
      </w:r>
    </w:p>
    <w:p w:rsidR="00997917" w:rsidRPr="0030314C" w:rsidRDefault="00997917" w:rsidP="00997917">
      <w:pPr>
        <w:pStyle w:val="SingleTxtG"/>
        <w:rPr>
          <w:b/>
        </w:rPr>
      </w:pPr>
      <w:r w:rsidRPr="0030314C">
        <w:rPr>
          <w:b/>
        </w:rPr>
        <w:t xml:space="preserve">WI = (WI arrière + WI </w:t>
      </w:r>
      <w:r>
        <w:rPr>
          <w:b/>
        </w:rPr>
        <w:t>avant)/</w:t>
      </w:r>
      <w:r w:rsidRPr="0030314C">
        <w:rPr>
          <w:b/>
        </w:rPr>
        <w:t>2</w:t>
      </w:r>
    </w:p>
    <w:p w:rsidR="00997917" w:rsidRPr="0030314C" w:rsidRDefault="00997917" w:rsidP="00997917">
      <w:pPr>
        <w:pStyle w:val="SingleTxtG"/>
      </w:pPr>
      <w:r w:rsidRPr="0030314C">
        <w:t>Où</w:t>
      </w:r>
      <w:r>
        <w:t> </w:t>
      </w:r>
      <w:r w:rsidRPr="0030314C">
        <w:t>:</w:t>
      </w:r>
    </w:p>
    <w:p w:rsidR="00997917" w:rsidRPr="007C52CA" w:rsidRDefault="00997917" w:rsidP="00997917">
      <w:pPr>
        <w:pStyle w:val="SingleTxtG"/>
        <w:rPr>
          <w:strike/>
        </w:rPr>
      </w:pPr>
      <w:r w:rsidRPr="007C52CA">
        <w:rPr>
          <w:strike/>
        </w:rPr>
        <w:t>Wi arrière est la largeur telle que mesurée à la cloison</w:t>
      </w:r>
    </w:p>
    <w:p w:rsidR="00997917" w:rsidRPr="0030314C" w:rsidRDefault="00997917" w:rsidP="00997917">
      <w:pPr>
        <w:pStyle w:val="SingleTxtG"/>
        <w:rPr>
          <w:b/>
        </w:rPr>
      </w:pPr>
      <w:r w:rsidRPr="0030314C">
        <w:rPr>
          <w:b/>
        </w:rPr>
        <w:t>WI arrière est la largeur telle que mesurée à la cloison</w:t>
      </w:r>
    </w:p>
    <w:p w:rsidR="00997917" w:rsidRPr="007C52CA" w:rsidRDefault="00997917" w:rsidP="00997917">
      <w:pPr>
        <w:pStyle w:val="SingleTxtG"/>
        <w:rPr>
          <w:strike/>
        </w:rPr>
      </w:pPr>
      <w:r w:rsidRPr="007C52CA">
        <w:rPr>
          <w:strike/>
        </w:rPr>
        <w:t>Wi avant est la largeur telle que mesurée du côté de la ou des porte(s)</w:t>
      </w:r>
    </w:p>
    <w:p w:rsidR="00997917" w:rsidRPr="0030314C" w:rsidRDefault="00997917" w:rsidP="00997917">
      <w:pPr>
        <w:pStyle w:val="SingleTxtG"/>
        <w:rPr>
          <w:b/>
        </w:rPr>
      </w:pPr>
      <w:r w:rsidRPr="0030314C">
        <w:rPr>
          <w:b/>
        </w:rPr>
        <w:t>WI avant est la largeur telle que mesurée du côté de la ou des porte(s)</w:t>
      </w:r>
    </w:p>
    <w:p w:rsidR="00997917" w:rsidRPr="0030314C" w:rsidRDefault="00997917" w:rsidP="00997917">
      <w:pPr>
        <w:pStyle w:val="SingleTxtG"/>
      </w:pPr>
      <w:r w:rsidRPr="0030314C">
        <w:lastRenderedPageBreak/>
        <w:t>On calcule la surface extérieure selon les formules ci-après</w:t>
      </w:r>
    </w:p>
    <w:p w:rsidR="00997917" w:rsidRPr="007C52CA" w:rsidRDefault="00997917" w:rsidP="00997917">
      <w:pPr>
        <w:pStyle w:val="SingleTxtG"/>
        <w:rPr>
          <w:strike/>
        </w:rPr>
      </w:pPr>
      <w:r w:rsidRPr="007C52CA">
        <w:rPr>
          <w:strike/>
        </w:rPr>
        <w:t>WE = WI + épaisseur moyenne déclarée</w:t>
      </w:r>
    </w:p>
    <w:p w:rsidR="00997917" w:rsidRPr="007C52CA" w:rsidRDefault="00997917" w:rsidP="00997917">
      <w:pPr>
        <w:pStyle w:val="SingleTxtG"/>
        <w:rPr>
          <w:strike/>
        </w:rPr>
      </w:pPr>
      <w:r w:rsidRPr="007C52CA">
        <w:rPr>
          <w:strike/>
        </w:rPr>
        <w:t>LE = LI + épaisseur moyenne déclarée</w:t>
      </w:r>
    </w:p>
    <w:p w:rsidR="00997917" w:rsidRPr="007C52CA" w:rsidRDefault="00997917" w:rsidP="00997917">
      <w:pPr>
        <w:pStyle w:val="SingleTxtG"/>
        <w:rPr>
          <w:strike/>
        </w:rPr>
      </w:pPr>
      <w:proofErr w:type="spellStart"/>
      <w:r w:rsidRPr="007C52CA">
        <w:rPr>
          <w:strike/>
        </w:rPr>
        <w:t>We</w:t>
      </w:r>
      <w:proofErr w:type="spellEnd"/>
      <w:r w:rsidRPr="007C52CA">
        <w:rPr>
          <w:strike/>
        </w:rPr>
        <w:t>= Wi + épaisseur moyenne déclarée</w:t>
      </w:r>
    </w:p>
    <w:p w:rsidR="00997917" w:rsidRPr="0030314C" w:rsidRDefault="00997917" w:rsidP="00997917">
      <w:pPr>
        <w:pStyle w:val="SingleTxtG"/>
        <w:rPr>
          <w:b/>
        </w:rPr>
      </w:pPr>
      <w:r w:rsidRPr="0030314C">
        <w:rPr>
          <w:b/>
        </w:rPr>
        <w:t>WE = WI + épaisseur moyenne déclarée x 2</w:t>
      </w:r>
    </w:p>
    <w:p w:rsidR="00997917" w:rsidRPr="0030314C" w:rsidRDefault="00997917" w:rsidP="00997917">
      <w:pPr>
        <w:pStyle w:val="SingleTxtG"/>
        <w:rPr>
          <w:b/>
        </w:rPr>
      </w:pPr>
      <w:r w:rsidRPr="0030314C">
        <w:rPr>
          <w:b/>
        </w:rPr>
        <w:t>LE = LI + épaisseur moyenne déclarée x 2</w:t>
      </w:r>
    </w:p>
    <w:p w:rsidR="00997917" w:rsidRPr="0030314C" w:rsidRDefault="00997917" w:rsidP="00997917">
      <w:pPr>
        <w:pStyle w:val="SingleTxtG"/>
        <w:rPr>
          <w:i/>
        </w:rPr>
      </w:pPr>
      <w:r w:rsidRPr="0030314C">
        <w:rPr>
          <w:b/>
        </w:rPr>
        <w:t>HE= HI + épaisseur moyenne déclarée x 2</w:t>
      </w:r>
      <w:r>
        <w:rPr>
          <w:b/>
        </w:rPr>
        <w:t> </w:t>
      </w:r>
      <w:r>
        <w:t>»</w:t>
      </w:r>
      <w:r w:rsidRPr="0030314C">
        <w:rPr>
          <w:i/>
        </w:rPr>
        <w:t>.</w:t>
      </w:r>
    </w:p>
    <w:p w:rsidR="00997917" w:rsidRPr="00765C1A" w:rsidRDefault="00997917" w:rsidP="00997917">
      <w:pPr>
        <w:pStyle w:val="HChG"/>
      </w:pPr>
      <w:r w:rsidRPr="0030314C">
        <w:tab/>
      </w:r>
      <w:r w:rsidRPr="0030314C">
        <w:tab/>
      </w:r>
      <w:r w:rsidRPr="00765C1A">
        <w:t>Incidences</w:t>
      </w:r>
    </w:p>
    <w:p w:rsidR="00997917" w:rsidRPr="00765C1A" w:rsidRDefault="00997917" w:rsidP="00997917">
      <w:pPr>
        <w:pStyle w:val="SingleTxtG"/>
      </w:pPr>
      <w:r w:rsidRPr="00765C1A">
        <w:t>4.</w:t>
      </w:r>
      <w:r w:rsidRPr="00765C1A">
        <w:tab/>
        <w:t>Il n</w:t>
      </w:r>
      <w:r>
        <w:t>’</w:t>
      </w:r>
      <w:r w:rsidRPr="00765C1A">
        <w:t xml:space="preserve">y aurait aucune </w:t>
      </w:r>
      <w:r>
        <w:t xml:space="preserve">conséquence </w:t>
      </w:r>
      <w:r w:rsidRPr="00765C1A">
        <w:t xml:space="preserve">financière </w:t>
      </w:r>
      <w:r>
        <w:t xml:space="preserve">pour </w:t>
      </w:r>
      <w:r w:rsidRPr="00765C1A">
        <w:t>le secteur.</w:t>
      </w:r>
    </w:p>
    <w:p w:rsidR="00F9573C" w:rsidRPr="00997917" w:rsidRDefault="00997917" w:rsidP="0099791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97917" w:rsidSect="009979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DA" w:rsidRDefault="00A001DA" w:rsidP="00F95C08">
      <w:pPr>
        <w:spacing w:line="240" w:lineRule="auto"/>
      </w:pPr>
    </w:p>
  </w:endnote>
  <w:endnote w:type="continuationSeparator" w:id="0">
    <w:p w:rsidR="00A001DA" w:rsidRPr="00AC3823" w:rsidRDefault="00A001DA" w:rsidP="00AC3823">
      <w:pPr>
        <w:pStyle w:val="Footer"/>
      </w:pPr>
    </w:p>
  </w:endnote>
  <w:endnote w:type="continuationNotice" w:id="1">
    <w:p w:rsidR="00A001DA" w:rsidRDefault="00A001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17" w:rsidRPr="00997917" w:rsidRDefault="00997917" w:rsidP="00997917">
    <w:pPr>
      <w:pStyle w:val="Footer"/>
      <w:tabs>
        <w:tab w:val="right" w:pos="9638"/>
      </w:tabs>
    </w:pPr>
    <w:r w:rsidRPr="00997917">
      <w:rPr>
        <w:b/>
        <w:sz w:val="18"/>
      </w:rPr>
      <w:fldChar w:fldCharType="begin"/>
    </w:r>
    <w:r w:rsidRPr="00997917">
      <w:rPr>
        <w:b/>
        <w:sz w:val="18"/>
      </w:rPr>
      <w:instrText xml:space="preserve"> PAGE  \* MERGEFORMAT </w:instrText>
    </w:r>
    <w:r w:rsidRPr="00997917">
      <w:rPr>
        <w:b/>
        <w:sz w:val="18"/>
      </w:rPr>
      <w:fldChar w:fldCharType="separate"/>
    </w:r>
    <w:r w:rsidR="00C246E2">
      <w:rPr>
        <w:b/>
        <w:noProof/>
        <w:sz w:val="18"/>
      </w:rPr>
      <w:t>2</w:t>
    </w:r>
    <w:r w:rsidRPr="00997917">
      <w:rPr>
        <w:b/>
        <w:sz w:val="18"/>
      </w:rPr>
      <w:fldChar w:fldCharType="end"/>
    </w:r>
    <w:r>
      <w:rPr>
        <w:b/>
        <w:sz w:val="18"/>
      </w:rPr>
      <w:tab/>
    </w:r>
    <w:r>
      <w:t>GE.18-10767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17" w:rsidRPr="00997917" w:rsidRDefault="00997917" w:rsidP="00997917">
    <w:pPr>
      <w:pStyle w:val="Footer"/>
      <w:tabs>
        <w:tab w:val="right" w:pos="9638"/>
      </w:tabs>
      <w:rPr>
        <w:b/>
        <w:sz w:val="18"/>
      </w:rPr>
    </w:pPr>
    <w:r>
      <w:t>GE.18-10767</w:t>
    </w:r>
    <w:r>
      <w:tab/>
    </w:r>
    <w:r w:rsidRPr="00997917">
      <w:rPr>
        <w:b/>
        <w:sz w:val="18"/>
      </w:rPr>
      <w:fldChar w:fldCharType="begin"/>
    </w:r>
    <w:r w:rsidRPr="00997917">
      <w:rPr>
        <w:b/>
        <w:sz w:val="18"/>
      </w:rPr>
      <w:instrText xml:space="preserve"> PAGE  \* MERGEFORMAT </w:instrText>
    </w:r>
    <w:r w:rsidRPr="00997917">
      <w:rPr>
        <w:b/>
        <w:sz w:val="18"/>
      </w:rPr>
      <w:fldChar w:fldCharType="separate"/>
    </w:r>
    <w:r w:rsidR="00C246E2">
      <w:rPr>
        <w:b/>
        <w:noProof/>
        <w:sz w:val="18"/>
      </w:rPr>
      <w:t>3</w:t>
    </w:r>
    <w:r w:rsidRPr="009979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97917" w:rsidRDefault="00997917" w:rsidP="0099791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18-10767  (F)    140818    230818</w:t>
    </w:r>
    <w:r>
      <w:rPr>
        <w:sz w:val="20"/>
      </w:rPr>
      <w:br/>
    </w:r>
    <w:r w:rsidRPr="00997917">
      <w:rPr>
        <w:rFonts w:ascii="C39T30Lfz" w:hAnsi="C39T30Lfz"/>
        <w:sz w:val="56"/>
      </w:rPr>
      <w:t></w:t>
    </w:r>
    <w:r w:rsidRPr="00997917">
      <w:rPr>
        <w:rFonts w:ascii="C39T30Lfz" w:hAnsi="C39T30Lfz"/>
        <w:sz w:val="56"/>
      </w:rPr>
      <w:t></w:t>
    </w:r>
    <w:r w:rsidRPr="00997917">
      <w:rPr>
        <w:rFonts w:ascii="C39T30Lfz" w:hAnsi="C39T30Lfz"/>
        <w:sz w:val="56"/>
      </w:rPr>
      <w:t></w:t>
    </w:r>
    <w:r w:rsidRPr="00997917">
      <w:rPr>
        <w:rFonts w:ascii="C39T30Lfz" w:hAnsi="C39T30Lfz"/>
        <w:sz w:val="56"/>
      </w:rPr>
      <w:t></w:t>
    </w:r>
    <w:r w:rsidRPr="00997917">
      <w:rPr>
        <w:rFonts w:ascii="C39T30Lfz" w:hAnsi="C39T30Lfz"/>
        <w:sz w:val="56"/>
      </w:rPr>
      <w:t></w:t>
    </w:r>
    <w:r w:rsidRPr="00997917">
      <w:rPr>
        <w:rFonts w:ascii="C39T30Lfz" w:hAnsi="C39T30Lfz"/>
        <w:sz w:val="56"/>
      </w:rPr>
      <w:t></w:t>
    </w:r>
    <w:r w:rsidRPr="00997917">
      <w:rPr>
        <w:rFonts w:ascii="C39T30Lfz" w:hAnsi="C39T30Lfz"/>
        <w:sz w:val="56"/>
      </w:rPr>
      <w:t></w:t>
    </w:r>
    <w:r w:rsidRPr="00997917">
      <w:rPr>
        <w:rFonts w:ascii="C39T30Lfz" w:hAnsi="C39T30Lfz"/>
        <w:sz w:val="56"/>
      </w:rPr>
      <w:t></w:t>
    </w:r>
    <w:r w:rsidRPr="0099791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DA" w:rsidRPr="00AC3823" w:rsidRDefault="00A001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001DA" w:rsidRPr="00AC3823" w:rsidRDefault="00A001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001DA" w:rsidRPr="00AC3823" w:rsidRDefault="00A001D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17" w:rsidRPr="00997917" w:rsidRDefault="00C4185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246E2">
      <w:t>ECE/TRANS/WP.11/2018/7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17" w:rsidRPr="00997917" w:rsidRDefault="00C4185E" w:rsidP="0099791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246E2">
      <w:t>ECE/TRANS/WP.11/2018/7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1D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147DB"/>
    <w:rsid w:val="005505B7"/>
    <w:rsid w:val="00573BE5"/>
    <w:rsid w:val="00586ED3"/>
    <w:rsid w:val="00596AA9"/>
    <w:rsid w:val="0071601D"/>
    <w:rsid w:val="007A62E6"/>
    <w:rsid w:val="007C52CA"/>
    <w:rsid w:val="007F20FA"/>
    <w:rsid w:val="0080684C"/>
    <w:rsid w:val="00871C75"/>
    <w:rsid w:val="008776DC"/>
    <w:rsid w:val="009446C0"/>
    <w:rsid w:val="009705C8"/>
    <w:rsid w:val="00997917"/>
    <w:rsid w:val="009C1CF4"/>
    <w:rsid w:val="009F6B74"/>
    <w:rsid w:val="00A001DA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246E2"/>
    <w:rsid w:val="00C4185E"/>
    <w:rsid w:val="00C97039"/>
    <w:rsid w:val="00D3439C"/>
    <w:rsid w:val="00DB1831"/>
    <w:rsid w:val="00DD3BFD"/>
    <w:rsid w:val="00DF6678"/>
    <w:rsid w:val="00E0299A"/>
    <w:rsid w:val="00E14F9C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2AA7F6-8A81-4418-8821-A4A8A1D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ECE/TRANS/WP.11/2018/7</vt:lpstr>
      <vt:lpstr>ECE/TRANS/WP.11/2018/7</vt:lpstr>
    </vt:vector>
  </TitlesOfParts>
  <Company>DCM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ECE/TRANS/WP.11/2018/7</dc:title>
  <dc:subject/>
  <dc:creator>Annie BEAUNEE</dc:creator>
  <cp:keywords/>
  <cp:lastModifiedBy>Secretariat</cp:lastModifiedBy>
  <cp:revision>2</cp:revision>
  <cp:lastPrinted>2018-08-23T13:42:00Z</cp:lastPrinted>
  <dcterms:created xsi:type="dcterms:W3CDTF">2018-08-27T14:15:00Z</dcterms:created>
  <dcterms:modified xsi:type="dcterms:W3CDTF">2018-08-27T14:15:00Z</dcterms:modified>
</cp:coreProperties>
</file>