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54" w:rsidRPr="00096154" w:rsidRDefault="00096154" w:rsidP="00096154">
      <w:pPr>
        <w:spacing w:after="0"/>
        <w:ind w:left="5387" w:right="-286"/>
        <w:outlineLvl w:val="0"/>
        <w:rPr>
          <w:rFonts w:ascii="Arial" w:eastAsia="Arial" w:hAnsi="Arial" w:cs="Arial"/>
          <w:bCs/>
          <w:sz w:val="20"/>
          <w:szCs w:val="24"/>
          <w:lang w:val="fr-FR" w:eastAsia="de-DE"/>
        </w:rPr>
      </w:pPr>
      <w:bookmarkStart w:id="0" w:name="_GoBack"/>
      <w:bookmarkEnd w:id="0"/>
      <w:r>
        <w:rPr>
          <w:rFonts w:ascii="Arial" w:eastAsia="Arial" w:hAnsi="Arial" w:cs="Arial"/>
          <w:bCs/>
          <w:noProof/>
          <w:sz w:val="20"/>
          <w:szCs w:val="24"/>
          <w:lang w:val="de-DE" w:eastAsia="de-DE"/>
        </w:rPr>
        <w:drawing>
          <wp:anchor distT="0" distB="0" distL="114300" distR="114300" simplePos="0" relativeHeight="251658240" behindDoc="0" locked="0" layoutInCell="1" allowOverlap="1" wp14:anchorId="7CB8F69A" wp14:editId="5ED959B8">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96154">
        <w:rPr>
          <w:rFonts w:ascii="Arial" w:eastAsia="Arial" w:hAnsi="Arial" w:cs="Arial"/>
          <w:bCs/>
          <w:sz w:val="20"/>
          <w:szCs w:val="24"/>
          <w:lang w:val="fr-FR" w:eastAsia="de-DE"/>
        </w:rPr>
        <w:t>CCNR-ZKR/ADN/WP.15/AC.2/201</w:t>
      </w:r>
      <w:r w:rsidR="008B36BE">
        <w:rPr>
          <w:rFonts w:ascii="Arial" w:eastAsia="Arial" w:hAnsi="Arial" w:cs="Arial"/>
          <w:bCs/>
          <w:sz w:val="20"/>
          <w:szCs w:val="24"/>
          <w:lang w:val="fr-FR" w:eastAsia="de-DE"/>
        </w:rPr>
        <w:t>8</w:t>
      </w:r>
      <w:r w:rsidRPr="00096154">
        <w:rPr>
          <w:rFonts w:ascii="Arial" w:eastAsia="Arial" w:hAnsi="Arial" w:cs="Arial"/>
          <w:bCs/>
          <w:sz w:val="20"/>
          <w:szCs w:val="24"/>
          <w:lang w:val="fr-FR" w:eastAsia="de-DE"/>
        </w:rPr>
        <w:t>/</w:t>
      </w:r>
      <w:r w:rsidR="0088718F">
        <w:rPr>
          <w:rFonts w:ascii="Arial" w:eastAsia="Arial" w:hAnsi="Arial" w:cs="Arial"/>
          <w:bCs/>
          <w:sz w:val="20"/>
          <w:szCs w:val="24"/>
          <w:lang w:val="fr-FR" w:eastAsia="de-DE"/>
        </w:rPr>
        <w:t>45</w:t>
      </w:r>
    </w:p>
    <w:p w:rsidR="00096154" w:rsidRPr="00096154" w:rsidRDefault="00096154" w:rsidP="00096154">
      <w:pPr>
        <w:tabs>
          <w:tab w:val="left" w:pos="5670"/>
        </w:tabs>
        <w:spacing w:after="0"/>
        <w:ind w:left="5387"/>
        <w:rPr>
          <w:rFonts w:ascii="Arial" w:hAnsi="Arial" w:cs="Arial"/>
          <w:sz w:val="16"/>
          <w:szCs w:val="24"/>
          <w:lang w:val="de-DE" w:eastAsia="de-DE"/>
        </w:rPr>
      </w:pPr>
      <w:r w:rsidRPr="00096154">
        <w:rPr>
          <w:rFonts w:ascii="Arial" w:hAnsi="Arial" w:cs="Arial"/>
          <w:sz w:val="16"/>
          <w:szCs w:val="24"/>
          <w:lang w:val="de-DE" w:eastAsia="de-DE"/>
        </w:rPr>
        <w:t>Allgemeine Verteilung</w:t>
      </w:r>
    </w:p>
    <w:p w:rsidR="00096154" w:rsidRPr="00096154" w:rsidRDefault="0088718F" w:rsidP="00096154">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12</w:t>
      </w:r>
      <w:r w:rsidR="00096154" w:rsidRPr="00096154">
        <w:rPr>
          <w:rFonts w:ascii="Arial" w:eastAsia="Arial" w:hAnsi="Arial" w:cs="Arial"/>
          <w:sz w:val="20"/>
          <w:szCs w:val="24"/>
          <w:lang w:val="de-DE" w:eastAsia="de-DE"/>
        </w:rPr>
        <w:t xml:space="preserve">. </w:t>
      </w:r>
      <w:r>
        <w:rPr>
          <w:rFonts w:ascii="Arial" w:eastAsia="Arial" w:hAnsi="Arial" w:cs="Arial"/>
          <w:sz w:val="20"/>
          <w:szCs w:val="24"/>
          <w:lang w:val="de-DE" w:eastAsia="de-DE"/>
        </w:rPr>
        <w:t>Juni</w:t>
      </w:r>
      <w:r w:rsidR="00096154" w:rsidRPr="00096154">
        <w:rPr>
          <w:rFonts w:ascii="Arial" w:eastAsia="Arial" w:hAnsi="Arial" w:cs="Arial"/>
          <w:sz w:val="20"/>
          <w:szCs w:val="24"/>
          <w:lang w:val="de-DE" w:eastAsia="de-DE"/>
        </w:rPr>
        <w:t xml:space="preserve"> 201</w:t>
      </w:r>
      <w:r w:rsidR="008B36BE">
        <w:rPr>
          <w:rFonts w:ascii="Arial" w:eastAsia="Arial" w:hAnsi="Arial" w:cs="Arial"/>
          <w:sz w:val="20"/>
          <w:szCs w:val="24"/>
          <w:lang w:val="de-DE" w:eastAsia="de-DE"/>
        </w:rPr>
        <w:t>8</w:t>
      </w:r>
    </w:p>
    <w:p w:rsidR="00096154" w:rsidRPr="00096154" w:rsidRDefault="00096154" w:rsidP="00096154">
      <w:pPr>
        <w:tabs>
          <w:tab w:val="right" w:pos="3856"/>
          <w:tab w:val="left" w:pos="5670"/>
        </w:tabs>
        <w:spacing w:after="0"/>
        <w:ind w:left="5387" w:right="565"/>
        <w:rPr>
          <w:rFonts w:ascii="Arial" w:hAnsi="Arial" w:cs="Arial"/>
          <w:sz w:val="16"/>
          <w:szCs w:val="24"/>
          <w:lang w:val="de-DE" w:eastAsia="de-DE"/>
        </w:rPr>
      </w:pPr>
      <w:proofErr w:type="spellStart"/>
      <w:r w:rsidRPr="00096154">
        <w:rPr>
          <w:rFonts w:ascii="Arial" w:eastAsia="Arial" w:hAnsi="Arial" w:cs="Arial"/>
          <w:sz w:val="16"/>
          <w:szCs w:val="24"/>
          <w:lang w:val="de-DE" w:eastAsia="de-DE"/>
        </w:rPr>
        <w:t>Or</w:t>
      </w:r>
      <w:proofErr w:type="spellEnd"/>
      <w:r w:rsidRPr="00096154">
        <w:rPr>
          <w:rFonts w:ascii="Arial" w:eastAsia="Arial" w:hAnsi="Arial" w:cs="Arial"/>
          <w:sz w:val="16"/>
          <w:szCs w:val="24"/>
          <w:lang w:val="de-DE" w:eastAsia="de-DE"/>
        </w:rPr>
        <w:t>. DEUTSCH</w:t>
      </w:r>
    </w:p>
    <w:p w:rsidR="00096154" w:rsidRPr="00096154" w:rsidRDefault="00096154" w:rsidP="00096154">
      <w:pPr>
        <w:spacing w:after="0"/>
        <w:rPr>
          <w:rFonts w:ascii="Arial" w:hAnsi="Arial" w:cs="Arial"/>
          <w:sz w:val="16"/>
          <w:szCs w:val="24"/>
          <w:lang w:val="de-DE" w:eastAsia="de-DE"/>
        </w:rPr>
      </w:pPr>
    </w:p>
    <w:p w:rsidR="00096154" w:rsidRPr="00096154" w:rsidRDefault="00096154" w:rsidP="00096154">
      <w:pPr>
        <w:spacing w:after="0"/>
        <w:rPr>
          <w:rFonts w:ascii="Arial" w:hAnsi="Arial" w:cs="Arial"/>
          <w:sz w:val="16"/>
          <w:szCs w:val="24"/>
          <w:lang w:val="de-DE" w:eastAsia="de-DE"/>
        </w:rPr>
      </w:pP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GEMEINSAME EXPERTENTAGUNG FÜR DIE DEM</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ÜBEREINKOMMEN ÜBER DIE INTERNATIONALE BEFÖRDERUNG</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VON GEFÄHRLICHEN GÜTERN AUF BINNENWASSERSTRASSEN</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BEIGEFÜGTE VERORDNUNG (ADN)</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(SICHERHEITSAUSSCHUSS)</w:t>
      </w:r>
    </w:p>
    <w:p w:rsidR="00096154" w:rsidRPr="00096154" w:rsidRDefault="00096154" w:rsidP="00096154">
      <w:pPr>
        <w:tabs>
          <w:tab w:val="left" w:pos="2977"/>
        </w:tabs>
        <w:spacing w:after="0"/>
        <w:ind w:left="3960"/>
        <w:rPr>
          <w:rFonts w:ascii="Arial" w:hAnsi="Arial"/>
          <w:snapToGrid w:val="0"/>
          <w:sz w:val="16"/>
          <w:szCs w:val="24"/>
          <w:lang w:val="de-DE" w:eastAsia="fr-FR"/>
        </w:rPr>
      </w:pPr>
      <w:r w:rsidRPr="00096154">
        <w:rPr>
          <w:rFonts w:ascii="Arial" w:hAnsi="Arial"/>
          <w:snapToGrid w:val="0"/>
          <w:sz w:val="16"/>
          <w:szCs w:val="24"/>
          <w:lang w:val="de-DE" w:eastAsia="fr-FR"/>
        </w:rPr>
        <w:t>(3</w:t>
      </w:r>
      <w:r w:rsidR="008B36BE">
        <w:rPr>
          <w:rFonts w:ascii="Arial" w:hAnsi="Arial"/>
          <w:snapToGrid w:val="0"/>
          <w:sz w:val="16"/>
          <w:szCs w:val="24"/>
          <w:lang w:val="de-DE" w:eastAsia="fr-FR"/>
        </w:rPr>
        <w:t>3</w:t>
      </w:r>
      <w:r w:rsidRPr="00096154">
        <w:rPr>
          <w:rFonts w:ascii="Arial" w:hAnsi="Arial"/>
          <w:snapToGrid w:val="0"/>
          <w:sz w:val="16"/>
          <w:szCs w:val="24"/>
          <w:lang w:val="de-DE" w:eastAsia="fr-FR"/>
        </w:rPr>
        <w:t>. Tagung, Genf, 2</w:t>
      </w:r>
      <w:r w:rsidR="008B36BE">
        <w:rPr>
          <w:rFonts w:ascii="Arial" w:hAnsi="Arial"/>
          <w:snapToGrid w:val="0"/>
          <w:sz w:val="16"/>
          <w:szCs w:val="24"/>
          <w:lang w:val="de-DE" w:eastAsia="fr-FR"/>
        </w:rPr>
        <w:t>7</w:t>
      </w:r>
      <w:r w:rsidRPr="00096154">
        <w:rPr>
          <w:rFonts w:ascii="Arial" w:hAnsi="Arial"/>
          <w:snapToGrid w:val="0"/>
          <w:sz w:val="16"/>
          <w:szCs w:val="24"/>
          <w:lang w:val="de-DE" w:eastAsia="fr-FR"/>
        </w:rPr>
        <w:t>. bis 3</w:t>
      </w:r>
      <w:r w:rsidR="0088718F">
        <w:rPr>
          <w:rFonts w:ascii="Arial" w:hAnsi="Arial"/>
          <w:snapToGrid w:val="0"/>
          <w:sz w:val="16"/>
          <w:szCs w:val="24"/>
          <w:lang w:val="de-DE" w:eastAsia="fr-FR"/>
        </w:rPr>
        <w:t>1</w:t>
      </w:r>
      <w:r w:rsidRPr="00096154">
        <w:rPr>
          <w:rFonts w:ascii="Arial" w:hAnsi="Arial"/>
          <w:snapToGrid w:val="0"/>
          <w:sz w:val="16"/>
          <w:szCs w:val="24"/>
          <w:lang w:val="de-DE" w:eastAsia="fr-FR"/>
        </w:rPr>
        <w:t>. August 201</w:t>
      </w:r>
      <w:r w:rsidR="008B36BE">
        <w:rPr>
          <w:rFonts w:ascii="Arial" w:hAnsi="Arial"/>
          <w:snapToGrid w:val="0"/>
          <w:sz w:val="16"/>
          <w:szCs w:val="24"/>
          <w:lang w:val="de-DE" w:eastAsia="fr-FR"/>
        </w:rPr>
        <w:t>8</w:t>
      </w:r>
      <w:r w:rsidRPr="00096154">
        <w:rPr>
          <w:rFonts w:ascii="Arial" w:hAnsi="Arial"/>
          <w:snapToGrid w:val="0"/>
          <w:sz w:val="16"/>
          <w:szCs w:val="24"/>
          <w:lang w:val="de-DE" w:eastAsia="fr-FR"/>
        </w:rPr>
        <w:t>)</w:t>
      </w:r>
    </w:p>
    <w:p w:rsidR="00096154" w:rsidRDefault="00096154" w:rsidP="00096154">
      <w:pPr>
        <w:tabs>
          <w:tab w:val="left" w:pos="2977"/>
        </w:tabs>
        <w:spacing w:after="0"/>
        <w:ind w:left="3960"/>
        <w:rPr>
          <w:rFonts w:ascii="Arial" w:hAnsi="Arial" w:cs="Arial"/>
          <w:sz w:val="16"/>
          <w:szCs w:val="16"/>
          <w:lang w:val="de-DE"/>
        </w:rPr>
      </w:pPr>
      <w:r w:rsidRPr="00096154">
        <w:rPr>
          <w:rFonts w:ascii="Arial" w:hAnsi="Arial" w:cs="Arial"/>
          <w:sz w:val="16"/>
          <w:szCs w:val="16"/>
          <w:lang w:val="de-DE"/>
        </w:rPr>
        <w:t xml:space="preserve">Punkt </w:t>
      </w:r>
      <w:r w:rsidR="0088718F">
        <w:rPr>
          <w:rFonts w:ascii="Arial" w:hAnsi="Arial" w:cs="Arial"/>
          <w:sz w:val="16"/>
          <w:szCs w:val="16"/>
          <w:lang w:val="de-DE"/>
        </w:rPr>
        <w:t>4 b</w:t>
      </w:r>
      <w:r>
        <w:rPr>
          <w:rFonts w:ascii="Arial" w:hAnsi="Arial" w:cs="Arial"/>
          <w:sz w:val="16"/>
          <w:szCs w:val="16"/>
          <w:lang w:val="de-DE"/>
        </w:rPr>
        <w:t>)</w:t>
      </w:r>
      <w:r w:rsidRPr="00096154">
        <w:rPr>
          <w:rFonts w:ascii="Arial" w:hAnsi="Arial" w:cs="Arial"/>
          <w:sz w:val="16"/>
          <w:szCs w:val="16"/>
          <w:lang w:val="de-DE"/>
        </w:rPr>
        <w:t xml:space="preserve"> zur vorläufigen Tagesordnung</w:t>
      </w:r>
    </w:p>
    <w:p w:rsidR="0088718F" w:rsidRPr="00096154" w:rsidRDefault="0088718F" w:rsidP="00096154">
      <w:pPr>
        <w:tabs>
          <w:tab w:val="left" w:pos="2977"/>
        </w:tabs>
        <w:spacing w:after="0"/>
        <w:ind w:left="3960"/>
        <w:rPr>
          <w:rFonts w:ascii="Arial" w:hAnsi="Arial" w:cs="Arial"/>
          <w:sz w:val="16"/>
          <w:szCs w:val="16"/>
          <w:lang w:val="de-DE"/>
        </w:rPr>
      </w:pPr>
      <w:r w:rsidRPr="00C37168">
        <w:rPr>
          <w:rFonts w:ascii="Arial" w:hAnsi="Arial" w:cs="Arial"/>
          <w:b/>
          <w:sz w:val="16"/>
          <w:szCs w:val="16"/>
          <w:lang w:val="de-DE"/>
        </w:rPr>
        <w:t>Vorschläge für Änderungen der dem ADN beigefügten Verordnung: Weitere Vorschläge</w:t>
      </w:r>
    </w:p>
    <w:p w:rsidR="00096154" w:rsidRDefault="00096154" w:rsidP="00096154">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096154" w:rsidRPr="00096154" w:rsidRDefault="00096154" w:rsidP="00096154">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C1620E" w:rsidRPr="00C1620E" w:rsidRDefault="00C1620E" w:rsidP="00C1620E">
      <w:pPr>
        <w:keepNext/>
        <w:keepLines/>
        <w:suppressAutoHyphens/>
        <w:spacing w:before="360" w:line="270" w:lineRule="exact"/>
        <w:ind w:left="1134" w:right="567"/>
        <w:jc w:val="both"/>
        <w:rPr>
          <w:b/>
          <w:bCs/>
          <w:sz w:val="28"/>
          <w:szCs w:val="24"/>
          <w:lang w:val="de-DE" w:eastAsia="fr-FR"/>
        </w:rPr>
      </w:pPr>
      <w:r w:rsidRPr="00C1620E">
        <w:rPr>
          <w:b/>
          <w:bCs/>
          <w:sz w:val="28"/>
          <w:szCs w:val="24"/>
          <w:lang w:val="de-DE" w:eastAsia="fr-FR"/>
        </w:rPr>
        <w:t>Änderung von 7.1.4.1 Begrenzung der beförderten Mengen</w:t>
      </w:r>
    </w:p>
    <w:p w:rsidR="00096154" w:rsidRPr="00096154" w:rsidRDefault="00C225AA" w:rsidP="00C225AA">
      <w:pPr>
        <w:spacing w:after="0"/>
        <w:ind w:left="1134"/>
        <w:jc w:val="both"/>
        <w:rPr>
          <w:b/>
          <w:lang w:val="de-DE" w:eastAsia="fr-FR"/>
        </w:rPr>
      </w:pPr>
      <w:r w:rsidRPr="00C225AA">
        <w:rPr>
          <w:b/>
          <w:snapToGrid w:val="0"/>
          <w:lang w:val="de-DE" w:eastAsia="fr-FR"/>
        </w:rPr>
        <w:t xml:space="preserve">Gemeinsam eingereicht durch die Europäische </w:t>
      </w:r>
      <w:proofErr w:type="spellStart"/>
      <w:r w:rsidRPr="00C225AA">
        <w:rPr>
          <w:b/>
          <w:snapToGrid w:val="0"/>
          <w:lang w:val="de-DE" w:eastAsia="fr-FR"/>
        </w:rPr>
        <w:t>Binnenschifffahrts</w:t>
      </w:r>
      <w:proofErr w:type="spellEnd"/>
      <w:r w:rsidRPr="00C225AA">
        <w:rPr>
          <w:b/>
          <w:snapToGrid w:val="0"/>
          <w:lang w:val="de-DE" w:eastAsia="fr-FR"/>
        </w:rPr>
        <w:t xml:space="preserve"> Union (EBU), ERSTU (European River </w:t>
      </w:r>
      <w:proofErr w:type="spellStart"/>
      <w:r w:rsidRPr="00C225AA">
        <w:rPr>
          <w:b/>
          <w:snapToGrid w:val="0"/>
          <w:lang w:val="de-DE" w:eastAsia="fr-FR"/>
        </w:rPr>
        <w:t>Sea</w:t>
      </w:r>
      <w:proofErr w:type="spellEnd"/>
      <w:r w:rsidRPr="00C225AA">
        <w:rPr>
          <w:b/>
          <w:snapToGrid w:val="0"/>
          <w:lang w:val="de-DE" w:eastAsia="fr-FR"/>
        </w:rPr>
        <w:t xml:space="preserve"> Transport Union) und die Europäische Schifferorganisation(ESO)</w:t>
      </w:r>
      <w:r w:rsidR="00096154" w:rsidRPr="00096154">
        <w:rPr>
          <w:b/>
          <w:sz w:val="18"/>
          <w:vertAlign w:val="superscript"/>
          <w:lang w:val="de-DE" w:eastAsia="fr-FR"/>
        </w:rPr>
        <w:footnoteReference w:id="2"/>
      </w:r>
      <w:r w:rsidR="00096154" w:rsidRPr="00096154">
        <w:rPr>
          <w:b/>
          <w:sz w:val="18"/>
          <w:vertAlign w:val="superscript"/>
          <w:lang w:val="de-DE" w:eastAsia="fr-FR"/>
        </w:rPr>
        <w:t>,</w:t>
      </w:r>
      <w:r w:rsidR="00096154" w:rsidRPr="00096154">
        <w:rPr>
          <w:b/>
          <w:sz w:val="18"/>
          <w:vertAlign w:val="superscript"/>
          <w:lang w:val="de-DE" w:eastAsia="fr-FR"/>
        </w:rPr>
        <w:footnoteReference w:id="3"/>
      </w:r>
    </w:p>
    <w:p w:rsidR="00A909D8" w:rsidRPr="000B697D" w:rsidRDefault="00A909D8" w:rsidP="004C730B">
      <w:pPr>
        <w:spacing w:after="0" w:line="360" w:lineRule="auto"/>
        <w:ind w:right="566"/>
        <w:rPr>
          <w:sz w:val="20"/>
          <w:lang w:val="de-DE"/>
        </w:rPr>
      </w:pPr>
    </w:p>
    <w:p w:rsidR="00C1620E" w:rsidRPr="00C1620E" w:rsidRDefault="00C1620E" w:rsidP="00C1620E">
      <w:pPr>
        <w:suppressAutoHyphens/>
        <w:spacing w:after="0"/>
        <w:rPr>
          <w:b/>
          <w:szCs w:val="24"/>
          <w:lang w:val="de-DE"/>
        </w:rPr>
      </w:pPr>
      <w:r w:rsidRPr="00C1620E">
        <w:rPr>
          <w:b/>
          <w:szCs w:val="24"/>
          <w:lang w:val="de-DE"/>
        </w:rPr>
        <w:t>Einleitung</w:t>
      </w:r>
    </w:p>
    <w:p w:rsidR="00C1620E" w:rsidRPr="00C1620E" w:rsidRDefault="00C1620E" w:rsidP="00C1620E">
      <w:pPr>
        <w:suppressAutoHyphens/>
        <w:spacing w:after="0"/>
        <w:jc w:val="center"/>
        <w:rPr>
          <w:sz w:val="20"/>
          <w:u w:val="single"/>
          <w:lang w:val="de-DE"/>
        </w:rPr>
      </w:pPr>
    </w:p>
    <w:p w:rsidR="00C1620E" w:rsidRDefault="00C1620E" w:rsidP="00920778">
      <w:pPr>
        <w:tabs>
          <w:tab w:val="left" w:pos="567"/>
          <w:tab w:val="left" w:pos="1985"/>
          <w:tab w:val="left" w:pos="2552"/>
          <w:tab w:val="left" w:pos="3119"/>
          <w:tab w:val="left" w:pos="3686"/>
        </w:tabs>
        <w:spacing w:after="60"/>
        <w:ind w:left="567" w:hanging="567"/>
        <w:jc w:val="both"/>
        <w:rPr>
          <w:sz w:val="20"/>
          <w:lang w:val="de-DE"/>
        </w:rPr>
      </w:pPr>
      <w:r w:rsidRPr="00C1620E">
        <w:rPr>
          <w:sz w:val="20"/>
          <w:lang w:val="de-DE"/>
        </w:rPr>
        <w:t>1.</w:t>
      </w:r>
      <w:r w:rsidRPr="00C1620E">
        <w:rPr>
          <w:sz w:val="20"/>
          <w:lang w:val="de-DE"/>
        </w:rPr>
        <w:tab/>
        <w:t>Die Vertreter des Binnenschifffahrtsgewerbes haben zu diesem Thema erstmalig zur 29. Sitzung und ein zweites Mal zur 31. Sitzung des ADN Sicherheitsausschusses Unterlagen zur Beratung vorgelegt. Bei der 31. Sitzung wurde ausgeführt, dass das Gewerbe mit dem Antrag drei Ziele verbindet:</w:t>
      </w:r>
    </w:p>
    <w:p w:rsidR="00C1620E" w:rsidRPr="00C1620E" w:rsidRDefault="00C1620E" w:rsidP="00C1620E">
      <w:pPr>
        <w:tabs>
          <w:tab w:val="left" w:pos="851"/>
          <w:tab w:val="left" w:pos="1985"/>
          <w:tab w:val="left" w:pos="2552"/>
          <w:tab w:val="left" w:pos="3119"/>
          <w:tab w:val="left" w:pos="3686"/>
        </w:tabs>
        <w:spacing w:after="60"/>
        <w:ind w:left="567"/>
        <w:rPr>
          <w:sz w:val="20"/>
          <w:lang w:val="de-DE"/>
        </w:rPr>
      </w:pPr>
      <w:r w:rsidRPr="00C1620E">
        <w:rPr>
          <w:sz w:val="20"/>
          <w:lang w:val="de-DE"/>
        </w:rPr>
        <w:t>a)</w:t>
      </w:r>
      <w:r>
        <w:rPr>
          <w:sz w:val="20"/>
          <w:lang w:val="de-DE"/>
        </w:rPr>
        <w:tab/>
      </w:r>
      <w:r w:rsidRPr="00C1620E">
        <w:rPr>
          <w:sz w:val="20"/>
          <w:lang w:val="de-DE"/>
        </w:rPr>
        <w:t>Schaffung von mehr Klarheit und Transparenz durch eine geänderte Darstellung von 7.1.4.1.1</w:t>
      </w:r>
    </w:p>
    <w:p w:rsidR="00C1620E" w:rsidRPr="00C1620E" w:rsidRDefault="00C1620E" w:rsidP="00C1620E">
      <w:pPr>
        <w:tabs>
          <w:tab w:val="left" w:pos="851"/>
          <w:tab w:val="left" w:pos="1985"/>
          <w:tab w:val="left" w:pos="2552"/>
          <w:tab w:val="left" w:pos="3119"/>
          <w:tab w:val="left" w:pos="3686"/>
        </w:tabs>
        <w:spacing w:after="60"/>
        <w:ind w:left="567"/>
        <w:rPr>
          <w:sz w:val="20"/>
          <w:lang w:val="de-DE"/>
        </w:rPr>
      </w:pPr>
      <w:r w:rsidRPr="00C1620E">
        <w:rPr>
          <w:sz w:val="20"/>
          <w:lang w:val="de-DE"/>
        </w:rPr>
        <w:t>b)</w:t>
      </w:r>
      <w:r>
        <w:rPr>
          <w:sz w:val="20"/>
          <w:lang w:val="de-DE"/>
        </w:rPr>
        <w:tab/>
      </w:r>
      <w:r w:rsidRPr="00C1620E">
        <w:rPr>
          <w:sz w:val="20"/>
          <w:lang w:val="de-DE"/>
        </w:rPr>
        <w:t>Schaffung von mehr Klarheit durch Zusammenfassung von Mengenbereichen in 7.1.4.1.1</w:t>
      </w:r>
    </w:p>
    <w:p w:rsidR="00C1620E" w:rsidRPr="00C1620E" w:rsidRDefault="00C1620E" w:rsidP="00C1620E">
      <w:pPr>
        <w:tabs>
          <w:tab w:val="left" w:pos="851"/>
          <w:tab w:val="left" w:pos="1985"/>
          <w:tab w:val="left" w:pos="2552"/>
          <w:tab w:val="left" w:pos="3119"/>
          <w:tab w:val="left" w:pos="3686"/>
        </w:tabs>
        <w:spacing w:after="60"/>
        <w:ind w:left="567"/>
        <w:rPr>
          <w:sz w:val="20"/>
          <w:lang w:val="de-DE"/>
        </w:rPr>
      </w:pPr>
      <w:r w:rsidRPr="00C1620E">
        <w:rPr>
          <w:sz w:val="20"/>
          <w:lang w:val="de-DE"/>
        </w:rPr>
        <w:t>c)</w:t>
      </w:r>
      <w:r>
        <w:rPr>
          <w:sz w:val="20"/>
          <w:lang w:val="de-DE"/>
        </w:rPr>
        <w:tab/>
      </w:r>
      <w:r w:rsidRPr="00C1620E">
        <w:rPr>
          <w:sz w:val="20"/>
          <w:lang w:val="de-DE"/>
        </w:rPr>
        <w:t>Abschaffung der Mengenobergrenze von 1.100 t aus 7.1.4.1.2</w:t>
      </w:r>
    </w:p>
    <w:p w:rsidR="00C1620E" w:rsidRPr="00C1620E" w:rsidRDefault="00C1620E" w:rsidP="00C1620E">
      <w:pPr>
        <w:tabs>
          <w:tab w:val="left" w:pos="567"/>
          <w:tab w:val="left" w:pos="1985"/>
          <w:tab w:val="left" w:pos="2552"/>
          <w:tab w:val="left" w:pos="3119"/>
          <w:tab w:val="left" w:pos="3686"/>
        </w:tabs>
        <w:spacing w:after="0"/>
        <w:ind w:left="567" w:hanging="567"/>
        <w:rPr>
          <w:sz w:val="20"/>
          <w:lang w:val="de-DE"/>
        </w:rPr>
      </w:pPr>
    </w:p>
    <w:p w:rsidR="00124C84" w:rsidRDefault="00124C84">
      <w:pPr>
        <w:spacing w:after="0"/>
        <w:rPr>
          <w:sz w:val="20"/>
          <w:lang w:val="de-DE"/>
        </w:rPr>
      </w:pPr>
      <w:r>
        <w:rPr>
          <w:sz w:val="20"/>
          <w:lang w:val="de-DE"/>
        </w:rPr>
        <w:br w:type="page"/>
      </w:r>
    </w:p>
    <w:p w:rsidR="00C1620E" w:rsidRPr="00C1620E" w:rsidRDefault="00C1620E" w:rsidP="00C1620E">
      <w:pPr>
        <w:tabs>
          <w:tab w:val="left" w:pos="567"/>
          <w:tab w:val="left" w:pos="1985"/>
          <w:tab w:val="left" w:pos="2552"/>
          <w:tab w:val="left" w:pos="3119"/>
          <w:tab w:val="left" w:pos="3686"/>
        </w:tabs>
        <w:spacing w:after="0"/>
        <w:ind w:left="567" w:hanging="567"/>
        <w:jc w:val="both"/>
        <w:rPr>
          <w:sz w:val="20"/>
          <w:lang w:val="de-DE"/>
        </w:rPr>
      </w:pPr>
      <w:r w:rsidRPr="00C1620E">
        <w:rPr>
          <w:sz w:val="20"/>
          <w:lang w:val="de-DE"/>
        </w:rPr>
        <w:lastRenderedPageBreak/>
        <w:t>2.</w:t>
      </w:r>
      <w:r w:rsidRPr="00C1620E">
        <w:rPr>
          <w:sz w:val="20"/>
          <w:lang w:val="de-DE"/>
        </w:rPr>
        <w:tab/>
        <w:t>Bei der Beratung in der 31. Sitzung des ADN Sicherheitsausschusses wurde deutlich, dass derzeit keine Grundlage für eine Diskussion über die von der Schifffahrt in der vorstehenden Ziffer 1 genannten Ziele b) und c) gesehen wird. Gleichwohl stimmte der Sicherheitsausschuss zu, den Sachverhalt in einer Korrespondenzgruppe zu behandeln.</w:t>
      </w:r>
    </w:p>
    <w:p w:rsidR="00C1620E" w:rsidRPr="00C1620E" w:rsidRDefault="00C1620E" w:rsidP="00C1620E">
      <w:pPr>
        <w:tabs>
          <w:tab w:val="left" w:pos="567"/>
          <w:tab w:val="left" w:pos="1985"/>
          <w:tab w:val="left" w:pos="2552"/>
          <w:tab w:val="left" w:pos="3119"/>
          <w:tab w:val="left" w:pos="3686"/>
        </w:tabs>
        <w:spacing w:after="0"/>
        <w:ind w:left="567" w:hanging="567"/>
        <w:rPr>
          <w:sz w:val="20"/>
          <w:lang w:val="de-DE"/>
        </w:rPr>
      </w:pPr>
    </w:p>
    <w:p w:rsidR="00C1620E" w:rsidRPr="00C1620E" w:rsidRDefault="00C1620E" w:rsidP="00C1620E">
      <w:pPr>
        <w:tabs>
          <w:tab w:val="left" w:pos="567"/>
          <w:tab w:val="left" w:pos="1985"/>
          <w:tab w:val="left" w:pos="2552"/>
          <w:tab w:val="left" w:pos="3119"/>
          <w:tab w:val="left" w:pos="3686"/>
        </w:tabs>
        <w:spacing w:after="0"/>
        <w:ind w:left="567" w:hanging="567"/>
        <w:jc w:val="both"/>
        <w:rPr>
          <w:sz w:val="20"/>
          <w:lang w:val="de-DE"/>
        </w:rPr>
      </w:pPr>
      <w:r w:rsidRPr="00C1620E">
        <w:rPr>
          <w:sz w:val="20"/>
          <w:lang w:val="de-DE"/>
        </w:rPr>
        <w:t>3.</w:t>
      </w:r>
      <w:r w:rsidRPr="00C1620E">
        <w:rPr>
          <w:sz w:val="20"/>
          <w:lang w:val="de-DE"/>
        </w:rPr>
        <w:tab/>
        <w:t>Zur Behandlung des Antrags in einer Korrespondenzgruppe ist es bislang noch nicht gekommen. Das Schifffahrtsgewerbe hat die Ablehnung der unter Ziffer 1 genannten Ziele b) und c) zur Kenntnis genom</w:t>
      </w:r>
      <w:r>
        <w:rPr>
          <w:sz w:val="20"/>
          <w:lang w:val="de-DE"/>
        </w:rPr>
        <w:t>men und einstweilen akzeptiert.</w:t>
      </w:r>
    </w:p>
    <w:p w:rsidR="00C1620E" w:rsidRPr="00C1620E" w:rsidRDefault="00C1620E" w:rsidP="00C1620E">
      <w:pPr>
        <w:tabs>
          <w:tab w:val="left" w:pos="567"/>
          <w:tab w:val="left" w:pos="1985"/>
          <w:tab w:val="left" w:pos="2552"/>
          <w:tab w:val="left" w:pos="3119"/>
          <w:tab w:val="left" w:pos="3686"/>
        </w:tabs>
        <w:spacing w:after="0"/>
        <w:ind w:left="567" w:hanging="567"/>
        <w:rPr>
          <w:sz w:val="20"/>
          <w:lang w:val="de-DE"/>
        </w:rPr>
      </w:pPr>
    </w:p>
    <w:p w:rsidR="00C1620E" w:rsidRPr="00C1620E" w:rsidRDefault="00C1620E" w:rsidP="00C1620E">
      <w:pPr>
        <w:tabs>
          <w:tab w:val="left" w:pos="567"/>
          <w:tab w:val="left" w:pos="1985"/>
          <w:tab w:val="left" w:pos="2552"/>
          <w:tab w:val="left" w:pos="3119"/>
          <w:tab w:val="left" w:pos="3686"/>
        </w:tabs>
        <w:spacing w:after="0"/>
        <w:ind w:left="567" w:hanging="567"/>
        <w:jc w:val="both"/>
        <w:rPr>
          <w:sz w:val="20"/>
          <w:lang w:val="de-DE"/>
        </w:rPr>
      </w:pPr>
      <w:r w:rsidRPr="00C1620E">
        <w:rPr>
          <w:sz w:val="20"/>
          <w:lang w:val="de-DE"/>
        </w:rPr>
        <w:t>4.</w:t>
      </w:r>
      <w:r w:rsidRPr="00C1620E">
        <w:rPr>
          <w:sz w:val="20"/>
          <w:lang w:val="de-DE"/>
        </w:rPr>
        <w:tab/>
        <w:t>Das Anliegen besteht jedoch fort, durch eine geänderte Darstellung von 7.1.4.1 mehr Klarheit und Transparenz zu schaffen. Dies ist insbesondere nötig, um den Anwendern, die nicht regelmäßig mit dem ADN zu tun haben, den Zugang zu diesem Thema zu erleichtern.</w:t>
      </w:r>
    </w:p>
    <w:p w:rsidR="00C1620E" w:rsidRDefault="00C1620E">
      <w:pPr>
        <w:spacing w:after="0"/>
        <w:rPr>
          <w:b/>
          <w:szCs w:val="24"/>
          <w:lang w:val="de-DE"/>
        </w:rPr>
      </w:pPr>
    </w:p>
    <w:p w:rsidR="00C1620E" w:rsidRPr="00C1620E" w:rsidRDefault="00C1620E" w:rsidP="00C1620E">
      <w:pPr>
        <w:suppressAutoHyphens/>
        <w:spacing w:after="0"/>
        <w:rPr>
          <w:b/>
          <w:szCs w:val="24"/>
          <w:lang w:val="de-DE"/>
        </w:rPr>
      </w:pPr>
      <w:r w:rsidRPr="00C1620E">
        <w:rPr>
          <w:b/>
          <w:szCs w:val="24"/>
          <w:lang w:val="de-DE"/>
        </w:rPr>
        <w:t>Vorschlag</w:t>
      </w:r>
    </w:p>
    <w:p w:rsidR="00C1620E" w:rsidRPr="00C1620E" w:rsidRDefault="00C1620E" w:rsidP="00C1620E">
      <w:pPr>
        <w:suppressAutoHyphens/>
        <w:spacing w:after="0"/>
        <w:jc w:val="center"/>
        <w:rPr>
          <w:sz w:val="20"/>
          <w:u w:val="single"/>
          <w:lang w:val="de-DE"/>
        </w:rPr>
      </w:pPr>
    </w:p>
    <w:p w:rsidR="00C1620E" w:rsidRDefault="00C1620E" w:rsidP="0088718F">
      <w:pPr>
        <w:tabs>
          <w:tab w:val="left" w:pos="567"/>
          <w:tab w:val="left" w:pos="1985"/>
          <w:tab w:val="left" w:pos="2552"/>
          <w:tab w:val="left" w:pos="3119"/>
          <w:tab w:val="left" w:pos="3686"/>
        </w:tabs>
        <w:spacing w:after="0"/>
        <w:ind w:left="567" w:hanging="567"/>
        <w:rPr>
          <w:sz w:val="20"/>
          <w:lang w:val="de-DE"/>
        </w:rPr>
      </w:pPr>
      <w:r w:rsidRPr="0088718F">
        <w:rPr>
          <w:sz w:val="20"/>
          <w:lang w:val="de-DE"/>
        </w:rPr>
        <w:t>5.</w:t>
      </w:r>
      <w:r w:rsidRPr="0088718F">
        <w:rPr>
          <w:sz w:val="20"/>
          <w:lang w:val="de-DE"/>
        </w:rPr>
        <w:tab/>
      </w:r>
      <w:r w:rsidR="00124C84">
        <w:rPr>
          <w:sz w:val="20"/>
          <w:lang w:val="de-DE"/>
        </w:rPr>
        <w:t xml:space="preserve">7.1.4.1, </w:t>
      </w:r>
      <w:r w:rsidR="0088718F" w:rsidRPr="0088718F">
        <w:rPr>
          <w:sz w:val="20"/>
          <w:lang w:val="de-DE"/>
        </w:rPr>
        <w:t xml:space="preserve">7.1.4.1.1, 7.1.4.1.2 und 7.1.4.1.3 </w:t>
      </w:r>
      <w:r w:rsidR="00124C84">
        <w:rPr>
          <w:sz w:val="20"/>
          <w:lang w:val="de-DE"/>
        </w:rPr>
        <w:t>erhalten folgenden Wortlaut</w:t>
      </w:r>
      <w:r w:rsidR="0088718F" w:rsidRPr="0088718F">
        <w:rPr>
          <w:sz w:val="20"/>
          <w:lang w:val="de-DE"/>
        </w:rPr>
        <w:t>:</w:t>
      </w:r>
    </w:p>
    <w:p w:rsidR="0088718F" w:rsidRPr="0088718F" w:rsidRDefault="0088718F" w:rsidP="0088718F">
      <w:pPr>
        <w:tabs>
          <w:tab w:val="left" w:pos="567"/>
          <w:tab w:val="left" w:pos="1985"/>
          <w:tab w:val="left" w:pos="2552"/>
          <w:tab w:val="left" w:pos="3119"/>
          <w:tab w:val="left" w:pos="3686"/>
        </w:tabs>
        <w:spacing w:after="0"/>
        <w:ind w:left="567" w:hanging="567"/>
        <w:rPr>
          <w:sz w:val="20"/>
          <w:lang w:val="de-DE"/>
        </w:rPr>
      </w:pPr>
    </w:p>
    <w:p w:rsidR="00C1620E" w:rsidRPr="00C1620E" w:rsidRDefault="004D4389" w:rsidP="00C1620E">
      <w:pPr>
        <w:ind w:firstLine="567"/>
        <w:rPr>
          <w:rFonts w:eastAsia="Calibri"/>
          <w:b/>
          <w:bCs/>
          <w:sz w:val="20"/>
          <w:lang w:val="de-DE"/>
        </w:rPr>
      </w:pPr>
      <w:r>
        <w:rPr>
          <w:rFonts w:eastAsia="Calibri"/>
          <w:bCs/>
          <w:sz w:val="20"/>
          <w:lang w:val="de-DE"/>
        </w:rPr>
        <w:t>„</w:t>
      </w:r>
      <w:r w:rsidR="00C1620E" w:rsidRPr="00C1620E">
        <w:rPr>
          <w:rFonts w:eastAsia="Calibri"/>
          <w:bCs/>
          <w:sz w:val="20"/>
          <w:lang w:val="de-DE"/>
        </w:rPr>
        <w:t>7.1.4.1</w:t>
      </w:r>
      <w:r w:rsidR="00C1620E" w:rsidRPr="00C1620E">
        <w:rPr>
          <w:rFonts w:eastAsia="Calibri"/>
          <w:bCs/>
          <w:sz w:val="20"/>
          <w:lang w:val="de-DE"/>
        </w:rPr>
        <w:tab/>
      </w:r>
      <w:r w:rsidR="00C1620E" w:rsidRPr="00C1620E">
        <w:rPr>
          <w:rFonts w:eastAsia="Calibri"/>
          <w:b/>
          <w:bCs/>
          <w:sz w:val="20"/>
          <w:lang w:val="de-DE"/>
        </w:rPr>
        <w:t>Begrenzung der beförderten Mengen</w:t>
      </w:r>
    </w:p>
    <w:p w:rsidR="00C1620E" w:rsidRPr="00C1620E" w:rsidRDefault="00C1620E" w:rsidP="00C1620E">
      <w:pPr>
        <w:spacing w:after="120"/>
        <w:ind w:left="1701"/>
        <w:jc w:val="both"/>
        <w:rPr>
          <w:rFonts w:eastAsia="Calibri"/>
          <w:sz w:val="20"/>
          <w:lang w:val="de-DE"/>
        </w:rPr>
      </w:pPr>
      <w:r w:rsidRPr="00C1620E">
        <w:rPr>
          <w:rFonts w:eastAsia="Calibri"/>
          <w:sz w:val="20"/>
          <w:lang w:val="de-DE"/>
        </w:rPr>
        <w:t>Bestimmte</w:t>
      </w:r>
      <w:r w:rsidRPr="00C1620E">
        <w:rPr>
          <w:sz w:val="20"/>
          <w:vertAlign w:val="superscript"/>
          <w:lang w:val="de-DE"/>
        </w:rPr>
        <w:t>1)</w:t>
      </w:r>
      <w:r w:rsidRPr="00C1620E">
        <w:rPr>
          <w:rFonts w:eastAsia="Calibri"/>
          <w:sz w:val="20"/>
          <w:lang w:val="de-DE"/>
        </w:rPr>
        <w:t xml:space="preserve"> gefährliche Güter der Klassen 1</w:t>
      </w:r>
      <w:r w:rsidRPr="00C1620E">
        <w:rPr>
          <w:sz w:val="20"/>
          <w:vertAlign w:val="superscript"/>
          <w:lang w:val="de-DE"/>
        </w:rPr>
        <w:t>2)</w:t>
      </w:r>
      <w:r w:rsidRPr="00C1620E">
        <w:rPr>
          <w:rFonts w:eastAsia="Calibri"/>
          <w:sz w:val="20"/>
          <w:lang w:val="de-DE"/>
        </w:rPr>
        <w:t>, 2, 3, 4.1, 4.2, 4.3, 5.1, 5.2, 6.1, 7, 8 und 9 dürfen nur in begrenzten Mengen nach den Absätzen 7.1.4.1.1, 7.1.4.1.2 und 7.1.4.1.3 befördert werden.</w:t>
      </w:r>
    </w:p>
    <w:p w:rsidR="00C1620E" w:rsidRPr="00C1620E" w:rsidRDefault="00C1620E" w:rsidP="00C1620E">
      <w:pPr>
        <w:ind w:left="1701"/>
        <w:jc w:val="both"/>
        <w:rPr>
          <w:rFonts w:eastAsia="Calibri"/>
          <w:bCs/>
          <w:sz w:val="20"/>
          <w:lang w:val="de-DE"/>
        </w:rPr>
      </w:pPr>
      <w:r w:rsidRPr="00C1620E">
        <w:rPr>
          <w:rFonts w:eastAsia="Calibri"/>
          <w:bCs/>
          <w:sz w:val="20"/>
          <w:lang w:val="de-DE"/>
        </w:rPr>
        <w:t xml:space="preserve">Mengenbegrenzungen nach den Absätzen </w:t>
      </w:r>
      <w:r w:rsidRPr="00C1620E">
        <w:rPr>
          <w:rFonts w:eastAsia="Calibri"/>
          <w:sz w:val="20"/>
          <w:lang w:val="de-DE"/>
        </w:rPr>
        <w:t>7.1.4.1.1, 7.1.4.1.2 und 7.1.4.1.3 gelten bei Schubverbänden und gekuppelten Schiffen pro Einheit, für jede Einheit sind höchstens 1.100.000 kg zugelassen</w:t>
      </w:r>
      <w:r w:rsidRPr="00C1620E">
        <w:rPr>
          <w:sz w:val="20"/>
          <w:lang w:val="de-DE"/>
        </w:rPr>
        <w:t>.</w:t>
      </w:r>
    </w:p>
    <w:p w:rsidR="00C1620E" w:rsidRPr="00C1620E" w:rsidRDefault="00C1620E" w:rsidP="00C1620E">
      <w:pPr>
        <w:spacing w:after="120"/>
        <w:ind w:left="1701" w:hanging="1134"/>
        <w:jc w:val="both"/>
        <w:rPr>
          <w:rFonts w:eastAsia="Calibri"/>
          <w:sz w:val="20"/>
          <w:lang w:val="de-DE"/>
        </w:rPr>
      </w:pPr>
      <w:r w:rsidRPr="00C1620E">
        <w:rPr>
          <w:rFonts w:eastAsia="Calibri"/>
          <w:bCs/>
          <w:sz w:val="20"/>
          <w:lang w:val="de-DE"/>
        </w:rPr>
        <w:t>7.1.4.1.1</w:t>
      </w:r>
      <w:r w:rsidRPr="00C1620E">
        <w:rPr>
          <w:rFonts w:eastAsia="Calibri"/>
          <w:b/>
          <w:bCs/>
          <w:sz w:val="20"/>
          <w:lang w:val="de-DE"/>
        </w:rPr>
        <w:tab/>
      </w:r>
      <w:r w:rsidRPr="00C1620E">
        <w:rPr>
          <w:rFonts w:eastAsia="Calibri"/>
          <w:sz w:val="20"/>
          <w:lang w:val="de-DE"/>
        </w:rPr>
        <w:t xml:space="preserve">Doppelhüllenschiffe, die den zusätzlichen Bauvorschriften in den Unterabschnitten 9.1.0.88 bis 9.1.0.95 oder 9.2.0.88 bis 9.2.0.95 entsprechen, dürfen gefährliche Güter  der Klasse 1 nur in den Mengen befördern, wie sie in Absatz 7.1.4.1.3 genannt sind. </w:t>
      </w:r>
    </w:p>
    <w:p w:rsidR="00C1620E" w:rsidRPr="00C1620E" w:rsidRDefault="00C1620E" w:rsidP="00C1620E">
      <w:pPr>
        <w:spacing w:after="120"/>
        <w:ind w:left="1701" w:hanging="1134"/>
        <w:rPr>
          <w:rFonts w:eastAsia="Calibri"/>
          <w:sz w:val="20"/>
          <w:lang w:val="de-DE"/>
        </w:rPr>
      </w:pPr>
      <w:r w:rsidRPr="00C1620E">
        <w:rPr>
          <w:rFonts w:eastAsia="Calibri"/>
          <w:sz w:val="20"/>
          <w:lang w:val="de-DE"/>
        </w:rPr>
        <w:tab/>
        <w:t xml:space="preserve">Diese Fahrzeuge dürfen Güter der Klassen 2, 3, 4.1, 4.2, 4.3, 5.1, 5.2, 6.1, 7, 8 und 9 ohne Begrenzung der beförderten Menge transportieren. </w:t>
      </w:r>
    </w:p>
    <w:p w:rsidR="00C1620E" w:rsidRPr="00C1620E" w:rsidRDefault="00C1620E" w:rsidP="00C1620E">
      <w:pPr>
        <w:ind w:left="1701"/>
        <w:jc w:val="both"/>
        <w:rPr>
          <w:rFonts w:eastAsia="Calibri"/>
          <w:sz w:val="20"/>
          <w:lang w:val="de-DE"/>
        </w:rPr>
      </w:pPr>
      <w:r w:rsidRPr="00C1620E">
        <w:rPr>
          <w:rFonts w:eastAsia="Calibri"/>
          <w:sz w:val="20"/>
          <w:lang w:val="de-DE"/>
        </w:rPr>
        <w:t>Abweichend hiervon dürfen gefährliche Güter mit Gefahrzettel 1 in Kapitel 3.2 Tabelle A Spalte (5) pro Einheit nur in den Mengen befördert werden, wie sie in Absatz 7.1.4.1.3 genannt sind</w:t>
      </w:r>
      <w:r w:rsidRPr="00C1620E">
        <w:rPr>
          <w:sz w:val="20"/>
          <w:vertAlign w:val="superscript"/>
          <w:lang w:val="de-DE"/>
        </w:rPr>
        <w:t xml:space="preserve"> 3)</w:t>
      </w:r>
      <w:r w:rsidRPr="00C1620E">
        <w:rPr>
          <w:sz w:val="20"/>
          <w:lang w:val="de-DE"/>
        </w:rPr>
        <w:t>.</w:t>
      </w:r>
    </w:p>
    <w:p w:rsidR="00C1620E" w:rsidRPr="00C1620E" w:rsidRDefault="00C1620E" w:rsidP="00C1620E">
      <w:pPr>
        <w:spacing w:after="120"/>
        <w:ind w:left="1701" w:hanging="1134"/>
        <w:jc w:val="both"/>
        <w:rPr>
          <w:rFonts w:eastAsia="Calibri"/>
          <w:sz w:val="20"/>
          <w:lang w:val="de-DE"/>
        </w:rPr>
      </w:pPr>
      <w:r w:rsidRPr="00C1620E">
        <w:rPr>
          <w:rFonts w:eastAsia="Calibri"/>
          <w:bCs/>
          <w:sz w:val="20"/>
          <w:lang w:val="de-DE"/>
        </w:rPr>
        <w:t>7.1.4.1.2</w:t>
      </w:r>
      <w:r w:rsidRPr="00C1620E">
        <w:rPr>
          <w:rFonts w:eastAsia="Calibri"/>
          <w:b/>
          <w:bCs/>
          <w:sz w:val="20"/>
          <w:lang w:val="de-DE"/>
        </w:rPr>
        <w:tab/>
      </w:r>
      <w:proofErr w:type="spellStart"/>
      <w:r w:rsidRPr="00C1620E">
        <w:rPr>
          <w:rFonts w:eastAsia="Calibri"/>
          <w:bCs/>
          <w:sz w:val="20"/>
          <w:lang w:val="de-DE"/>
        </w:rPr>
        <w:t>Einhüllenschiffe</w:t>
      </w:r>
      <w:proofErr w:type="spellEnd"/>
      <w:r w:rsidRPr="00C1620E">
        <w:rPr>
          <w:rFonts w:eastAsia="Calibri"/>
          <w:sz w:val="20"/>
          <w:lang w:val="de-DE"/>
        </w:rPr>
        <w:t>, Schubleichter und Doppelhüllenschiffe, die den zusätzlichen Bauvorschriften in den Unterabschnitten 9.1.0.88 bis 9.1.0.95 oder 9.2.0.88 bis 9.2.0.95 nicht entsprechen, dürfen gefährliche Güter der Klassen 1, 2, 3, 4.1, 4.2, 4.3, 5.1, 5.2, 6.1, 7, 8 und 9 nur in begrenzten Mengen gem. Absatz 7.1.4.1.3 befördern.</w:t>
      </w:r>
    </w:p>
    <w:p w:rsidR="00C1620E" w:rsidRPr="00C1620E" w:rsidRDefault="00C1620E" w:rsidP="00124C84">
      <w:pPr>
        <w:ind w:left="2268" w:hanging="567"/>
        <w:jc w:val="both"/>
        <w:rPr>
          <w:sz w:val="20"/>
          <w:vertAlign w:val="superscript"/>
          <w:lang w:val="de-DE"/>
        </w:rPr>
      </w:pPr>
      <w:r w:rsidRPr="00124C84">
        <w:rPr>
          <w:rFonts w:eastAsia="Calibri"/>
          <w:b/>
          <w:sz w:val="20"/>
          <w:lang w:val="de-DE"/>
        </w:rPr>
        <w:t>Bem.:</w:t>
      </w:r>
      <w:r w:rsidRPr="00C1620E">
        <w:rPr>
          <w:rFonts w:eastAsia="Calibri"/>
          <w:sz w:val="20"/>
          <w:lang w:val="de-DE"/>
        </w:rPr>
        <w:t xml:space="preserve"> In den Fällen, in denen in Unterabsatz 7.1.4.1.3 die Mengenangabe „unbeschränkt“ ausgewiesen ist, dürfen diese Ladegüter in unbeschränkten Mengen transportiert werden</w:t>
      </w:r>
      <w:r w:rsidRPr="00C1620E">
        <w:rPr>
          <w:sz w:val="20"/>
          <w:vertAlign w:val="superscript"/>
          <w:lang w:val="de-DE"/>
        </w:rPr>
        <w:t xml:space="preserve"> 4)</w:t>
      </w:r>
      <w:r w:rsidRPr="00C1620E">
        <w:rPr>
          <w:sz w:val="20"/>
          <w:lang w:val="de-DE"/>
        </w:rPr>
        <w:t>.</w:t>
      </w:r>
      <w:r w:rsidR="004D4389">
        <w:rPr>
          <w:sz w:val="20"/>
          <w:lang w:val="de-DE"/>
        </w:rPr>
        <w:t>“.</w:t>
      </w:r>
    </w:p>
    <w:p w:rsidR="00124C84" w:rsidRDefault="00C1620E" w:rsidP="00124C84">
      <w:pPr>
        <w:ind w:left="1701" w:hanging="1134"/>
        <w:rPr>
          <w:rFonts w:eastAsia="Calibri"/>
          <w:sz w:val="20"/>
          <w:lang w:val="de-DE"/>
        </w:rPr>
      </w:pPr>
      <w:r w:rsidRPr="00C1620E">
        <w:rPr>
          <w:sz w:val="20"/>
          <w:lang w:val="de-DE"/>
        </w:rPr>
        <w:t>7.1.4.1.3</w:t>
      </w:r>
      <w:r w:rsidRPr="00C1620E">
        <w:rPr>
          <w:sz w:val="20"/>
          <w:lang w:val="de-DE"/>
        </w:rPr>
        <w:tab/>
        <w:t xml:space="preserve">Tabelle </w:t>
      </w:r>
      <w:r w:rsidR="00124C84">
        <w:rPr>
          <w:rFonts w:eastAsia="Calibri"/>
          <w:sz w:val="20"/>
          <w:lang w:val="de-DE"/>
        </w:rPr>
        <w:t>(Siehe Seite 4 und 5 dieses Dokumentes)</w:t>
      </w:r>
    </w:p>
    <w:p w:rsidR="00C1620E" w:rsidRPr="00C1620E" w:rsidRDefault="00124C84" w:rsidP="00124C84">
      <w:pPr>
        <w:ind w:left="567"/>
        <w:rPr>
          <w:sz w:val="20"/>
          <w:lang w:val="de-DE"/>
        </w:rPr>
      </w:pPr>
      <w:r>
        <w:rPr>
          <w:rFonts w:eastAsia="Calibri"/>
          <w:sz w:val="20"/>
          <w:lang w:val="de-DE"/>
        </w:rPr>
        <w:t>Die</w:t>
      </w:r>
      <w:r w:rsidR="00C1620E" w:rsidRPr="00C1620E">
        <w:rPr>
          <w:rFonts w:eastAsia="Calibri"/>
          <w:sz w:val="20"/>
          <w:lang w:val="de-DE"/>
        </w:rPr>
        <w:t xml:space="preserve"> Absätze </w:t>
      </w:r>
      <w:r w:rsidRPr="00124C84">
        <w:rPr>
          <w:sz w:val="20"/>
          <w:lang w:val="de-DE"/>
        </w:rPr>
        <w:t xml:space="preserve">7.1.4.1.4 bis 7.1.4.1.6 </w:t>
      </w:r>
      <w:r w:rsidR="00C1620E" w:rsidRPr="00C1620E">
        <w:rPr>
          <w:rFonts w:eastAsia="Calibri"/>
          <w:sz w:val="20"/>
          <w:lang w:val="de-DE"/>
        </w:rPr>
        <w:t>bleiben unverändert</w:t>
      </w:r>
      <w:r>
        <w:rPr>
          <w:rFonts w:eastAsia="Calibri"/>
          <w:sz w:val="20"/>
          <w:lang w:val="de-DE"/>
        </w:rPr>
        <w:t>.</w:t>
      </w:r>
    </w:p>
    <w:p w:rsidR="00124C84" w:rsidRDefault="00124C84">
      <w:pPr>
        <w:spacing w:after="0"/>
        <w:rPr>
          <w:b/>
          <w:szCs w:val="24"/>
          <w:lang w:val="de-DE"/>
        </w:rPr>
      </w:pPr>
      <w:r>
        <w:rPr>
          <w:b/>
          <w:szCs w:val="24"/>
          <w:lang w:val="de-DE"/>
        </w:rPr>
        <w:br w:type="page"/>
      </w:r>
    </w:p>
    <w:p w:rsidR="00C1620E" w:rsidRPr="00C1620E" w:rsidRDefault="00C1620E" w:rsidP="00C1620E">
      <w:pPr>
        <w:suppressAutoHyphens/>
        <w:spacing w:after="0"/>
        <w:rPr>
          <w:b/>
          <w:szCs w:val="24"/>
          <w:lang w:val="de-DE"/>
        </w:rPr>
      </w:pPr>
      <w:r w:rsidRPr="00C1620E">
        <w:rPr>
          <w:b/>
          <w:szCs w:val="24"/>
          <w:lang w:val="de-DE"/>
        </w:rPr>
        <w:lastRenderedPageBreak/>
        <w:t>Erläuterungen</w:t>
      </w:r>
    </w:p>
    <w:p w:rsidR="00C1620E" w:rsidRPr="00C1620E" w:rsidRDefault="00C1620E" w:rsidP="00C1620E">
      <w:pPr>
        <w:tabs>
          <w:tab w:val="left" w:pos="567"/>
          <w:tab w:val="left" w:pos="1985"/>
          <w:tab w:val="left" w:pos="2552"/>
          <w:tab w:val="left" w:pos="3119"/>
          <w:tab w:val="left" w:pos="3686"/>
        </w:tabs>
        <w:spacing w:after="0"/>
        <w:ind w:left="567" w:hanging="567"/>
        <w:rPr>
          <w:sz w:val="20"/>
          <w:lang w:val="de-DE"/>
        </w:rPr>
      </w:pPr>
    </w:p>
    <w:p w:rsidR="00C1620E" w:rsidRPr="00C1620E" w:rsidRDefault="00C1620E" w:rsidP="00C1620E">
      <w:pPr>
        <w:tabs>
          <w:tab w:val="left" w:pos="567"/>
          <w:tab w:val="left" w:pos="1985"/>
          <w:tab w:val="left" w:pos="2552"/>
          <w:tab w:val="left" w:pos="3119"/>
          <w:tab w:val="left" w:pos="3686"/>
        </w:tabs>
        <w:spacing w:after="0"/>
        <w:ind w:left="567" w:hanging="567"/>
        <w:jc w:val="both"/>
        <w:rPr>
          <w:sz w:val="20"/>
          <w:lang w:val="de-DE"/>
        </w:rPr>
      </w:pPr>
      <w:r w:rsidRPr="00C1620E">
        <w:rPr>
          <w:sz w:val="20"/>
          <w:lang w:val="de-DE"/>
        </w:rPr>
        <w:tab/>
      </w:r>
      <w:r w:rsidRPr="00C1620E">
        <w:rPr>
          <w:sz w:val="20"/>
          <w:vertAlign w:val="superscript"/>
          <w:lang w:val="de-DE"/>
        </w:rPr>
        <w:t>1)</w:t>
      </w:r>
      <w:r w:rsidRPr="00C1620E">
        <w:rPr>
          <w:sz w:val="20"/>
          <w:lang w:val="de-DE"/>
        </w:rPr>
        <w:t xml:space="preserve"> Durch die Hinzufügung des Wortes „Bestimmte“ wird von vornherein angedeutet, dass pro Klasse unterschiedli</w:t>
      </w:r>
      <w:r w:rsidR="009F4612">
        <w:rPr>
          <w:sz w:val="20"/>
          <w:lang w:val="de-DE"/>
        </w:rPr>
        <w:t>che Vorschriften gelten können.</w:t>
      </w:r>
    </w:p>
    <w:p w:rsidR="00C1620E" w:rsidRPr="00C1620E" w:rsidRDefault="00C1620E" w:rsidP="00C1620E">
      <w:pPr>
        <w:tabs>
          <w:tab w:val="left" w:pos="567"/>
          <w:tab w:val="left" w:pos="1985"/>
          <w:tab w:val="left" w:pos="2552"/>
          <w:tab w:val="left" w:pos="3119"/>
          <w:tab w:val="left" w:pos="3686"/>
        </w:tabs>
        <w:spacing w:before="60" w:after="0"/>
        <w:ind w:left="567" w:hanging="567"/>
        <w:jc w:val="both"/>
        <w:rPr>
          <w:sz w:val="20"/>
          <w:lang w:val="de-DE"/>
        </w:rPr>
      </w:pPr>
      <w:r w:rsidRPr="00C1620E">
        <w:rPr>
          <w:sz w:val="20"/>
          <w:lang w:val="de-DE"/>
        </w:rPr>
        <w:tab/>
      </w:r>
      <w:r w:rsidRPr="00C1620E">
        <w:rPr>
          <w:sz w:val="20"/>
          <w:vertAlign w:val="superscript"/>
          <w:lang w:val="de-DE"/>
        </w:rPr>
        <w:t>2)</w:t>
      </w:r>
      <w:r w:rsidRPr="00C1620E">
        <w:rPr>
          <w:sz w:val="20"/>
          <w:lang w:val="de-DE"/>
        </w:rPr>
        <w:t xml:space="preserve"> Die Mengengrenzen in der neu vorgeschlagenen Tabelle 7.1.4.1.3 gelten auch für Güter der Klasse 1. Folglich muss die Klasse 1 im Eingangstext des neuen Abs</w:t>
      </w:r>
      <w:r w:rsidR="009F4612">
        <w:rPr>
          <w:sz w:val="20"/>
          <w:lang w:val="de-DE"/>
        </w:rPr>
        <w:t>chnitts 7.1.4.1 erwähnt werden.</w:t>
      </w:r>
    </w:p>
    <w:p w:rsidR="00C1620E" w:rsidRPr="00C1620E" w:rsidRDefault="00C1620E" w:rsidP="00C1620E">
      <w:pPr>
        <w:tabs>
          <w:tab w:val="left" w:pos="567"/>
          <w:tab w:val="left" w:pos="1985"/>
          <w:tab w:val="left" w:pos="2552"/>
          <w:tab w:val="left" w:pos="3119"/>
          <w:tab w:val="left" w:pos="3686"/>
        </w:tabs>
        <w:spacing w:before="60" w:after="0"/>
        <w:ind w:left="567" w:hanging="567"/>
        <w:jc w:val="both"/>
        <w:rPr>
          <w:rFonts w:eastAsia="Calibri"/>
          <w:sz w:val="20"/>
          <w:lang w:val="de-DE"/>
        </w:rPr>
      </w:pPr>
      <w:r w:rsidRPr="00C1620E">
        <w:rPr>
          <w:sz w:val="20"/>
          <w:lang w:val="de-DE"/>
        </w:rPr>
        <w:tab/>
      </w:r>
      <w:r w:rsidRPr="00C1620E">
        <w:rPr>
          <w:sz w:val="20"/>
          <w:vertAlign w:val="superscript"/>
          <w:lang w:val="de-DE"/>
        </w:rPr>
        <w:t>3)</w:t>
      </w:r>
      <w:r w:rsidRPr="00C1620E">
        <w:rPr>
          <w:sz w:val="20"/>
          <w:lang w:val="de-DE"/>
        </w:rPr>
        <w:t xml:space="preserve"> Im Text der 2017er Fassung des ADN werden unter 7.1.4.1.3 die Güter der Klasse 1 nicht erwähnt. Folglich ist es nicht erlaubt, dass Doppelhüllenschiffe, </w:t>
      </w:r>
      <w:r w:rsidRPr="00C1620E">
        <w:rPr>
          <w:rFonts w:eastAsia="Calibri"/>
          <w:sz w:val="20"/>
          <w:lang w:val="de-DE"/>
        </w:rPr>
        <w:t>die den zusätzlichen Bauvorschriften in den Unterabschnitten 9.1.0.88 bis 9.1.0.95 oder 9.2.0.88 bis 9.2.0.95 entsprechen, Güter der Klasse 1 ohne Begrenzung der Mengen transportieren. Diese Fahrzeuge haben die Mengengrenzen zu beachten, wie sie bisher in 7.1.4.1.1 bzw. nach diesem Vorschlag in 7.1.4.1.3 enthalten sind.</w:t>
      </w:r>
    </w:p>
    <w:p w:rsidR="00C1620E" w:rsidRPr="00C1620E" w:rsidRDefault="00C1620E" w:rsidP="00C1620E">
      <w:pPr>
        <w:tabs>
          <w:tab w:val="left" w:pos="567"/>
          <w:tab w:val="left" w:pos="1985"/>
          <w:tab w:val="left" w:pos="2552"/>
          <w:tab w:val="left" w:pos="3119"/>
          <w:tab w:val="left" w:pos="3686"/>
        </w:tabs>
        <w:spacing w:before="60" w:after="0"/>
        <w:ind w:left="567" w:hanging="567"/>
        <w:jc w:val="both"/>
        <w:rPr>
          <w:sz w:val="20"/>
          <w:lang w:val="de-DE"/>
        </w:rPr>
      </w:pPr>
      <w:r w:rsidRPr="00C1620E">
        <w:rPr>
          <w:sz w:val="20"/>
          <w:lang w:val="de-DE"/>
        </w:rPr>
        <w:tab/>
      </w:r>
      <w:r w:rsidRPr="00C1620E">
        <w:rPr>
          <w:sz w:val="20"/>
          <w:vertAlign w:val="superscript"/>
          <w:lang w:val="de-DE"/>
        </w:rPr>
        <w:t>4)</w:t>
      </w:r>
      <w:r w:rsidRPr="00C1620E">
        <w:rPr>
          <w:sz w:val="20"/>
          <w:lang w:val="de-DE"/>
        </w:rPr>
        <w:t xml:space="preserve"> Die Verwendung des Begriffs „unbeschränkt“ bedeutet in diesem Zusammenhang, dass in diesen Fällen auch Mengen oberhalb von 1.100.000 kg erlaubt sind.</w:t>
      </w:r>
    </w:p>
    <w:p w:rsidR="00C1620E" w:rsidRDefault="00C1620E" w:rsidP="00C1620E">
      <w:pPr>
        <w:tabs>
          <w:tab w:val="left" w:pos="567"/>
          <w:tab w:val="left" w:pos="1985"/>
          <w:tab w:val="left" w:pos="2552"/>
          <w:tab w:val="left" w:pos="3119"/>
          <w:tab w:val="left" w:pos="3686"/>
        </w:tabs>
        <w:spacing w:after="0"/>
        <w:ind w:left="567" w:hanging="567"/>
        <w:jc w:val="both"/>
        <w:rPr>
          <w:sz w:val="20"/>
          <w:lang w:val="de-DE"/>
        </w:rPr>
      </w:pPr>
    </w:p>
    <w:p w:rsidR="009F4612" w:rsidRPr="00C1620E" w:rsidRDefault="009F4612" w:rsidP="00C1620E">
      <w:pPr>
        <w:tabs>
          <w:tab w:val="left" w:pos="567"/>
          <w:tab w:val="left" w:pos="1985"/>
          <w:tab w:val="left" w:pos="2552"/>
          <w:tab w:val="left" w:pos="3119"/>
          <w:tab w:val="left" w:pos="3686"/>
        </w:tabs>
        <w:spacing w:after="0"/>
        <w:ind w:left="567" w:hanging="567"/>
        <w:jc w:val="both"/>
        <w:rPr>
          <w:sz w:val="20"/>
          <w:lang w:val="de-DE"/>
        </w:rPr>
      </w:pPr>
    </w:p>
    <w:p w:rsidR="00C1620E" w:rsidRPr="00C1620E" w:rsidRDefault="00C1620E" w:rsidP="00C1620E">
      <w:pPr>
        <w:suppressAutoHyphens/>
        <w:spacing w:after="0"/>
        <w:rPr>
          <w:b/>
          <w:szCs w:val="24"/>
          <w:lang w:val="de-DE"/>
        </w:rPr>
      </w:pPr>
      <w:r w:rsidRPr="00C1620E">
        <w:rPr>
          <w:b/>
          <w:szCs w:val="24"/>
          <w:lang w:val="de-DE"/>
        </w:rPr>
        <w:t>Hinweis für das Sekretariat</w:t>
      </w:r>
    </w:p>
    <w:p w:rsidR="00C1620E" w:rsidRPr="00C1620E" w:rsidRDefault="00C1620E" w:rsidP="00C1620E">
      <w:pPr>
        <w:suppressAutoHyphens/>
        <w:spacing w:after="0"/>
        <w:rPr>
          <w:b/>
          <w:szCs w:val="24"/>
          <w:lang w:val="de-DE"/>
        </w:rPr>
      </w:pPr>
    </w:p>
    <w:p w:rsidR="00C1620E" w:rsidRPr="00C1620E" w:rsidRDefault="0088718F" w:rsidP="009F4612">
      <w:pPr>
        <w:tabs>
          <w:tab w:val="left" w:pos="567"/>
          <w:tab w:val="left" w:pos="1985"/>
          <w:tab w:val="left" w:pos="2552"/>
          <w:tab w:val="left" w:pos="3119"/>
          <w:tab w:val="left" w:pos="3686"/>
        </w:tabs>
        <w:spacing w:after="0"/>
        <w:ind w:left="567" w:hanging="567"/>
        <w:jc w:val="both"/>
        <w:rPr>
          <w:sz w:val="20"/>
          <w:lang w:val="de-DE"/>
        </w:rPr>
      </w:pPr>
      <w:r>
        <w:rPr>
          <w:sz w:val="20"/>
          <w:lang w:val="de-DE"/>
        </w:rPr>
        <w:t>6</w:t>
      </w:r>
      <w:r w:rsidR="00C1620E" w:rsidRPr="00C1620E">
        <w:rPr>
          <w:sz w:val="20"/>
          <w:lang w:val="de-DE"/>
        </w:rPr>
        <w:t>.</w:t>
      </w:r>
      <w:r w:rsidR="00C1620E" w:rsidRPr="00C1620E">
        <w:rPr>
          <w:sz w:val="20"/>
          <w:lang w:val="de-DE"/>
        </w:rPr>
        <w:tab/>
        <w:t xml:space="preserve">Die Fußnoten </w:t>
      </w:r>
      <w:r w:rsidR="00C1620E" w:rsidRPr="00C1620E">
        <w:rPr>
          <w:sz w:val="20"/>
          <w:vertAlign w:val="superscript"/>
          <w:lang w:val="de-DE"/>
        </w:rPr>
        <w:t xml:space="preserve">1) </w:t>
      </w:r>
      <w:r w:rsidR="00C1620E" w:rsidRPr="00C1620E">
        <w:rPr>
          <w:sz w:val="20"/>
          <w:lang w:val="de-DE"/>
        </w:rPr>
        <w:t xml:space="preserve">bis </w:t>
      </w:r>
      <w:r w:rsidR="00C1620E" w:rsidRPr="00C1620E">
        <w:rPr>
          <w:sz w:val="20"/>
          <w:vertAlign w:val="superscript"/>
          <w:lang w:val="de-DE"/>
        </w:rPr>
        <w:t>4)</w:t>
      </w:r>
      <w:r w:rsidR="00C1620E" w:rsidRPr="00C1620E">
        <w:rPr>
          <w:sz w:val="20"/>
          <w:lang w:val="de-DE"/>
        </w:rPr>
        <w:t xml:space="preserve"> enthalten Hinweise zum Verständnis des neuen Textes. Sie sind </w:t>
      </w:r>
      <w:r w:rsidR="00C1620E" w:rsidRPr="00C1620E">
        <w:rPr>
          <w:sz w:val="20"/>
          <w:u w:val="single"/>
          <w:lang w:val="de-DE"/>
        </w:rPr>
        <w:t>nicht</w:t>
      </w:r>
      <w:r w:rsidR="00C1620E" w:rsidRPr="00C1620E">
        <w:rPr>
          <w:sz w:val="20"/>
          <w:lang w:val="de-DE"/>
        </w:rPr>
        <w:t xml:space="preserve"> dazu bestimmt, im ADN abgedruckt zu werden.</w:t>
      </w:r>
    </w:p>
    <w:p w:rsidR="00C1620E" w:rsidRPr="00C1620E" w:rsidRDefault="00C1620E" w:rsidP="00C1620E">
      <w:pPr>
        <w:tabs>
          <w:tab w:val="left" w:pos="567"/>
          <w:tab w:val="left" w:pos="1985"/>
          <w:tab w:val="left" w:pos="2552"/>
          <w:tab w:val="left" w:pos="3119"/>
          <w:tab w:val="left" w:pos="3686"/>
        </w:tabs>
        <w:spacing w:after="0"/>
        <w:ind w:left="567" w:hanging="567"/>
        <w:rPr>
          <w:sz w:val="20"/>
          <w:lang w:val="de-DE"/>
        </w:rPr>
      </w:pPr>
    </w:p>
    <w:p w:rsidR="00C1620E" w:rsidRPr="00C1620E" w:rsidRDefault="00C1620E" w:rsidP="00C1620E">
      <w:pPr>
        <w:spacing w:after="0"/>
        <w:rPr>
          <w:sz w:val="20"/>
          <w:lang w:val="de-DE"/>
        </w:rPr>
        <w:sectPr w:rsidR="00C1620E" w:rsidRPr="00C1620E" w:rsidSect="00C1620E">
          <w:headerReference w:type="even" r:id="rId9"/>
          <w:headerReference w:type="default" r:id="rId10"/>
          <w:footerReference w:type="default" r:id="rId11"/>
          <w:footerReference w:type="first" r:id="rId12"/>
          <w:endnotePr>
            <w:numFmt w:val="decimal"/>
          </w:endnotePr>
          <w:pgSz w:w="11907" w:h="16840" w:code="9"/>
          <w:pgMar w:top="1418" w:right="1418" w:bottom="1418" w:left="1418" w:header="680" w:footer="680" w:gutter="0"/>
          <w:cols w:space="720"/>
          <w:titlePg/>
          <w:docGrid w:linePitch="326"/>
        </w:sectPr>
      </w:pPr>
    </w:p>
    <w:p w:rsidR="00C1620E" w:rsidRPr="00C1620E" w:rsidRDefault="00C1620E" w:rsidP="00C1620E">
      <w:pPr>
        <w:rPr>
          <w:rFonts w:eastAsia="Calibri"/>
          <w:sz w:val="20"/>
          <w:lang w:val="de-DE"/>
        </w:rPr>
      </w:pPr>
      <w:r w:rsidRPr="00C1620E">
        <w:rPr>
          <w:sz w:val="20"/>
          <w:lang w:val="de-DE"/>
        </w:rPr>
        <w:lastRenderedPageBreak/>
        <w:t>7.1.4.1.3</w:t>
      </w:r>
      <w:r w:rsidRPr="00C1620E">
        <w:rPr>
          <w:sz w:val="20"/>
          <w:lang w:val="de-DE"/>
        </w:rPr>
        <w:tab/>
        <w:t>Mengengrenzen</w:t>
      </w:r>
    </w:p>
    <w:tbl>
      <w:tblPr>
        <w:tblStyle w:val="TableGrid"/>
        <w:tblW w:w="0" w:type="auto"/>
        <w:tblInd w:w="-431" w:type="dxa"/>
        <w:tblLayout w:type="fixed"/>
        <w:tblLook w:val="04A0" w:firstRow="1" w:lastRow="0" w:firstColumn="1" w:lastColumn="0" w:noHBand="0" w:noVBand="1"/>
      </w:tblPr>
      <w:tblGrid>
        <w:gridCol w:w="852"/>
        <w:gridCol w:w="8788"/>
        <w:gridCol w:w="425"/>
        <w:gridCol w:w="426"/>
        <w:gridCol w:w="425"/>
        <w:gridCol w:w="425"/>
        <w:gridCol w:w="493"/>
        <w:gridCol w:w="459"/>
        <w:gridCol w:w="459"/>
        <w:gridCol w:w="459"/>
      </w:tblGrid>
      <w:tr w:rsidR="00C1620E" w:rsidRPr="00C1620E" w:rsidTr="004746AD">
        <w:tc>
          <w:tcPr>
            <w:tcW w:w="852" w:type="dxa"/>
          </w:tcPr>
          <w:p w:rsidR="00C1620E" w:rsidRPr="00C1620E" w:rsidRDefault="00C1620E" w:rsidP="00C1620E">
            <w:pPr>
              <w:ind w:left="-40"/>
              <w:jc w:val="center"/>
              <w:rPr>
                <w:b/>
                <w:sz w:val="18"/>
                <w:szCs w:val="18"/>
                <w:lang w:val="de-DE"/>
              </w:rPr>
            </w:pPr>
            <w:r w:rsidRPr="00C1620E">
              <w:rPr>
                <w:b/>
                <w:sz w:val="18"/>
                <w:szCs w:val="18"/>
                <w:lang w:val="de-DE"/>
              </w:rPr>
              <w:t>Klasse</w:t>
            </w:r>
          </w:p>
        </w:tc>
        <w:tc>
          <w:tcPr>
            <w:tcW w:w="8788" w:type="dxa"/>
          </w:tcPr>
          <w:p w:rsidR="00C1620E" w:rsidRPr="00C1620E" w:rsidRDefault="00C1620E" w:rsidP="00C1620E">
            <w:pPr>
              <w:rPr>
                <w:b/>
                <w:sz w:val="18"/>
                <w:szCs w:val="18"/>
                <w:lang w:val="de-DE"/>
              </w:rPr>
            </w:pPr>
            <w:r w:rsidRPr="00C1620E">
              <w:rPr>
                <w:b/>
                <w:sz w:val="18"/>
                <w:szCs w:val="18"/>
                <w:lang w:val="de-DE"/>
              </w:rPr>
              <w:t>Umschreibung</w:t>
            </w:r>
          </w:p>
        </w:tc>
        <w:tc>
          <w:tcPr>
            <w:tcW w:w="3571" w:type="dxa"/>
            <w:gridSpan w:val="8"/>
          </w:tcPr>
          <w:p w:rsidR="00C1620E" w:rsidRPr="00C1620E" w:rsidRDefault="00C1620E" w:rsidP="00C1620E">
            <w:pPr>
              <w:jc w:val="center"/>
              <w:rPr>
                <w:b/>
                <w:sz w:val="18"/>
                <w:szCs w:val="18"/>
                <w:lang w:val="de-DE"/>
              </w:rPr>
            </w:pPr>
            <w:r w:rsidRPr="00C1620E">
              <w:rPr>
                <w:b/>
                <w:sz w:val="18"/>
                <w:szCs w:val="18"/>
                <w:lang w:val="de-DE"/>
              </w:rPr>
              <w:t>Bruttomasse auf einem Schiff</w:t>
            </w:r>
          </w:p>
        </w:tc>
      </w:tr>
      <w:tr w:rsidR="00C1620E" w:rsidRPr="00C1620E" w:rsidTr="004746AD">
        <w:trPr>
          <w:cantSplit/>
          <w:trHeight w:val="1448"/>
        </w:trPr>
        <w:tc>
          <w:tcPr>
            <w:tcW w:w="852" w:type="dxa"/>
          </w:tcPr>
          <w:p w:rsidR="00C1620E" w:rsidRPr="00C1620E" w:rsidRDefault="00C1620E" w:rsidP="00C1620E">
            <w:pPr>
              <w:ind w:left="-111"/>
              <w:rPr>
                <w:sz w:val="18"/>
                <w:szCs w:val="18"/>
                <w:lang w:val="de-DE"/>
              </w:rPr>
            </w:pPr>
          </w:p>
        </w:tc>
        <w:tc>
          <w:tcPr>
            <w:tcW w:w="8788" w:type="dxa"/>
          </w:tcPr>
          <w:p w:rsidR="00C1620E" w:rsidRPr="00C1620E" w:rsidRDefault="00C1620E" w:rsidP="00C1620E">
            <w:pPr>
              <w:rPr>
                <w:sz w:val="18"/>
                <w:szCs w:val="18"/>
                <w:lang w:val="de-DE"/>
              </w:rPr>
            </w:pPr>
          </w:p>
        </w:tc>
        <w:tc>
          <w:tcPr>
            <w:tcW w:w="425" w:type="dxa"/>
            <w:textDirection w:val="tbRl"/>
          </w:tcPr>
          <w:p w:rsidR="00C1620E" w:rsidRPr="00C1620E" w:rsidRDefault="00C1620E" w:rsidP="00C1620E">
            <w:pPr>
              <w:ind w:left="113" w:right="113"/>
              <w:jc w:val="center"/>
              <w:rPr>
                <w:sz w:val="18"/>
                <w:szCs w:val="18"/>
                <w:lang w:val="de-DE"/>
              </w:rPr>
            </w:pPr>
            <w:r w:rsidRPr="00C1620E">
              <w:rPr>
                <w:sz w:val="18"/>
                <w:szCs w:val="18"/>
                <w:lang w:val="de-DE"/>
              </w:rPr>
              <w:t>0 kg</w:t>
            </w:r>
          </w:p>
        </w:tc>
        <w:tc>
          <w:tcPr>
            <w:tcW w:w="426" w:type="dxa"/>
            <w:textDirection w:val="tbRl"/>
          </w:tcPr>
          <w:p w:rsidR="00C1620E" w:rsidRPr="00C1620E" w:rsidRDefault="00C1620E" w:rsidP="00C1620E">
            <w:pPr>
              <w:ind w:left="113" w:right="113"/>
              <w:jc w:val="center"/>
              <w:rPr>
                <w:sz w:val="18"/>
                <w:szCs w:val="18"/>
                <w:lang w:val="de-DE"/>
              </w:rPr>
            </w:pPr>
            <w:r w:rsidRPr="00C1620E">
              <w:rPr>
                <w:sz w:val="18"/>
                <w:szCs w:val="18"/>
                <w:lang w:val="de-DE"/>
              </w:rPr>
              <w:t>90 kg</w:t>
            </w:r>
          </w:p>
        </w:tc>
        <w:tc>
          <w:tcPr>
            <w:tcW w:w="425" w:type="dxa"/>
            <w:textDirection w:val="tbRl"/>
          </w:tcPr>
          <w:p w:rsidR="00C1620E" w:rsidRPr="00C1620E" w:rsidRDefault="00C1620E" w:rsidP="00C1620E">
            <w:pPr>
              <w:ind w:left="113" w:right="113"/>
              <w:jc w:val="center"/>
              <w:rPr>
                <w:sz w:val="18"/>
                <w:szCs w:val="18"/>
                <w:lang w:val="de-DE"/>
              </w:rPr>
            </w:pPr>
            <w:r w:rsidRPr="00C1620E">
              <w:rPr>
                <w:sz w:val="18"/>
                <w:szCs w:val="18"/>
                <w:lang w:val="de-DE"/>
              </w:rPr>
              <w:t>15 000 kg</w:t>
            </w:r>
          </w:p>
        </w:tc>
        <w:tc>
          <w:tcPr>
            <w:tcW w:w="425" w:type="dxa"/>
            <w:textDirection w:val="tbRl"/>
          </w:tcPr>
          <w:p w:rsidR="00C1620E" w:rsidRPr="00C1620E" w:rsidRDefault="00C1620E" w:rsidP="00C1620E">
            <w:pPr>
              <w:ind w:left="113" w:right="113"/>
              <w:jc w:val="center"/>
              <w:rPr>
                <w:sz w:val="18"/>
                <w:szCs w:val="18"/>
                <w:lang w:val="de-DE"/>
              </w:rPr>
            </w:pPr>
            <w:r w:rsidRPr="00C1620E">
              <w:rPr>
                <w:sz w:val="18"/>
                <w:szCs w:val="18"/>
                <w:lang w:val="de-DE"/>
              </w:rPr>
              <w:t>50 000 kg</w:t>
            </w:r>
          </w:p>
        </w:tc>
        <w:tc>
          <w:tcPr>
            <w:tcW w:w="493" w:type="dxa"/>
            <w:textDirection w:val="tbRl"/>
          </w:tcPr>
          <w:p w:rsidR="00C1620E" w:rsidRPr="00C1620E" w:rsidRDefault="00C1620E" w:rsidP="00C1620E">
            <w:pPr>
              <w:ind w:left="113" w:right="113"/>
              <w:jc w:val="center"/>
              <w:rPr>
                <w:sz w:val="18"/>
                <w:szCs w:val="18"/>
                <w:lang w:val="de-DE"/>
              </w:rPr>
            </w:pPr>
            <w:r w:rsidRPr="00C1620E">
              <w:rPr>
                <w:sz w:val="18"/>
                <w:szCs w:val="18"/>
                <w:lang w:val="de-DE"/>
              </w:rPr>
              <w:t>120 000 kg</w:t>
            </w:r>
          </w:p>
        </w:tc>
        <w:tc>
          <w:tcPr>
            <w:tcW w:w="459" w:type="dxa"/>
            <w:textDirection w:val="tbRl"/>
          </w:tcPr>
          <w:p w:rsidR="00C1620E" w:rsidRPr="00C1620E" w:rsidRDefault="00C1620E" w:rsidP="00C1620E">
            <w:pPr>
              <w:ind w:left="113" w:right="113"/>
              <w:jc w:val="center"/>
              <w:rPr>
                <w:sz w:val="18"/>
                <w:szCs w:val="18"/>
                <w:lang w:val="de-DE"/>
              </w:rPr>
            </w:pPr>
            <w:r w:rsidRPr="00C1620E">
              <w:rPr>
                <w:sz w:val="18"/>
                <w:szCs w:val="18"/>
                <w:lang w:val="de-DE"/>
              </w:rPr>
              <w:t>300 000 kg</w:t>
            </w:r>
          </w:p>
        </w:tc>
        <w:tc>
          <w:tcPr>
            <w:tcW w:w="459" w:type="dxa"/>
            <w:textDirection w:val="tbRl"/>
          </w:tcPr>
          <w:p w:rsidR="00C1620E" w:rsidRPr="00C1620E" w:rsidRDefault="00C1620E" w:rsidP="00C1620E">
            <w:pPr>
              <w:ind w:left="113" w:right="113"/>
              <w:jc w:val="center"/>
              <w:rPr>
                <w:sz w:val="18"/>
                <w:szCs w:val="18"/>
                <w:lang w:val="de-DE"/>
              </w:rPr>
            </w:pPr>
            <w:r w:rsidRPr="00C1620E">
              <w:rPr>
                <w:sz w:val="18"/>
                <w:szCs w:val="18"/>
                <w:lang w:val="de-DE"/>
              </w:rPr>
              <w:t>1 100 000 kg</w:t>
            </w:r>
          </w:p>
        </w:tc>
        <w:tc>
          <w:tcPr>
            <w:tcW w:w="459" w:type="dxa"/>
            <w:textDirection w:val="tbRl"/>
          </w:tcPr>
          <w:p w:rsidR="00C1620E" w:rsidRPr="00C1620E" w:rsidRDefault="00C1620E" w:rsidP="00C1620E">
            <w:pPr>
              <w:ind w:left="113" w:right="113"/>
              <w:jc w:val="center"/>
              <w:rPr>
                <w:sz w:val="18"/>
                <w:szCs w:val="18"/>
                <w:lang w:val="de-DE"/>
              </w:rPr>
            </w:pPr>
            <w:r w:rsidRPr="00C1620E">
              <w:rPr>
                <w:sz w:val="18"/>
                <w:szCs w:val="18"/>
                <w:lang w:val="de-DE"/>
              </w:rPr>
              <w:t>Unbeschränkt</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1</w:t>
            </w:r>
          </w:p>
        </w:tc>
        <w:tc>
          <w:tcPr>
            <w:tcW w:w="8788" w:type="dxa"/>
          </w:tcPr>
          <w:p w:rsidR="00C1620E" w:rsidRPr="00C1620E" w:rsidRDefault="00C1620E" w:rsidP="00C1620E">
            <w:pPr>
              <w:spacing w:after="0"/>
              <w:rPr>
                <w:sz w:val="18"/>
                <w:szCs w:val="18"/>
                <w:vertAlign w:val="superscript"/>
                <w:lang w:val="de-DE"/>
              </w:rPr>
            </w:pPr>
            <w:r w:rsidRPr="00C1620E">
              <w:rPr>
                <w:rFonts w:eastAsia="Calibri"/>
                <w:sz w:val="18"/>
                <w:szCs w:val="18"/>
                <w:lang w:val="de-DE"/>
              </w:rPr>
              <w:t xml:space="preserve">alle Stoffe und Gegenstände der Unterklasse 1.1 der Verträglichkeitsgruppe A </w:t>
            </w:r>
            <w:r w:rsidRPr="00C1620E">
              <w:rPr>
                <w:rFonts w:eastAsia="Calibri"/>
                <w:sz w:val="18"/>
                <w:szCs w:val="18"/>
                <w:vertAlign w:val="superscript"/>
                <w:lang w:val="de-DE"/>
              </w:rPr>
              <w:t>1)</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rPr>
                <w:sz w:val="18"/>
                <w:szCs w:val="18"/>
                <w:lang w:val="de-DE"/>
              </w:rPr>
            </w:pPr>
          </w:p>
        </w:tc>
        <w:tc>
          <w:tcPr>
            <w:tcW w:w="8788" w:type="dxa"/>
            <w:tcBorders>
              <w:right w:val="single" w:sz="6" w:space="0" w:color="auto"/>
            </w:tcBorders>
          </w:tcPr>
          <w:p w:rsidR="00C1620E" w:rsidRPr="00C1620E" w:rsidRDefault="00C1620E" w:rsidP="00C1620E">
            <w:pPr>
              <w:spacing w:after="0"/>
              <w:rPr>
                <w:sz w:val="18"/>
                <w:szCs w:val="18"/>
                <w:vertAlign w:val="superscript"/>
                <w:lang w:val="de-DE"/>
              </w:rPr>
            </w:pPr>
            <w:r w:rsidRPr="00C1620E">
              <w:rPr>
                <w:rFonts w:eastAsia="Calibri"/>
                <w:sz w:val="18"/>
                <w:szCs w:val="18"/>
                <w:lang w:val="de-DE"/>
              </w:rPr>
              <w:t xml:space="preserve">alle Stoffe und Gegenstände der Unterklasse 1.1 der Verträglichkeitsgruppe B, C, D, E, F, G, J oder L </w:t>
            </w:r>
            <w:r w:rsidRPr="00C1620E">
              <w:rPr>
                <w:rFonts w:eastAsia="Calibri"/>
                <w:sz w:val="18"/>
                <w:szCs w:val="18"/>
                <w:vertAlign w:val="superscript"/>
                <w:lang w:val="de-DE"/>
              </w:rPr>
              <w:t>2)</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rPr>
                <w:sz w:val="18"/>
                <w:szCs w:val="18"/>
                <w:lang w:val="de-DE"/>
              </w:rPr>
            </w:pPr>
          </w:p>
        </w:tc>
        <w:tc>
          <w:tcPr>
            <w:tcW w:w="8788" w:type="dxa"/>
            <w:tcBorders>
              <w:right w:val="single" w:sz="6" w:space="0" w:color="auto"/>
            </w:tcBorders>
          </w:tcPr>
          <w:p w:rsidR="00C1620E" w:rsidRPr="00C1620E" w:rsidRDefault="00C1620E" w:rsidP="00C1620E">
            <w:pPr>
              <w:spacing w:after="0"/>
              <w:rPr>
                <w:sz w:val="18"/>
                <w:szCs w:val="18"/>
                <w:lang w:val="de-DE"/>
              </w:rPr>
            </w:pPr>
            <w:r w:rsidRPr="00C1620E">
              <w:rPr>
                <w:rFonts w:eastAsia="Calibri"/>
                <w:sz w:val="18"/>
                <w:szCs w:val="18"/>
                <w:lang w:val="de-DE"/>
              </w:rPr>
              <w:t>alle Stoffe und Gegenstände der Unterklasse 1.2 der Verträglichkeitsgruppe B, C, D, E, F, G, H, J oder L</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rPr>
                <w:sz w:val="18"/>
                <w:szCs w:val="18"/>
                <w:lang w:val="de-DE"/>
              </w:rPr>
            </w:pPr>
          </w:p>
        </w:tc>
        <w:tc>
          <w:tcPr>
            <w:tcW w:w="8788" w:type="dxa"/>
            <w:tcBorders>
              <w:right w:val="single" w:sz="6" w:space="0" w:color="auto"/>
            </w:tcBorders>
          </w:tcPr>
          <w:p w:rsidR="00C1620E" w:rsidRPr="00C1620E" w:rsidRDefault="00C1620E" w:rsidP="00C1620E">
            <w:pPr>
              <w:spacing w:after="0"/>
              <w:rPr>
                <w:sz w:val="18"/>
                <w:szCs w:val="18"/>
                <w:vertAlign w:val="superscript"/>
                <w:lang w:val="de-DE"/>
              </w:rPr>
            </w:pPr>
            <w:r w:rsidRPr="00C1620E">
              <w:rPr>
                <w:rFonts w:eastAsia="Calibri"/>
                <w:sz w:val="18"/>
                <w:szCs w:val="18"/>
                <w:lang w:val="de-DE"/>
              </w:rPr>
              <w:t xml:space="preserve">alle Stoffe und Gegenstände der Unterklasse 1.3 der Verträglichkeitsgruppe C, G, H, J oder L </w:t>
            </w:r>
            <w:r w:rsidRPr="00C1620E">
              <w:rPr>
                <w:rFonts w:eastAsia="Calibri"/>
                <w:sz w:val="18"/>
                <w:szCs w:val="18"/>
                <w:vertAlign w:val="superscript"/>
                <w:lang w:val="de-DE"/>
              </w:rPr>
              <w:t>3)</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rPr>
                <w:sz w:val="18"/>
                <w:szCs w:val="18"/>
                <w:lang w:val="de-DE"/>
              </w:rPr>
            </w:pPr>
          </w:p>
        </w:tc>
        <w:tc>
          <w:tcPr>
            <w:tcW w:w="8788" w:type="dxa"/>
            <w:tcBorders>
              <w:right w:val="single" w:sz="6" w:space="0" w:color="auto"/>
            </w:tcBorders>
          </w:tcPr>
          <w:p w:rsidR="00C1620E" w:rsidRPr="00C1620E" w:rsidRDefault="00C1620E" w:rsidP="00C1620E">
            <w:pPr>
              <w:spacing w:after="0"/>
              <w:rPr>
                <w:sz w:val="18"/>
                <w:szCs w:val="18"/>
                <w:lang w:val="de-DE"/>
              </w:rPr>
            </w:pPr>
            <w:r w:rsidRPr="00C1620E">
              <w:rPr>
                <w:rFonts w:eastAsia="Calibri"/>
                <w:sz w:val="18"/>
                <w:szCs w:val="18"/>
                <w:lang w:val="de-DE"/>
              </w:rPr>
              <w:t>alle Stoffe und Gegenstände der Unterklasse 1.4 der Verträglichkeitsgruppe B, C, D, E, F, G oder S</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rPr>
                <w:sz w:val="18"/>
                <w:szCs w:val="18"/>
                <w:lang w:val="de-DE"/>
              </w:rPr>
            </w:pPr>
          </w:p>
        </w:tc>
        <w:tc>
          <w:tcPr>
            <w:tcW w:w="8788" w:type="dxa"/>
            <w:tcBorders>
              <w:right w:val="single" w:sz="6" w:space="0" w:color="auto"/>
            </w:tcBorders>
          </w:tcPr>
          <w:p w:rsidR="00C1620E" w:rsidRPr="00C1620E" w:rsidRDefault="00C1620E" w:rsidP="00C1620E">
            <w:pPr>
              <w:spacing w:after="0"/>
              <w:rPr>
                <w:sz w:val="18"/>
                <w:szCs w:val="18"/>
                <w:vertAlign w:val="superscript"/>
                <w:lang w:val="de-DE"/>
              </w:rPr>
            </w:pPr>
            <w:r w:rsidRPr="00C1620E">
              <w:rPr>
                <w:rFonts w:eastAsia="Calibri"/>
                <w:sz w:val="18"/>
                <w:szCs w:val="18"/>
                <w:lang w:val="de-DE"/>
              </w:rPr>
              <w:t xml:space="preserve">alle Stoffe der Unterklasse 1.5 der Verträglichkeitsgruppe D </w:t>
            </w:r>
            <w:r w:rsidRPr="00C1620E">
              <w:rPr>
                <w:rFonts w:eastAsia="Calibri"/>
                <w:sz w:val="18"/>
                <w:szCs w:val="18"/>
                <w:vertAlign w:val="superscript"/>
                <w:lang w:val="de-DE"/>
              </w:rPr>
              <w:t>2)</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rPr>
                <w:sz w:val="18"/>
                <w:szCs w:val="18"/>
                <w:lang w:val="de-DE"/>
              </w:rPr>
            </w:pPr>
          </w:p>
        </w:tc>
        <w:tc>
          <w:tcPr>
            <w:tcW w:w="8788" w:type="dxa"/>
            <w:tcBorders>
              <w:right w:val="single" w:sz="6" w:space="0" w:color="auto"/>
            </w:tcBorders>
          </w:tcPr>
          <w:p w:rsidR="00C1620E" w:rsidRPr="00C1620E" w:rsidRDefault="00C1620E" w:rsidP="00C1620E">
            <w:pPr>
              <w:spacing w:after="0"/>
              <w:rPr>
                <w:sz w:val="18"/>
                <w:szCs w:val="18"/>
                <w:vertAlign w:val="superscript"/>
                <w:lang w:val="de-DE"/>
              </w:rPr>
            </w:pPr>
            <w:r w:rsidRPr="00C1620E">
              <w:rPr>
                <w:rFonts w:eastAsia="Calibri"/>
                <w:sz w:val="18"/>
                <w:szCs w:val="18"/>
                <w:lang w:val="de-DE"/>
              </w:rPr>
              <w:t xml:space="preserve">alle Gegenstände der Unterklasse 1.6 der Verträglichkeitsgruppe N </w:t>
            </w:r>
            <w:r w:rsidRPr="00C1620E">
              <w:rPr>
                <w:rFonts w:eastAsia="Calibri"/>
                <w:sz w:val="18"/>
                <w:szCs w:val="18"/>
                <w:vertAlign w:val="superscript"/>
                <w:lang w:val="de-DE"/>
              </w:rPr>
              <w:t>3)</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rPr>
                <w:sz w:val="18"/>
                <w:szCs w:val="18"/>
                <w:lang w:val="de-DE"/>
              </w:rPr>
            </w:pPr>
          </w:p>
        </w:tc>
        <w:tc>
          <w:tcPr>
            <w:tcW w:w="8788" w:type="dxa"/>
            <w:tcBorders>
              <w:right w:val="single" w:sz="6" w:space="0" w:color="auto"/>
            </w:tcBorders>
          </w:tcPr>
          <w:p w:rsidR="00C1620E" w:rsidRPr="00C1620E" w:rsidRDefault="00C1620E" w:rsidP="00C1620E">
            <w:pPr>
              <w:spacing w:after="0"/>
              <w:rPr>
                <w:sz w:val="18"/>
                <w:szCs w:val="18"/>
                <w:lang w:val="de-DE"/>
              </w:rPr>
            </w:pPr>
            <w:r w:rsidRPr="00C1620E">
              <w:rPr>
                <w:rFonts w:eastAsia="Calibri"/>
                <w:sz w:val="18"/>
                <w:szCs w:val="18"/>
                <w:lang w:val="de-DE"/>
              </w:rPr>
              <w:t>ungereinigte leere Verpackungen</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r>
      <w:tr w:rsidR="00C1620E" w:rsidRPr="0088718F" w:rsidTr="004746AD">
        <w:tc>
          <w:tcPr>
            <w:tcW w:w="852" w:type="dxa"/>
            <w:tcBorders>
              <w:top w:val="nil"/>
              <w:bottom w:val="single" w:sz="4" w:space="0" w:color="auto"/>
            </w:tcBorders>
          </w:tcPr>
          <w:p w:rsidR="00C1620E" w:rsidRPr="00C1620E" w:rsidRDefault="00C1620E" w:rsidP="00C1620E">
            <w:pPr>
              <w:spacing w:after="0"/>
              <w:ind w:left="-111"/>
              <w:rPr>
                <w:sz w:val="18"/>
                <w:szCs w:val="18"/>
                <w:lang w:val="de-DE"/>
              </w:rPr>
            </w:pPr>
          </w:p>
        </w:tc>
        <w:tc>
          <w:tcPr>
            <w:tcW w:w="8788" w:type="dxa"/>
          </w:tcPr>
          <w:p w:rsidR="00C1620E" w:rsidRPr="00C1620E" w:rsidRDefault="00C1620E" w:rsidP="00C1620E">
            <w:pPr>
              <w:spacing w:after="0"/>
              <w:ind w:left="731" w:hanging="731"/>
              <w:jc w:val="left"/>
              <w:rPr>
                <w:rFonts w:eastAsia="Calibri"/>
                <w:b/>
                <w:bCs/>
                <w:i/>
                <w:sz w:val="18"/>
                <w:szCs w:val="18"/>
                <w:lang w:val="de-DE"/>
              </w:rPr>
            </w:pPr>
            <w:r w:rsidRPr="00C1620E">
              <w:rPr>
                <w:rFonts w:eastAsia="Calibri"/>
                <w:b/>
                <w:bCs/>
                <w:i/>
                <w:sz w:val="18"/>
                <w:szCs w:val="18"/>
                <w:lang w:val="de-DE"/>
              </w:rPr>
              <w:t>Bemerkungen</w:t>
            </w:r>
          </w:p>
          <w:p w:rsidR="00C1620E" w:rsidRPr="00C1620E" w:rsidRDefault="00C1620E" w:rsidP="00C1620E">
            <w:pPr>
              <w:spacing w:after="0"/>
              <w:ind w:left="731" w:hanging="731"/>
              <w:jc w:val="left"/>
              <w:rPr>
                <w:rFonts w:eastAsia="Calibri"/>
                <w:i/>
                <w:sz w:val="18"/>
                <w:szCs w:val="18"/>
                <w:lang w:val="de-DE"/>
              </w:rPr>
            </w:pPr>
            <w:r w:rsidRPr="00C1620E">
              <w:rPr>
                <w:rFonts w:eastAsia="Calibri"/>
                <w:i/>
                <w:sz w:val="18"/>
                <w:szCs w:val="18"/>
                <w:vertAlign w:val="superscript"/>
                <w:lang w:val="de-DE"/>
              </w:rPr>
              <w:t>1)</w:t>
            </w:r>
            <w:r w:rsidRPr="00C1620E">
              <w:rPr>
                <w:rFonts w:eastAsia="Calibri"/>
                <w:i/>
                <w:sz w:val="18"/>
                <w:szCs w:val="18"/>
                <w:lang w:val="de-DE"/>
              </w:rPr>
              <w:t xml:space="preserve"> In mindestens drei Partien zu maximal je 30 kg und mindestens 10 m Abstand zwischen den einzelnen Partien.</w:t>
            </w:r>
          </w:p>
          <w:p w:rsidR="00C1620E" w:rsidRPr="00C1620E" w:rsidRDefault="00C1620E" w:rsidP="00C1620E">
            <w:pPr>
              <w:spacing w:after="0"/>
              <w:ind w:left="731" w:hanging="731"/>
              <w:jc w:val="left"/>
              <w:rPr>
                <w:rFonts w:eastAsia="Calibri"/>
                <w:i/>
                <w:sz w:val="18"/>
                <w:szCs w:val="18"/>
                <w:lang w:val="de-DE"/>
              </w:rPr>
            </w:pPr>
            <w:r w:rsidRPr="00C1620E">
              <w:rPr>
                <w:rFonts w:eastAsia="Calibri"/>
                <w:i/>
                <w:sz w:val="18"/>
                <w:szCs w:val="18"/>
                <w:vertAlign w:val="superscript"/>
                <w:lang w:val="de-DE"/>
              </w:rPr>
              <w:t xml:space="preserve">2) </w:t>
            </w:r>
            <w:r w:rsidRPr="00C1620E">
              <w:rPr>
                <w:rFonts w:eastAsia="Calibri"/>
                <w:i/>
                <w:sz w:val="18"/>
                <w:szCs w:val="18"/>
                <w:lang w:val="de-DE"/>
              </w:rPr>
              <w:t>In mindestens drei Partien zu maximal je 5 000 kg und mindestens 10 m Abstand zwischen den einzelnen Partien.</w:t>
            </w:r>
          </w:p>
          <w:p w:rsidR="00C1620E" w:rsidRPr="00C1620E" w:rsidRDefault="00C1620E" w:rsidP="00C1620E">
            <w:pPr>
              <w:spacing w:after="0"/>
              <w:ind w:left="731" w:hanging="731"/>
              <w:jc w:val="left"/>
              <w:rPr>
                <w:sz w:val="18"/>
                <w:szCs w:val="18"/>
                <w:lang w:val="de-DE"/>
              </w:rPr>
            </w:pPr>
            <w:r w:rsidRPr="00C1620E">
              <w:rPr>
                <w:rFonts w:eastAsia="Calibri"/>
                <w:i/>
                <w:sz w:val="18"/>
                <w:szCs w:val="18"/>
                <w:vertAlign w:val="superscript"/>
                <w:lang w:val="de-DE"/>
              </w:rPr>
              <w:t>3)</w:t>
            </w:r>
            <w:r w:rsidRPr="00C1620E">
              <w:rPr>
                <w:rFonts w:eastAsia="Calibri"/>
                <w:i/>
                <w:sz w:val="18"/>
                <w:szCs w:val="18"/>
                <w:lang w:val="de-DE"/>
              </w:rPr>
              <w:t xml:space="preserve"> Nicht mehr als 100 000 kg pro Laderaum. Ein eingesetzter Holzschott wird als Laderaumtrennung anerkannt.</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93"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2</w:t>
            </w:r>
          </w:p>
        </w:tc>
        <w:tc>
          <w:tcPr>
            <w:tcW w:w="8788" w:type="dxa"/>
            <w:tcBorders>
              <w:top w:val="single" w:sz="6" w:space="0" w:color="auto"/>
              <w:bottom w:val="single" w:sz="6" w:space="0" w:color="auto"/>
              <w:right w:val="single" w:sz="6" w:space="0" w:color="auto"/>
            </w:tcBorders>
          </w:tcPr>
          <w:p w:rsidR="00C1620E" w:rsidRPr="00C1620E" w:rsidRDefault="00C1620E" w:rsidP="00C1620E">
            <w:pPr>
              <w:spacing w:after="0"/>
              <w:jc w:val="left"/>
              <w:rPr>
                <w:sz w:val="18"/>
                <w:szCs w:val="18"/>
                <w:lang w:val="de-DE"/>
              </w:rPr>
            </w:pPr>
            <w:r w:rsidRPr="00C1620E">
              <w:rPr>
                <w:rFonts w:eastAsia="Calibri"/>
                <w:sz w:val="18"/>
                <w:szCs w:val="18"/>
                <w:lang w:val="de-DE"/>
              </w:rPr>
              <w:t>alle Güter mit Gefahrzettel 2.1 in Kapitel 3.2 Tabelle A Spalte (5): insgesamt</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93"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r w:rsidRPr="00C1620E">
              <w:rPr>
                <w:sz w:val="18"/>
                <w:szCs w:val="18"/>
                <w:lang w:val="de-DE"/>
              </w:rPr>
              <w:t>X</w:t>
            </w:r>
          </w:p>
        </w:tc>
        <w:tc>
          <w:tcPr>
            <w:tcW w:w="459"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jc w:val="center"/>
              <w:rPr>
                <w:sz w:val="18"/>
                <w:szCs w:val="18"/>
                <w:lang w:val="de-DE"/>
              </w:rPr>
            </w:pPr>
          </w:p>
        </w:tc>
        <w:tc>
          <w:tcPr>
            <w:tcW w:w="8788" w:type="dxa"/>
            <w:tcBorders>
              <w:top w:val="single" w:sz="6" w:space="0" w:color="auto"/>
              <w:bottom w:val="single" w:sz="6" w:space="0" w:color="auto"/>
              <w:right w:val="single" w:sz="6" w:space="0" w:color="auto"/>
            </w:tcBorders>
          </w:tcPr>
          <w:p w:rsidR="00C1620E" w:rsidRPr="00C1620E" w:rsidRDefault="00C1620E" w:rsidP="00C1620E">
            <w:pPr>
              <w:spacing w:after="0"/>
              <w:jc w:val="left"/>
              <w:rPr>
                <w:sz w:val="18"/>
                <w:szCs w:val="18"/>
                <w:lang w:val="de-DE"/>
              </w:rPr>
            </w:pPr>
            <w:r w:rsidRPr="00C1620E">
              <w:rPr>
                <w:rFonts w:eastAsia="Calibri"/>
                <w:sz w:val="18"/>
                <w:szCs w:val="18"/>
                <w:lang w:val="de-DE"/>
              </w:rPr>
              <w:t>alle Güter mit Gefahrzettel 2.3 in Kapitel 3.2 Tabelle A Spalte (5): insgesamt</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93"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Borders>
              <w:top w:val="single" w:sz="6" w:space="0" w:color="auto"/>
              <w:bottom w:val="single" w:sz="6" w:space="0" w:color="auto"/>
              <w:right w:val="single" w:sz="6" w:space="0" w:color="auto"/>
            </w:tcBorders>
          </w:tcPr>
          <w:p w:rsidR="00C1620E" w:rsidRPr="00C1620E" w:rsidRDefault="002A213D"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Pr>
                <w:sz w:val="18"/>
                <w:szCs w:val="18"/>
                <w:lang w:val="de-DE" w:eastAsia="fr-FR"/>
              </w:rPr>
              <w:t>andere Güter</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93"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3</w:t>
            </w:r>
          </w:p>
        </w:tc>
        <w:tc>
          <w:tcPr>
            <w:tcW w:w="8788" w:type="dxa"/>
          </w:tcPr>
          <w:p w:rsidR="00C1620E" w:rsidRPr="00C1620E" w:rsidRDefault="00C1620E" w:rsidP="00C1620E">
            <w:pPr>
              <w:spacing w:after="0"/>
              <w:jc w:val="left"/>
              <w:rPr>
                <w:sz w:val="18"/>
                <w:szCs w:val="18"/>
                <w:lang w:val="de-DE"/>
              </w:rPr>
            </w:pPr>
            <w:r w:rsidRPr="00C1620E">
              <w:rPr>
                <w:rFonts w:eastAsia="Calibri"/>
                <w:sz w:val="18"/>
                <w:szCs w:val="18"/>
                <w:lang w:val="de-DE"/>
              </w:rPr>
              <w:t xml:space="preserve">alle Güter der Verpackungsgruppe I oder II, </w:t>
            </w:r>
            <w:r w:rsidRPr="00C1620E">
              <w:rPr>
                <w:rFonts w:eastAsia="Calibri"/>
                <w:sz w:val="18"/>
                <w:szCs w:val="18"/>
                <w:lang w:val="de-DE"/>
              </w:rPr>
              <w:br/>
              <w:t>für die ein Gefahrzettel 6.1 in Kapitel 3.2 Tabelle A Spalte (5) vorgeschrieben ist: insgesamt</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93"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rFonts w:eastAsia="Calibri"/>
                <w:sz w:val="18"/>
                <w:szCs w:val="18"/>
                <w:lang w:val="de-DE"/>
              </w:rPr>
              <w:t>andere Güter: insgesamt</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bottom w:val="nil"/>
            </w:tcBorders>
          </w:tcPr>
          <w:p w:rsidR="00C1620E" w:rsidRPr="00C1620E" w:rsidRDefault="00C1620E" w:rsidP="00C1620E">
            <w:pPr>
              <w:pageBreakBefore/>
              <w:spacing w:after="0"/>
              <w:ind w:left="-113"/>
              <w:jc w:val="center"/>
              <w:rPr>
                <w:b/>
                <w:sz w:val="18"/>
                <w:szCs w:val="18"/>
                <w:lang w:val="de-DE"/>
              </w:rPr>
            </w:pPr>
            <w:r w:rsidRPr="00C1620E">
              <w:rPr>
                <w:b/>
                <w:sz w:val="18"/>
                <w:szCs w:val="18"/>
                <w:lang w:val="de-DE"/>
              </w:rPr>
              <w:lastRenderedPageBreak/>
              <w:t>4.1</w:t>
            </w: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rFonts w:eastAsia="Calibri"/>
                <w:sz w:val="18"/>
                <w:szCs w:val="18"/>
                <w:lang w:val="de-DE"/>
              </w:rPr>
              <w:t>UN-Nummern 3221, 3222, 3231 und 3232, insgesamt</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spacing w:after="0"/>
              <w:jc w:val="left"/>
              <w:rPr>
                <w:rFonts w:eastAsia="Calibri"/>
                <w:sz w:val="18"/>
                <w:szCs w:val="18"/>
                <w:lang w:val="de-DE"/>
              </w:rPr>
            </w:pPr>
            <w:r w:rsidRPr="00C1620E">
              <w:rPr>
                <w:rFonts w:eastAsia="Calibri"/>
                <w:sz w:val="18"/>
                <w:szCs w:val="18"/>
                <w:lang w:val="de-DE"/>
              </w:rPr>
              <w:t xml:space="preserve">alle Güter der Verpackungsgruppe I; </w:t>
            </w:r>
          </w:p>
          <w:p w:rsidR="00C1620E" w:rsidRPr="00C1620E" w:rsidRDefault="00C1620E" w:rsidP="00C1620E">
            <w:pPr>
              <w:spacing w:after="0"/>
              <w:jc w:val="left"/>
              <w:rPr>
                <w:rFonts w:eastAsia="Calibri"/>
                <w:sz w:val="18"/>
                <w:szCs w:val="18"/>
                <w:lang w:val="de-DE"/>
              </w:rPr>
            </w:pPr>
            <w:r w:rsidRPr="00C1620E">
              <w:rPr>
                <w:rFonts w:eastAsia="Calibri"/>
                <w:sz w:val="18"/>
                <w:szCs w:val="18"/>
                <w:lang w:val="de-DE"/>
              </w:rPr>
              <w:t>alle Güter der Verpackungsgruppe II, für die ein Gefahrzettel 6.1 in Kapitel 3.2 Tabelle A Spalte (5) vorgeschrieben ist;</w:t>
            </w:r>
          </w:p>
          <w:p w:rsidR="00C1620E" w:rsidRPr="00C1620E" w:rsidRDefault="00C1620E" w:rsidP="00C1620E">
            <w:pPr>
              <w:spacing w:after="0"/>
              <w:jc w:val="left"/>
              <w:rPr>
                <w:rFonts w:eastAsia="Calibri"/>
                <w:sz w:val="18"/>
                <w:szCs w:val="18"/>
                <w:lang w:val="de-DE"/>
              </w:rPr>
            </w:pPr>
            <w:proofErr w:type="spellStart"/>
            <w:r w:rsidRPr="00C1620E">
              <w:rPr>
                <w:rFonts w:eastAsia="Calibri"/>
                <w:sz w:val="18"/>
                <w:szCs w:val="18"/>
                <w:lang w:val="de-DE"/>
              </w:rPr>
              <w:t>Selbstzersetzliche</w:t>
            </w:r>
            <w:proofErr w:type="spellEnd"/>
            <w:r w:rsidRPr="00C1620E">
              <w:rPr>
                <w:rFonts w:eastAsia="Calibri"/>
                <w:sz w:val="18"/>
                <w:szCs w:val="18"/>
                <w:lang w:val="de-DE"/>
              </w:rPr>
              <w:t xml:space="preserve"> Stoffe des Typs C, D, E, und F (UN-Nummern 3223 bis 3230 und 3233 bis 3240);</w:t>
            </w:r>
          </w:p>
          <w:p w:rsidR="00C1620E" w:rsidRPr="00C1620E" w:rsidRDefault="00C1620E" w:rsidP="00C1620E">
            <w:pPr>
              <w:spacing w:after="0"/>
              <w:jc w:val="left"/>
              <w:rPr>
                <w:rFonts w:eastAsia="Calibri"/>
                <w:sz w:val="18"/>
                <w:szCs w:val="18"/>
                <w:lang w:val="de-DE"/>
              </w:rPr>
            </w:pPr>
            <w:r w:rsidRPr="00C1620E">
              <w:rPr>
                <w:rFonts w:eastAsia="Calibri"/>
                <w:sz w:val="18"/>
                <w:szCs w:val="18"/>
                <w:lang w:val="de-DE"/>
              </w:rPr>
              <w:t xml:space="preserve">alle anderen Stoffe des Klassifizierungscodes SR1 oder SR2 (UN-Nummern 2956, 3241, 3242 und 3251); </w:t>
            </w:r>
          </w:p>
          <w:p w:rsidR="00C1620E" w:rsidRPr="00C1620E" w:rsidRDefault="00C1620E" w:rsidP="00C1620E">
            <w:pPr>
              <w:spacing w:after="0"/>
              <w:jc w:val="left"/>
              <w:rPr>
                <w:sz w:val="18"/>
                <w:szCs w:val="18"/>
                <w:lang w:val="de-DE"/>
              </w:rPr>
            </w:pPr>
            <w:r w:rsidRPr="00C1620E">
              <w:rPr>
                <w:rFonts w:eastAsia="Calibri"/>
                <w:sz w:val="18"/>
                <w:szCs w:val="18"/>
                <w:lang w:val="de-DE"/>
              </w:rPr>
              <w:t>die desensibilisierten explosiven Stoffe der Verpackungsgruppe II (UN-Nummern 2907, 3319 und 3344): insgesamt</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p w:rsidR="00C1620E" w:rsidRPr="00C1620E" w:rsidRDefault="00C1620E" w:rsidP="00C1620E">
            <w:pPr>
              <w:spacing w:after="0"/>
              <w:jc w:val="center"/>
              <w:rPr>
                <w:sz w:val="18"/>
                <w:szCs w:val="18"/>
                <w:lang w:val="de-DE"/>
              </w:rPr>
            </w:pPr>
          </w:p>
          <w:p w:rsidR="00C1620E" w:rsidRPr="00C1620E" w:rsidRDefault="00C1620E" w:rsidP="00C1620E">
            <w:pPr>
              <w:spacing w:after="0"/>
              <w:jc w:val="center"/>
              <w:rPr>
                <w:sz w:val="18"/>
                <w:szCs w:val="18"/>
                <w:lang w:val="de-DE"/>
              </w:rPr>
            </w:pPr>
          </w:p>
          <w:p w:rsidR="00C1620E" w:rsidRPr="00C1620E" w:rsidRDefault="00C1620E" w:rsidP="00C1620E">
            <w:pPr>
              <w:spacing w:after="0"/>
              <w:jc w:val="center"/>
              <w:rPr>
                <w:sz w:val="18"/>
                <w:szCs w:val="18"/>
                <w:lang w:val="de-DE"/>
              </w:rPr>
            </w:pPr>
          </w:p>
          <w:p w:rsidR="00C1620E" w:rsidRPr="00C1620E" w:rsidRDefault="00C1620E" w:rsidP="00C1620E">
            <w:pPr>
              <w:spacing w:after="0"/>
              <w:jc w:val="center"/>
              <w:rPr>
                <w:sz w:val="18"/>
                <w:szCs w:val="18"/>
                <w:lang w:val="de-DE"/>
              </w:rPr>
            </w:pPr>
          </w:p>
          <w:p w:rsidR="00C1620E" w:rsidRPr="00C1620E" w:rsidRDefault="00C1620E" w:rsidP="00C1620E">
            <w:pPr>
              <w:spacing w:after="0"/>
              <w:jc w:val="center"/>
              <w:rPr>
                <w:sz w:val="18"/>
                <w:szCs w:val="18"/>
                <w:lang w:val="de-DE"/>
              </w:rPr>
            </w:pPr>
          </w:p>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sz w:val="18"/>
                <w:szCs w:val="18"/>
                <w:lang w:val="de-DE" w:eastAsia="fr-FR"/>
              </w:rPr>
              <w:t>andere Güter</w:t>
            </w:r>
          </w:p>
        </w:tc>
        <w:tc>
          <w:tcPr>
            <w:tcW w:w="425" w:type="dxa"/>
          </w:tcPr>
          <w:p w:rsidR="00C1620E" w:rsidRPr="00C1620E" w:rsidRDefault="00C1620E" w:rsidP="00C1620E">
            <w:pPr>
              <w:spacing w:after="0"/>
              <w:rPr>
                <w:sz w:val="18"/>
                <w:szCs w:val="18"/>
                <w:lang w:val="de-DE"/>
              </w:rPr>
            </w:pPr>
          </w:p>
        </w:tc>
        <w:tc>
          <w:tcPr>
            <w:tcW w:w="426" w:type="dxa"/>
          </w:tcPr>
          <w:p w:rsidR="00C1620E" w:rsidRPr="00C1620E" w:rsidRDefault="00C1620E" w:rsidP="00C1620E">
            <w:pPr>
              <w:spacing w:after="0"/>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4.2</w:t>
            </w:r>
          </w:p>
        </w:tc>
        <w:tc>
          <w:tcPr>
            <w:tcW w:w="8788" w:type="dxa"/>
          </w:tcPr>
          <w:p w:rsidR="00C1620E" w:rsidRPr="00C1620E" w:rsidRDefault="00C1620E" w:rsidP="00C1620E">
            <w:pPr>
              <w:spacing w:after="0"/>
              <w:jc w:val="left"/>
              <w:rPr>
                <w:sz w:val="18"/>
                <w:szCs w:val="18"/>
                <w:lang w:val="de-DE"/>
              </w:rPr>
            </w:pPr>
            <w:r w:rsidRPr="00C1620E">
              <w:rPr>
                <w:rFonts w:eastAsia="Calibri"/>
                <w:sz w:val="18"/>
                <w:szCs w:val="18"/>
                <w:lang w:val="de-DE"/>
              </w:rPr>
              <w:t>alle Güter der Verpackungsgruppe I oder II, für die ein Gefahrzettel 6.1 in Kapitel 3.2 Tabelle A Spalte (5) vorgeschrieben ist: insgesamt</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sz w:val="18"/>
                <w:szCs w:val="18"/>
                <w:lang w:val="de-DE" w:eastAsia="fr-FR"/>
              </w:rPr>
              <w:t>andere Güter</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4.3</w:t>
            </w:r>
          </w:p>
        </w:tc>
        <w:tc>
          <w:tcPr>
            <w:tcW w:w="8788" w:type="dxa"/>
          </w:tcPr>
          <w:p w:rsidR="00C1620E" w:rsidRPr="00C1620E" w:rsidRDefault="00C1620E" w:rsidP="00C1620E">
            <w:pPr>
              <w:spacing w:after="0"/>
              <w:jc w:val="left"/>
              <w:rPr>
                <w:sz w:val="18"/>
                <w:szCs w:val="18"/>
                <w:lang w:val="de-DE"/>
              </w:rPr>
            </w:pPr>
            <w:r w:rsidRPr="00C1620E">
              <w:rPr>
                <w:rFonts w:eastAsia="Calibri"/>
                <w:sz w:val="18"/>
                <w:szCs w:val="18"/>
                <w:lang w:val="de-DE"/>
              </w:rPr>
              <w:t>alle Güter der Verpackungsgruppe I oder II, für die ein Gefahrzettel 3, 4.1 oder 6.1 in Kapitel 3.2 Tabelle A Spalte (5) vorgeschrieben ist: insgesamt</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sz w:val="18"/>
                <w:szCs w:val="18"/>
                <w:lang w:val="de-DE" w:eastAsia="fr-FR"/>
              </w:rPr>
              <w:t>andere Güter</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5.1</w:t>
            </w:r>
          </w:p>
        </w:tc>
        <w:tc>
          <w:tcPr>
            <w:tcW w:w="8788" w:type="dxa"/>
          </w:tcPr>
          <w:p w:rsidR="00C1620E" w:rsidRPr="00C1620E" w:rsidRDefault="00C1620E" w:rsidP="00C1620E">
            <w:pPr>
              <w:spacing w:after="0"/>
              <w:jc w:val="left"/>
              <w:rPr>
                <w:sz w:val="18"/>
                <w:szCs w:val="18"/>
                <w:lang w:val="de-DE"/>
              </w:rPr>
            </w:pPr>
            <w:r w:rsidRPr="00C1620E">
              <w:rPr>
                <w:rFonts w:eastAsia="Calibri"/>
                <w:sz w:val="18"/>
                <w:szCs w:val="18"/>
                <w:lang w:val="de-DE"/>
              </w:rPr>
              <w:t>alle Güter der Verpackungsgruppe I oder II, für die ein Gefahrzettel 6.1 in Kapitel 3.2 Tabelle A Spalte (5) vorgeschrieben ist: insgesamt</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sz w:val="18"/>
                <w:szCs w:val="18"/>
                <w:lang w:val="de-DE" w:eastAsia="fr-FR"/>
              </w:rPr>
              <w:t>andere Güter</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5.2</w:t>
            </w: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rFonts w:eastAsia="Calibri"/>
                <w:sz w:val="18"/>
                <w:szCs w:val="18"/>
                <w:lang w:val="de-DE"/>
              </w:rPr>
              <w:t>UN-Nummern 3101, 3102, 3111 und 3112: insgesamt</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sz w:val="18"/>
                <w:szCs w:val="18"/>
                <w:lang w:val="de-DE" w:eastAsia="fr-FR"/>
              </w:rPr>
              <w:t>andere Güter</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6.1</w:t>
            </w: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rFonts w:eastAsia="Calibri"/>
                <w:sz w:val="18"/>
                <w:szCs w:val="18"/>
                <w:lang w:val="de-DE"/>
              </w:rPr>
              <w:t>alle Güter der Verpackungsgruppe I: insgesamt</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rFonts w:eastAsia="Calibri"/>
                <w:sz w:val="18"/>
                <w:szCs w:val="18"/>
                <w:lang w:val="de-DE"/>
              </w:rPr>
              <w:t>alle Güter der Verpackungsgruppe II: insgesamt</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rFonts w:eastAsia="Calibri"/>
                <w:sz w:val="18"/>
                <w:szCs w:val="18"/>
                <w:lang w:val="de-DE"/>
              </w:rPr>
              <w:t>alle in loser Schüttung beförderte Güter</w:t>
            </w:r>
          </w:p>
        </w:tc>
        <w:tc>
          <w:tcPr>
            <w:tcW w:w="425"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Pr>
                <w:sz w:val="18"/>
                <w:szCs w:val="18"/>
                <w:lang w:val="de-DE" w:eastAsia="fr-FR"/>
              </w:rPr>
              <w:t>andere Güter</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7</w:t>
            </w:r>
          </w:p>
        </w:tc>
        <w:tc>
          <w:tcPr>
            <w:tcW w:w="8788" w:type="dxa"/>
          </w:tcPr>
          <w:p w:rsidR="00C1620E" w:rsidRPr="00C1620E" w:rsidRDefault="00C1620E" w:rsidP="00C1620E">
            <w:pPr>
              <w:spacing w:after="0"/>
              <w:jc w:val="left"/>
              <w:rPr>
                <w:b/>
                <w:sz w:val="18"/>
                <w:szCs w:val="18"/>
                <w:lang w:val="de-DE"/>
              </w:rPr>
            </w:pPr>
            <w:r w:rsidRPr="00C1620E">
              <w:rPr>
                <w:rFonts w:eastAsia="Calibri"/>
                <w:sz w:val="18"/>
                <w:szCs w:val="18"/>
                <w:lang w:val="de-DE"/>
              </w:rPr>
              <w:t>UN-Nummern 2912, 2913, 2915, 2916, 2917, 2919, 2977, 2978 und 3321 bis 3333</w:t>
            </w:r>
          </w:p>
        </w:tc>
        <w:tc>
          <w:tcPr>
            <w:tcW w:w="425"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sz w:val="18"/>
                <w:szCs w:val="18"/>
                <w:lang w:val="de-DE" w:eastAsia="fr-FR"/>
              </w:rPr>
              <w:t>andere Güter</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8</w:t>
            </w:r>
          </w:p>
        </w:tc>
        <w:tc>
          <w:tcPr>
            <w:tcW w:w="8788" w:type="dxa"/>
          </w:tcPr>
          <w:p w:rsidR="00C1620E" w:rsidRPr="00C1620E" w:rsidRDefault="00C1620E" w:rsidP="00C1620E">
            <w:pPr>
              <w:spacing w:after="0"/>
              <w:jc w:val="left"/>
              <w:rPr>
                <w:rFonts w:eastAsia="Calibri"/>
                <w:sz w:val="18"/>
                <w:szCs w:val="18"/>
                <w:lang w:val="de-DE"/>
              </w:rPr>
            </w:pPr>
            <w:r w:rsidRPr="00C1620E">
              <w:rPr>
                <w:rFonts w:eastAsia="Calibri"/>
                <w:sz w:val="18"/>
                <w:szCs w:val="18"/>
                <w:lang w:val="de-DE"/>
              </w:rPr>
              <w:t>alle Güter der Verpackungsgruppe I;</w:t>
            </w:r>
          </w:p>
          <w:p w:rsidR="00C1620E" w:rsidRPr="00C1620E" w:rsidRDefault="00C1620E" w:rsidP="00C1620E">
            <w:pPr>
              <w:spacing w:after="0"/>
              <w:jc w:val="left"/>
              <w:rPr>
                <w:b/>
                <w:sz w:val="18"/>
                <w:szCs w:val="18"/>
                <w:lang w:val="de-DE"/>
              </w:rPr>
            </w:pPr>
            <w:r w:rsidRPr="00C1620E">
              <w:rPr>
                <w:rFonts w:eastAsia="Calibri"/>
                <w:sz w:val="18"/>
                <w:szCs w:val="18"/>
                <w:lang w:val="de-DE"/>
              </w:rPr>
              <w:t>alle Güter der Verpackungsgruppe II, für die ein Gefahrzettel 3 oder 6.1 in Kapitel 3.2 Tabelle A Spalte (5) vorgeschrieben ist: insgesamt</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single" w:sz="4" w:space="0" w:color="auto"/>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sz w:val="18"/>
                <w:szCs w:val="18"/>
                <w:lang w:val="de-DE" w:eastAsia="fr-FR"/>
              </w:rPr>
              <w:t>andere Güter</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r w:rsidR="00C1620E" w:rsidRPr="00C1620E" w:rsidTr="004746AD">
        <w:tc>
          <w:tcPr>
            <w:tcW w:w="852" w:type="dxa"/>
            <w:tcBorders>
              <w:bottom w:val="nil"/>
            </w:tcBorders>
          </w:tcPr>
          <w:p w:rsidR="00C1620E" w:rsidRPr="00C1620E" w:rsidRDefault="00C1620E" w:rsidP="00C1620E">
            <w:pPr>
              <w:spacing w:after="0"/>
              <w:ind w:left="-111"/>
              <w:jc w:val="center"/>
              <w:rPr>
                <w:b/>
                <w:sz w:val="18"/>
                <w:szCs w:val="18"/>
                <w:lang w:val="de-DE"/>
              </w:rPr>
            </w:pPr>
            <w:r w:rsidRPr="00C1620E">
              <w:rPr>
                <w:b/>
                <w:sz w:val="18"/>
                <w:szCs w:val="18"/>
                <w:lang w:val="de-DE"/>
              </w:rPr>
              <w:t>9</w:t>
            </w: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b/>
                <w:sz w:val="18"/>
                <w:szCs w:val="18"/>
                <w:lang w:val="de-DE" w:eastAsia="fr-FR"/>
              </w:rPr>
            </w:pPr>
            <w:r w:rsidRPr="00C1620E">
              <w:rPr>
                <w:rFonts w:eastAsia="Calibri"/>
                <w:sz w:val="18"/>
                <w:szCs w:val="18"/>
                <w:lang w:val="de-DE"/>
              </w:rPr>
              <w:t>alle Güter der Verpackungsgruppe II: insgesamt</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bottom w:val="nil"/>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spacing w:after="0"/>
              <w:jc w:val="left"/>
              <w:rPr>
                <w:b/>
                <w:sz w:val="18"/>
                <w:szCs w:val="18"/>
                <w:lang w:val="de-DE"/>
              </w:rPr>
            </w:pPr>
            <w:r w:rsidRPr="00C1620E">
              <w:rPr>
                <w:rFonts w:eastAsia="Calibri"/>
                <w:sz w:val="18"/>
                <w:szCs w:val="18"/>
                <w:lang w:val="de-DE"/>
              </w:rPr>
              <w:t>UN 3077, Güter, die in loser Schüttung befördert werden und als umweltgefährdende Stoffe (aquatische Umwelt), Kategorien Akute Giftigkeit 1 oder Chronische Giftigkeit 1, eingestuft sind, in Übereinstimmung mit 2.4.3</w:t>
            </w:r>
          </w:p>
        </w:tc>
        <w:tc>
          <w:tcPr>
            <w:tcW w:w="425" w:type="dxa"/>
          </w:tcPr>
          <w:p w:rsidR="00C1620E" w:rsidRPr="00C1620E" w:rsidRDefault="00C1620E" w:rsidP="00C1620E">
            <w:pPr>
              <w:spacing w:after="0"/>
              <w:jc w:val="center"/>
              <w:rPr>
                <w:sz w:val="18"/>
                <w:szCs w:val="18"/>
                <w:lang w:val="de-DE"/>
              </w:rPr>
            </w:pPr>
            <w:r w:rsidRPr="00C1620E">
              <w:rPr>
                <w:sz w:val="18"/>
                <w:szCs w:val="18"/>
                <w:lang w:val="de-DE"/>
              </w:rPr>
              <w:t>X</w:t>
            </w: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r>
      <w:tr w:rsidR="00C1620E" w:rsidRPr="00C1620E" w:rsidTr="004746AD">
        <w:tc>
          <w:tcPr>
            <w:tcW w:w="852" w:type="dxa"/>
            <w:tcBorders>
              <w:top w:val="nil"/>
            </w:tcBorders>
          </w:tcPr>
          <w:p w:rsidR="00C1620E" w:rsidRPr="00C1620E" w:rsidRDefault="00C1620E" w:rsidP="00C1620E">
            <w:pPr>
              <w:spacing w:after="0"/>
              <w:ind w:left="-111"/>
              <w:jc w:val="center"/>
              <w:rPr>
                <w:sz w:val="18"/>
                <w:szCs w:val="18"/>
                <w:lang w:val="de-DE"/>
              </w:rPr>
            </w:pPr>
          </w:p>
        </w:tc>
        <w:tc>
          <w:tcPr>
            <w:tcW w:w="8788" w:type="dxa"/>
          </w:tcPr>
          <w:p w:rsidR="00C1620E" w:rsidRPr="00C1620E" w:rsidRDefault="00C1620E" w:rsidP="00C1620E">
            <w:pPr>
              <w:tabs>
                <w:tab w:val="clear" w:pos="851"/>
                <w:tab w:val="left" w:pos="-340"/>
                <w:tab w:val="left" w:pos="1418"/>
              </w:tabs>
              <w:overflowPunct w:val="0"/>
              <w:autoSpaceDE w:val="0"/>
              <w:autoSpaceDN w:val="0"/>
              <w:adjustRightInd w:val="0"/>
              <w:spacing w:after="0"/>
              <w:textAlignment w:val="baseline"/>
              <w:rPr>
                <w:sz w:val="18"/>
                <w:szCs w:val="18"/>
                <w:lang w:val="de-DE" w:eastAsia="fr-FR"/>
              </w:rPr>
            </w:pPr>
            <w:r w:rsidRPr="00C1620E">
              <w:rPr>
                <w:sz w:val="18"/>
                <w:szCs w:val="18"/>
                <w:lang w:val="de-DE" w:eastAsia="fr-FR"/>
              </w:rPr>
              <w:t>andere Güter</w:t>
            </w:r>
          </w:p>
        </w:tc>
        <w:tc>
          <w:tcPr>
            <w:tcW w:w="425" w:type="dxa"/>
          </w:tcPr>
          <w:p w:rsidR="00C1620E" w:rsidRPr="00C1620E" w:rsidRDefault="00C1620E" w:rsidP="00C1620E">
            <w:pPr>
              <w:spacing w:after="0"/>
              <w:jc w:val="center"/>
              <w:rPr>
                <w:sz w:val="18"/>
                <w:szCs w:val="18"/>
                <w:lang w:val="de-DE"/>
              </w:rPr>
            </w:pPr>
          </w:p>
        </w:tc>
        <w:tc>
          <w:tcPr>
            <w:tcW w:w="426"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25" w:type="dxa"/>
          </w:tcPr>
          <w:p w:rsidR="00C1620E" w:rsidRPr="00C1620E" w:rsidRDefault="00C1620E" w:rsidP="00C1620E">
            <w:pPr>
              <w:spacing w:after="0"/>
              <w:jc w:val="center"/>
              <w:rPr>
                <w:sz w:val="18"/>
                <w:szCs w:val="18"/>
                <w:lang w:val="de-DE"/>
              </w:rPr>
            </w:pPr>
          </w:p>
        </w:tc>
        <w:tc>
          <w:tcPr>
            <w:tcW w:w="493"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p>
        </w:tc>
        <w:tc>
          <w:tcPr>
            <w:tcW w:w="459" w:type="dxa"/>
          </w:tcPr>
          <w:p w:rsidR="00C1620E" w:rsidRPr="00C1620E" w:rsidRDefault="00C1620E" w:rsidP="00C1620E">
            <w:pPr>
              <w:spacing w:after="0"/>
              <w:jc w:val="center"/>
              <w:rPr>
                <w:sz w:val="18"/>
                <w:szCs w:val="18"/>
                <w:lang w:val="de-DE"/>
              </w:rPr>
            </w:pPr>
            <w:r w:rsidRPr="00C1620E">
              <w:rPr>
                <w:sz w:val="18"/>
                <w:szCs w:val="18"/>
                <w:lang w:val="de-DE"/>
              </w:rPr>
              <w:t>X</w:t>
            </w:r>
          </w:p>
        </w:tc>
      </w:tr>
    </w:tbl>
    <w:p w:rsidR="00C225AA" w:rsidRDefault="00C225AA" w:rsidP="00C225AA">
      <w:pPr>
        <w:tabs>
          <w:tab w:val="left" w:pos="567"/>
          <w:tab w:val="left" w:pos="1985"/>
          <w:tab w:val="left" w:pos="2552"/>
          <w:tab w:val="left" w:pos="3119"/>
          <w:tab w:val="left" w:pos="3686"/>
        </w:tabs>
        <w:spacing w:after="0"/>
        <w:ind w:left="567" w:hanging="567"/>
        <w:rPr>
          <w:sz w:val="20"/>
          <w:lang w:val="de-DE"/>
        </w:rPr>
      </w:pPr>
    </w:p>
    <w:p w:rsidR="00C225AA" w:rsidRDefault="00C225AA">
      <w:pPr>
        <w:spacing w:after="0"/>
        <w:rPr>
          <w:sz w:val="20"/>
          <w:lang w:val="de-DE"/>
        </w:rPr>
      </w:pPr>
    </w:p>
    <w:p w:rsidR="00D81755" w:rsidRPr="00C225AA" w:rsidRDefault="00C225AA" w:rsidP="00C225AA">
      <w:pPr>
        <w:tabs>
          <w:tab w:val="center" w:pos="4535"/>
          <w:tab w:val="left" w:pos="5255"/>
        </w:tabs>
        <w:spacing w:after="0"/>
        <w:jc w:val="center"/>
        <w:rPr>
          <w:bCs/>
          <w:sz w:val="20"/>
          <w:lang w:val="de-DE"/>
        </w:rPr>
      </w:pPr>
      <w:r>
        <w:rPr>
          <w:sz w:val="20"/>
          <w:lang w:val="de-DE"/>
        </w:rPr>
        <w:t>***</w:t>
      </w:r>
    </w:p>
    <w:sectPr w:rsidR="00D81755" w:rsidRPr="00C225AA" w:rsidSect="00C1620E">
      <w:headerReference w:type="even" r:id="rId13"/>
      <w:footerReference w:type="even" r:id="rId14"/>
      <w:headerReference w:type="first" r:id="rId15"/>
      <w:endnotePr>
        <w:numFmt w:val="decimal"/>
      </w:endnotePr>
      <w:pgSz w:w="16840" w:h="11907" w:orient="landscape"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4AE" w:rsidRDefault="00F424AE">
      <w:pPr>
        <w:pStyle w:val="Footer"/>
      </w:pPr>
    </w:p>
  </w:endnote>
  <w:endnote w:type="continuationSeparator" w:id="0">
    <w:p w:rsidR="00F424AE" w:rsidRDefault="00F424AE">
      <w:pPr>
        <w:spacing w:after="0"/>
      </w:pPr>
    </w:p>
  </w:endnote>
  <w:endnote w:type="continuationNotice" w:id="1">
    <w:p w:rsidR="00F424AE" w:rsidRDefault="00F424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20E" w:rsidRPr="000A4580" w:rsidRDefault="00C1620E"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Pr>
        <w:rFonts w:ascii="Arial" w:hAnsi="Arial"/>
        <w:noProof/>
        <w:sz w:val="12"/>
        <w:szCs w:val="24"/>
        <w:lang w:val="en-US" w:eastAsia="fr-FR"/>
      </w:rPr>
      <w:t>8</w:t>
    </w:r>
    <w:r w:rsidRPr="000A4580">
      <w:rPr>
        <w:rFonts w:ascii="Arial" w:hAnsi="Arial"/>
        <w:noProof/>
        <w:sz w:val="12"/>
        <w:szCs w:val="24"/>
        <w:lang w:val="en-US" w:eastAsia="fr-FR"/>
      </w:rPr>
      <w:t>_</w:t>
    </w:r>
    <w:r w:rsidR="00124C84">
      <w:rPr>
        <w:rFonts w:ascii="Arial" w:hAnsi="Arial"/>
        <w:noProof/>
        <w:sz w:val="12"/>
        <w:szCs w:val="24"/>
        <w:lang w:val="en-US" w:eastAsia="fr-FR"/>
      </w:rPr>
      <w:t>45</w:t>
    </w:r>
    <w:r w:rsidRPr="000A4580">
      <w:rPr>
        <w:rFonts w:ascii="Arial" w:hAnsi="Arial"/>
        <w:noProof/>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778" w:rsidRDefault="00920778" w:rsidP="00920778">
    <w:pPr>
      <w:tabs>
        <w:tab w:val="right" w:pos="3856"/>
        <w:tab w:val="center" w:pos="4536"/>
        <w:tab w:val="left" w:pos="5387"/>
        <w:tab w:val="right" w:pos="9072"/>
      </w:tabs>
      <w:spacing w:after="0"/>
      <w:jc w:val="right"/>
    </w:pPr>
    <w:r w:rsidRPr="002C5958">
      <w:rPr>
        <w:rFonts w:ascii="Arial" w:hAnsi="Arial" w:cs="Arial"/>
        <w:sz w:val="12"/>
        <w:szCs w:val="12"/>
        <w:lang w:val="de-DE" w:eastAsia="de-DE"/>
      </w:rPr>
      <w:t>mm/</w:t>
    </w:r>
    <w:proofErr w:type="spellStart"/>
    <w:r w:rsidRPr="002C5958">
      <w:rPr>
        <w:rFonts w:ascii="Arial" w:hAnsi="Arial" w:cs="Arial"/>
        <w:sz w:val="12"/>
        <w:szCs w:val="12"/>
        <w:lang w:val="de-DE" w:eastAsia="de-DE"/>
      </w:rPr>
      <w:t>adn</w:t>
    </w:r>
    <w:proofErr w:type="spellEnd"/>
    <w:r w:rsidRPr="002C5958">
      <w:rPr>
        <w:rFonts w:ascii="Arial" w:hAnsi="Arial" w:cs="Arial"/>
        <w:sz w:val="12"/>
        <w:szCs w:val="12"/>
        <w:lang w:val="de-DE" w:eastAsia="de-DE"/>
      </w:rPr>
      <w:t>/wp15ac2/2018/</w:t>
    </w:r>
    <w:r w:rsidR="0088718F">
      <w:rPr>
        <w:rFonts w:ascii="Arial" w:hAnsi="Arial" w:cs="Arial"/>
        <w:sz w:val="12"/>
        <w:szCs w:val="12"/>
        <w:lang w:val="de-DE" w:eastAsia="de-DE"/>
      </w:rPr>
      <w:t>45</w:t>
    </w:r>
    <w:r>
      <w:rPr>
        <w:rFonts w:ascii="Arial" w:eastAsia="Arial" w:hAnsi="Arial" w:cs="Arial"/>
        <w:sz w:val="12"/>
        <w:szCs w:val="12"/>
        <w:lang w:val="de-DE" w:eastAsia="de-DE"/>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58" w:rsidRDefault="002C5958" w:rsidP="002C5958">
    <w:pPr>
      <w:tabs>
        <w:tab w:val="right" w:pos="3856"/>
        <w:tab w:val="center" w:pos="4536"/>
        <w:tab w:val="left" w:pos="5387"/>
        <w:tab w:val="right" w:pos="9072"/>
      </w:tabs>
      <w:spacing w:after="0"/>
      <w:jc w:val="right"/>
    </w:pPr>
    <w:r w:rsidRPr="002C5958">
      <w:rPr>
        <w:rFonts w:ascii="Arial" w:hAnsi="Arial" w:cs="Arial"/>
        <w:sz w:val="12"/>
        <w:szCs w:val="12"/>
        <w:lang w:val="de-DE" w:eastAsia="de-DE"/>
      </w:rPr>
      <w:t>mm/</w:t>
    </w:r>
    <w:proofErr w:type="spellStart"/>
    <w:r w:rsidRPr="002C5958">
      <w:rPr>
        <w:rFonts w:ascii="Arial" w:hAnsi="Arial" w:cs="Arial"/>
        <w:sz w:val="12"/>
        <w:szCs w:val="12"/>
        <w:lang w:val="de-DE" w:eastAsia="de-DE"/>
      </w:rPr>
      <w:t>adn</w:t>
    </w:r>
    <w:proofErr w:type="spellEnd"/>
    <w:r w:rsidRPr="002C5958">
      <w:rPr>
        <w:rFonts w:ascii="Arial" w:hAnsi="Arial" w:cs="Arial"/>
        <w:sz w:val="12"/>
        <w:szCs w:val="12"/>
        <w:lang w:val="de-DE" w:eastAsia="de-DE"/>
      </w:rPr>
      <w:t>/wp15ac2/2018/</w:t>
    </w:r>
    <w:r w:rsidR="0088718F">
      <w:rPr>
        <w:rFonts w:ascii="Arial" w:hAnsi="Arial" w:cs="Arial"/>
        <w:sz w:val="12"/>
        <w:szCs w:val="12"/>
        <w:lang w:val="de-DE" w:eastAsia="de-DE"/>
      </w:rPr>
      <w:t>45</w:t>
    </w:r>
    <w:r>
      <w:rPr>
        <w:rFonts w:ascii="Arial" w:eastAsia="Arial" w:hAnsi="Arial" w:cs="Arial"/>
        <w:sz w:val="12"/>
        <w:szCs w:val="12"/>
        <w:lang w:val="de-DE" w:eastAsia="de-DE"/>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4AE" w:rsidRDefault="00F424AE">
      <w:pPr>
        <w:spacing w:after="0"/>
      </w:pPr>
      <w:r>
        <w:separator/>
      </w:r>
    </w:p>
  </w:footnote>
  <w:footnote w:type="continuationSeparator" w:id="0">
    <w:p w:rsidR="00F424AE" w:rsidRDefault="00F424AE">
      <w:pPr>
        <w:spacing w:after="0"/>
        <w:rPr>
          <w:u w:val="single"/>
        </w:rPr>
      </w:pPr>
      <w:r>
        <w:rPr>
          <w:u w:val="single"/>
        </w:rPr>
        <w:tab/>
      </w:r>
      <w:r>
        <w:rPr>
          <w:u w:val="single"/>
        </w:rPr>
        <w:tab/>
      </w:r>
      <w:r>
        <w:rPr>
          <w:u w:val="single"/>
        </w:rPr>
        <w:tab/>
      </w:r>
      <w:r>
        <w:rPr>
          <w:u w:val="single"/>
        </w:rPr>
        <w:tab/>
      </w:r>
    </w:p>
  </w:footnote>
  <w:footnote w:type="continuationNotice" w:id="1">
    <w:p w:rsidR="00F424AE" w:rsidRDefault="00F424AE">
      <w:pPr>
        <w:spacing w:after="0"/>
      </w:pPr>
    </w:p>
  </w:footnote>
  <w:footnote w:id="2">
    <w:p w:rsidR="005379ED" w:rsidRPr="00420DC3" w:rsidRDefault="005379ED" w:rsidP="00096154">
      <w:pPr>
        <w:pStyle w:val="FootnoteText"/>
        <w:spacing w:after="0"/>
        <w:ind w:left="284" w:hanging="284"/>
        <w:rPr>
          <w:sz w:val="16"/>
          <w:szCs w:val="16"/>
          <w:lang w:val="de-DE"/>
        </w:rPr>
      </w:pPr>
      <w:r w:rsidRPr="00420DC3">
        <w:rPr>
          <w:rStyle w:val="FootnoteReference"/>
          <w:sz w:val="16"/>
          <w:szCs w:val="16"/>
        </w:rPr>
        <w:footnoteRef/>
      </w:r>
      <w:r w:rsidRPr="00420DC3">
        <w:rPr>
          <w:sz w:val="16"/>
          <w:szCs w:val="16"/>
          <w:lang w:val="de-DE"/>
        </w:rPr>
        <w:t xml:space="preserve"> </w:t>
      </w:r>
      <w:r w:rsidRPr="00420DC3">
        <w:rPr>
          <w:sz w:val="16"/>
          <w:szCs w:val="16"/>
          <w:lang w:val="de-DE"/>
        </w:rPr>
        <w:tab/>
        <w:t>Von der UN-ECE in Englisch, Französisch und Russisch unter dem Aktenzeichen ECE/TRANS/WP.15/AC.2/201</w:t>
      </w:r>
      <w:r>
        <w:rPr>
          <w:sz w:val="16"/>
          <w:szCs w:val="16"/>
          <w:lang w:val="de-DE"/>
        </w:rPr>
        <w:t>8</w:t>
      </w:r>
      <w:r w:rsidRPr="00420DC3">
        <w:rPr>
          <w:sz w:val="16"/>
          <w:szCs w:val="16"/>
          <w:lang w:val="de-DE"/>
        </w:rPr>
        <w:t>/</w:t>
      </w:r>
      <w:r w:rsidR="0088718F">
        <w:rPr>
          <w:sz w:val="16"/>
          <w:szCs w:val="16"/>
          <w:lang w:val="de-DE"/>
        </w:rPr>
        <w:t>45</w:t>
      </w:r>
      <w:r w:rsidRPr="00420DC3">
        <w:rPr>
          <w:sz w:val="16"/>
          <w:szCs w:val="16"/>
          <w:lang w:val="de-DE"/>
        </w:rPr>
        <w:t xml:space="preserve"> verteilt.</w:t>
      </w:r>
    </w:p>
  </w:footnote>
  <w:footnote w:id="3">
    <w:p w:rsidR="005379ED" w:rsidRPr="00420DC3" w:rsidRDefault="005379ED" w:rsidP="002C5958">
      <w:pPr>
        <w:pStyle w:val="FootnoteText"/>
        <w:tabs>
          <w:tab w:val="left" w:pos="284"/>
        </w:tabs>
        <w:ind w:left="284" w:hanging="284"/>
        <w:rPr>
          <w:sz w:val="16"/>
          <w:szCs w:val="16"/>
          <w:lang w:val="de-DE"/>
        </w:rPr>
      </w:pPr>
      <w:r w:rsidRPr="00420DC3">
        <w:rPr>
          <w:rStyle w:val="FootnoteReference"/>
          <w:sz w:val="16"/>
          <w:szCs w:val="16"/>
        </w:rPr>
        <w:footnoteRef/>
      </w:r>
      <w:r w:rsidRPr="00420DC3">
        <w:rPr>
          <w:sz w:val="16"/>
          <w:szCs w:val="16"/>
          <w:lang w:val="de-DE"/>
        </w:rPr>
        <w:t xml:space="preserve"> </w:t>
      </w:r>
      <w:r w:rsidRPr="00420DC3">
        <w:rPr>
          <w:sz w:val="16"/>
          <w:szCs w:val="16"/>
          <w:lang w:val="de-DE"/>
        </w:rPr>
        <w:tab/>
      </w:r>
      <w:r w:rsidR="002C5958" w:rsidRPr="002C5958">
        <w:rPr>
          <w:sz w:val="16"/>
          <w:szCs w:val="16"/>
          <w:lang w:val="de-DE" w:eastAsia="de-DE"/>
        </w:rPr>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20E" w:rsidRPr="00C1620E" w:rsidRDefault="00C1620E" w:rsidP="00C1620E">
    <w:pPr>
      <w:tabs>
        <w:tab w:val="center" w:pos="4320"/>
        <w:tab w:val="right" w:pos="8640"/>
      </w:tabs>
      <w:spacing w:after="0"/>
      <w:rPr>
        <w:rFonts w:ascii="Arial" w:hAnsi="Arial" w:cs="Arial"/>
        <w:sz w:val="16"/>
        <w:szCs w:val="16"/>
      </w:rPr>
    </w:pPr>
    <w:r w:rsidRPr="00C1620E">
      <w:rPr>
        <w:rFonts w:ascii="Arial" w:hAnsi="Arial" w:cs="Arial"/>
        <w:sz w:val="16"/>
        <w:szCs w:val="16"/>
      </w:rPr>
      <w:t>CCNR-ZKR/ADN/WP.15/AC.2/2018/</w:t>
    </w:r>
    <w:r w:rsidR="0088718F">
      <w:rPr>
        <w:rFonts w:ascii="Arial" w:hAnsi="Arial" w:cs="Arial"/>
        <w:sz w:val="16"/>
        <w:szCs w:val="16"/>
      </w:rPr>
      <w:t>45</w:t>
    </w:r>
  </w:p>
  <w:p w:rsidR="00C1620E" w:rsidRPr="00226EA3" w:rsidRDefault="00C1620E" w:rsidP="00F20225">
    <w:pPr>
      <w:pStyle w:val="Header"/>
      <w:spacing w:after="0"/>
      <w:rPr>
        <w:rFonts w:ascii="Arial" w:hAnsi="Arial" w:cs="Arial"/>
        <w:sz w:val="16"/>
        <w:szCs w:val="16"/>
      </w:rPr>
    </w:pPr>
    <w:proofErr w:type="spellStart"/>
    <w:r>
      <w:rPr>
        <w:rFonts w:ascii="Arial" w:hAnsi="Arial" w:cs="Arial"/>
        <w:sz w:val="16"/>
        <w:szCs w:val="16"/>
      </w:rPr>
      <w:t>Seite</w:t>
    </w:r>
    <w:proofErr w:type="spellEnd"/>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DB12D2">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20E" w:rsidRPr="00226EA3" w:rsidRDefault="00C1620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CCNR/ZKR/ADN/WP.15/AC.2/2015/19</w:t>
    </w:r>
  </w:p>
  <w:p w:rsidR="00C1620E" w:rsidRPr="00226EA3" w:rsidRDefault="00C1620E" w:rsidP="00226EA3">
    <w:pPr>
      <w:pStyle w:val="Header"/>
      <w:tabs>
        <w:tab w:val="clear" w:pos="4320"/>
        <w:tab w:val="clear" w:pos="8640"/>
        <w:tab w:val="left" w:pos="5640"/>
        <w:tab w:val="left" w:pos="6803"/>
      </w:tabs>
      <w:spacing w:after="0"/>
      <w:jc w:val="right"/>
      <w:rPr>
        <w:rFonts w:ascii="Arial" w:hAnsi="Arial" w:cs="Arial"/>
        <w:sz w:val="16"/>
        <w:szCs w:val="16"/>
      </w:rPr>
    </w:pPr>
    <w:proofErr w:type="spellStart"/>
    <w:r>
      <w:rPr>
        <w:rFonts w:ascii="Arial" w:hAnsi="Arial" w:cs="Arial"/>
        <w:sz w:val="16"/>
        <w:szCs w:val="16"/>
      </w:rPr>
      <w:t>Seite</w:t>
    </w:r>
    <w:proofErr w:type="spellEnd"/>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DB12D2">
      <w:rPr>
        <w:rFonts w:ascii="Arial" w:hAnsi="Arial" w:cs="Arial"/>
        <w:noProof/>
        <w:sz w:val="16"/>
        <w:szCs w:val="16"/>
      </w:rPr>
      <w:t>5</w:t>
    </w:r>
    <w:r w:rsidRPr="00226EA3">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20E" w:rsidRPr="00C1620E" w:rsidRDefault="00C1620E" w:rsidP="00C1620E">
    <w:pPr>
      <w:tabs>
        <w:tab w:val="center" w:pos="4320"/>
        <w:tab w:val="right" w:pos="8640"/>
      </w:tabs>
      <w:spacing w:after="0"/>
      <w:rPr>
        <w:rFonts w:ascii="Arial" w:hAnsi="Arial" w:cs="Arial"/>
        <w:sz w:val="16"/>
        <w:szCs w:val="16"/>
      </w:rPr>
    </w:pPr>
    <w:r w:rsidRPr="00C1620E">
      <w:rPr>
        <w:rFonts w:ascii="Arial" w:hAnsi="Arial" w:cs="Arial"/>
        <w:sz w:val="16"/>
        <w:szCs w:val="16"/>
      </w:rPr>
      <w:t>CCNR-ZKR/ADN/WP.15/AC.2/2018/</w:t>
    </w:r>
    <w:r w:rsidR="0088718F">
      <w:rPr>
        <w:rFonts w:ascii="Arial" w:hAnsi="Arial" w:cs="Arial"/>
        <w:sz w:val="16"/>
        <w:szCs w:val="16"/>
      </w:rPr>
      <w:t>45</w:t>
    </w:r>
  </w:p>
  <w:p w:rsidR="00C225AA" w:rsidRDefault="00C225AA" w:rsidP="00C225AA">
    <w:pPr>
      <w:pStyle w:val="Header"/>
      <w:spacing w:after="0"/>
    </w:pPr>
    <w:proofErr w:type="spellStart"/>
    <w:r>
      <w:rPr>
        <w:rFonts w:ascii="Arial" w:hAnsi="Arial" w:cs="Arial"/>
        <w:sz w:val="16"/>
        <w:szCs w:val="16"/>
      </w:rPr>
      <w:t>Seite</w:t>
    </w:r>
    <w:proofErr w:type="spellEnd"/>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124C84">
      <w:rPr>
        <w:rFonts w:ascii="Arial" w:hAnsi="Arial" w:cs="Arial"/>
        <w:noProof/>
        <w:sz w:val="16"/>
        <w:szCs w:val="16"/>
      </w:rPr>
      <w:t>4</w:t>
    </w:r>
    <w:r w:rsidRPr="00226EA3">
      <w:rPr>
        <w:rFonts w:ascii="Arial" w:hAnsi="Arial" w:cs="Arial"/>
        <w:sz w:val="16"/>
        <w:szCs w:val="16"/>
      </w:rPr>
      <w:fldChar w:fldCharType="end"/>
    </w:r>
  </w:p>
  <w:p w:rsidR="00C225AA" w:rsidRDefault="00C22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20E" w:rsidRDefault="00C1620E" w:rsidP="00C1620E">
    <w:pPr>
      <w:pStyle w:val="Header"/>
      <w:spacing w:after="0"/>
      <w:jc w:val="right"/>
    </w:pPr>
    <w:proofErr w:type="spellStart"/>
    <w:r>
      <w:rPr>
        <w:rFonts w:ascii="Arial" w:hAnsi="Arial" w:cs="Arial"/>
        <w:sz w:val="16"/>
        <w:szCs w:val="16"/>
      </w:rPr>
      <w:t>Seite</w:t>
    </w:r>
    <w:proofErr w:type="spellEnd"/>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DB12D2">
      <w:rPr>
        <w:rFonts w:ascii="Arial" w:hAnsi="Arial" w:cs="Arial"/>
        <w:noProof/>
        <w:sz w:val="16"/>
        <w:szCs w:val="16"/>
      </w:rPr>
      <w:t>4</w:t>
    </w:r>
    <w:r w:rsidRPr="00226EA3">
      <w:rPr>
        <w:rFonts w:ascii="Arial" w:hAnsi="Arial" w:cs="Arial"/>
        <w:sz w:val="16"/>
        <w:szCs w:val="16"/>
      </w:rPr>
      <w:fldChar w:fldCharType="end"/>
    </w:r>
  </w:p>
  <w:p w:rsidR="00C1620E" w:rsidRDefault="00C1620E" w:rsidP="00C1620E">
    <w:pPr>
      <w:tabs>
        <w:tab w:val="center" w:pos="4320"/>
        <w:tab w:val="right" w:pos="8640"/>
      </w:tabs>
      <w:spacing w:after="0"/>
      <w:jc w:val="right"/>
    </w:pPr>
    <w:r w:rsidRPr="00C1620E">
      <w:rPr>
        <w:rFonts w:ascii="Arial" w:hAnsi="Arial" w:cs="Arial"/>
        <w:sz w:val="16"/>
        <w:szCs w:val="16"/>
      </w:rPr>
      <w:t>CCNR-ZKR/ADN/WP.15/AC.2/2018/</w:t>
    </w:r>
    <w:r w:rsidR="0088718F">
      <w:rPr>
        <w:rFonts w:ascii="Arial" w:hAnsi="Arial" w:cs="Arial"/>
        <w:sz w:val="16"/>
        <w:szCs w:val="16"/>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1"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0"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2"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4"/>
  </w:num>
  <w:num w:numId="2">
    <w:abstractNumId w:val="10"/>
  </w:num>
  <w:num w:numId="3">
    <w:abstractNumId w:val="5"/>
  </w:num>
  <w:num w:numId="4">
    <w:abstractNumId w:val="12"/>
  </w:num>
  <w:num w:numId="5">
    <w:abstractNumId w:val="0"/>
  </w:num>
  <w:num w:numId="6">
    <w:abstractNumId w:val="25"/>
  </w:num>
  <w:num w:numId="7">
    <w:abstractNumId w:val="17"/>
  </w:num>
  <w:num w:numId="8">
    <w:abstractNumId w:val="6"/>
  </w:num>
  <w:num w:numId="9">
    <w:abstractNumId w:val="7"/>
  </w:num>
  <w:num w:numId="10">
    <w:abstractNumId w:val="9"/>
  </w:num>
  <w:num w:numId="11">
    <w:abstractNumId w:val="13"/>
  </w:num>
  <w:num w:numId="12">
    <w:abstractNumId w:val="23"/>
  </w:num>
  <w:num w:numId="13">
    <w:abstractNumId w:val="1"/>
  </w:num>
  <w:num w:numId="14">
    <w:abstractNumId w:val="8"/>
  </w:num>
  <w:num w:numId="15">
    <w:abstractNumId w:val="16"/>
  </w:num>
  <w:num w:numId="16">
    <w:abstractNumId w:val="15"/>
  </w:num>
  <w:num w:numId="17">
    <w:abstractNumId w:val="2"/>
  </w:num>
  <w:num w:numId="18">
    <w:abstractNumId w:val="24"/>
  </w:num>
  <w:num w:numId="19">
    <w:abstractNumId w:val="18"/>
  </w:num>
  <w:num w:numId="20">
    <w:abstractNumId w:val="11"/>
  </w:num>
  <w:num w:numId="21">
    <w:abstractNumId w:val="22"/>
  </w:num>
  <w:num w:numId="22">
    <w:abstractNumId w:val="21"/>
  </w:num>
  <w:num w:numId="23">
    <w:abstractNumId w:val="4"/>
  </w:num>
  <w:num w:numId="24">
    <w:abstractNumId w:val="19"/>
  </w:num>
  <w:num w:numId="25">
    <w:abstractNumId w:val="2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146"/>
    <w:rsid w:val="0000299C"/>
    <w:rsid w:val="000038C0"/>
    <w:rsid w:val="00007F6A"/>
    <w:rsid w:val="000151E1"/>
    <w:rsid w:val="000217BA"/>
    <w:rsid w:val="0002700B"/>
    <w:rsid w:val="0002723B"/>
    <w:rsid w:val="00034366"/>
    <w:rsid w:val="000366B7"/>
    <w:rsid w:val="00037033"/>
    <w:rsid w:val="000400C4"/>
    <w:rsid w:val="00041312"/>
    <w:rsid w:val="0004300F"/>
    <w:rsid w:val="00044BFC"/>
    <w:rsid w:val="000500BF"/>
    <w:rsid w:val="00050114"/>
    <w:rsid w:val="000516AA"/>
    <w:rsid w:val="0005197F"/>
    <w:rsid w:val="00054A90"/>
    <w:rsid w:val="000558EB"/>
    <w:rsid w:val="0005758B"/>
    <w:rsid w:val="00057A93"/>
    <w:rsid w:val="00060CCD"/>
    <w:rsid w:val="00061329"/>
    <w:rsid w:val="00061AD3"/>
    <w:rsid w:val="00064AC7"/>
    <w:rsid w:val="000667CE"/>
    <w:rsid w:val="00067498"/>
    <w:rsid w:val="00067BD0"/>
    <w:rsid w:val="00070E56"/>
    <w:rsid w:val="00071B40"/>
    <w:rsid w:val="00072140"/>
    <w:rsid w:val="00073EA8"/>
    <w:rsid w:val="00073FB6"/>
    <w:rsid w:val="0007426C"/>
    <w:rsid w:val="00077405"/>
    <w:rsid w:val="0008020B"/>
    <w:rsid w:val="00082E74"/>
    <w:rsid w:val="00093086"/>
    <w:rsid w:val="00095DAD"/>
    <w:rsid w:val="00096154"/>
    <w:rsid w:val="000A3277"/>
    <w:rsid w:val="000A6F97"/>
    <w:rsid w:val="000B1DCB"/>
    <w:rsid w:val="000B25D0"/>
    <w:rsid w:val="000B2FCE"/>
    <w:rsid w:val="000B360C"/>
    <w:rsid w:val="000B3F5E"/>
    <w:rsid w:val="000B697D"/>
    <w:rsid w:val="000C0E49"/>
    <w:rsid w:val="000C100E"/>
    <w:rsid w:val="000C120B"/>
    <w:rsid w:val="000C3D08"/>
    <w:rsid w:val="000C618B"/>
    <w:rsid w:val="000D3032"/>
    <w:rsid w:val="000D4774"/>
    <w:rsid w:val="000D561F"/>
    <w:rsid w:val="000E06E4"/>
    <w:rsid w:val="000E5406"/>
    <w:rsid w:val="000E71CC"/>
    <w:rsid w:val="000F3523"/>
    <w:rsid w:val="000F3B3B"/>
    <w:rsid w:val="000F574C"/>
    <w:rsid w:val="00106C1B"/>
    <w:rsid w:val="00107DFC"/>
    <w:rsid w:val="00111B8A"/>
    <w:rsid w:val="00114C05"/>
    <w:rsid w:val="00115689"/>
    <w:rsid w:val="001162B6"/>
    <w:rsid w:val="001168E3"/>
    <w:rsid w:val="0012049D"/>
    <w:rsid w:val="00122163"/>
    <w:rsid w:val="00124C84"/>
    <w:rsid w:val="0012596F"/>
    <w:rsid w:val="001309F5"/>
    <w:rsid w:val="00131898"/>
    <w:rsid w:val="00131BD6"/>
    <w:rsid w:val="0013308C"/>
    <w:rsid w:val="0013415E"/>
    <w:rsid w:val="001366D6"/>
    <w:rsid w:val="00137616"/>
    <w:rsid w:val="00141BE2"/>
    <w:rsid w:val="00143FA2"/>
    <w:rsid w:val="0014423E"/>
    <w:rsid w:val="00144311"/>
    <w:rsid w:val="00147198"/>
    <w:rsid w:val="00152AD7"/>
    <w:rsid w:val="00152E73"/>
    <w:rsid w:val="0015395A"/>
    <w:rsid w:val="0015581D"/>
    <w:rsid w:val="00160FD5"/>
    <w:rsid w:val="0016201E"/>
    <w:rsid w:val="00163706"/>
    <w:rsid w:val="00164C45"/>
    <w:rsid w:val="001665F2"/>
    <w:rsid w:val="001675D0"/>
    <w:rsid w:val="00171BE7"/>
    <w:rsid w:val="00171E75"/>
    <w:rsid w:val="00172BDF"/>
    <w:rsid w:val="00174FF1"/>
    <w:rsid w:val="001770A9"/>
    <w:rsid w:val="001811D0"/>
    <w:rsid w:val="001817AF"/>
    <w:rsid w:val="00181ECA"/>
    <w:rsid w:val="001824E1"/>
    <w:rsid w:val="001828CA"/>
    <w:rsid w:val="001853A3"/>
    <w:rsid w:val="00186BF8"/>
    <w:rsid w:val="00186CCD"/>
    <w:rsid w:val="00187038"/>
    <w:rsid w:val="001902EF"/>
    <w:rsid w:val="001919B1"/>
    <w:rsid w:val="00192271"/>
    <w:rsid w:val="00192DC1"/>
    <w:rsid w:val="001A04FA"/>
    <w:rsid w:val="001A1361"/>
    <w:rsid w:val="001A6F70"/>
    <w:rsid w:val="001A705C"/>
    <w:rsid w:val="001A727C"/>
    <w:rsid w:val="001B478E"/>
    <w:rsid w:val="001B5295"/>
    <w:rsid w:val="001B57CF"/>
    <w:rsid w:val="001B731A"/>
    <w:rsid w:val="001C024F"/>
    <w:rsid w:val="001C43FA"/>
    <w:rsid w:val="001C6029"/>
    <w:rsid w:val="001E55C3"/>
    <w:rsid w:val="001F09CC"/>
    <w:rsid w:val="001F1079"/>
    <w:rsid w:val="001F1F05"/>
    <w:rsid w:val="001F209B"/>
    <w:rsid w:val="001F42B0"/>
    <w:rsid w:val="001F4AD7"/>
    <w:rsid w:val="001F52BC"/>
    <w:rsid w:val="001F7B38"/>
    <w:rsid w:val="00201C24"/>
    <w:rsid w:val="00207C16"/>
    <w:rsid w:val="00211B4E"/>
    <w:rsid w:val="00211CEC"/>
    <w:rsid w:val="002169C7"/>
    <w:rsid w:val="00216D73"/>
    <w:rsid w:val="00217CBA"/>
    <w:rsid w:val="00222E79"/>
    <w:rsid w:val="00226EA3"/>
    <w:rsid w:val="00230BAD"/>
    <w:rsid w:val="00232F8C"/>
    <w:rsid w:val="0023654A"/>
    <w:rsid w:val="00240A17"/>
    <w:rsid w:val="00241778"/>
    <w:rsid w:val="0024315A"/>
    <w:rsid w:val="00243860"/>
    <w:rsid w:val="00245760"/>
    <w:rsid w:val="00245CD7"/>
    <w:rsid w:val="002471F5"/>
    <w:rsid w:val="00252C35"/>
    <w:rsid w:val="00256038"/>
    <w:rsid w:val="00256BE9"/>
    <w:rsid w:val="0025725D"/>
    <w:rsid w:val="002613AC"/>
    <w:rsid w:val="00262A49"/>
    <w:rsid w:val="00264205"/>
    <w:rsid w:val="002725E1"/>
    <w:rsid w:val="00273048"/>
    <w:rsid w:val="00273ECF"/>
    <w:rsid w:val="0028124B"/>
    <w:rsid w:val="002850A9"/>
    <w:rsid w:val="002852DB"/>
    <w:rsid w:val="002925CC"/>
    <w:rsid w:val="00292B45"/>
    <w:rsid w:val="00293062"/>
    <w:rsid w:val="00293A26"/>
    <w:rsid w:val="00294E58"/>
    <w:rsid w:val="002953F1"/>
    <w:rsid w:val="002959A3"/>
    <w:rsid w:val="00297B40"/>
    <w:rsid w:val="00297C02"/>
    <w:rsid w:val="002A00FC"/>
    <w:rsid w:val="002A213D"/>
    <w:rsid w:val="002A26E5"/>
    <w:rsid w:val="002A5AC5"/>
    <w:rsid w:val="002B1104"/>
    <w:rsid w:val="002B335D"/>
    <w:rsid w:val="002B5575"/>
    <w:rsid w:val="002B75F4"/>
    <w:rsid w:val="002B7B77"/>
    <w:rsid w:val="002C34CD"/>
    <w:rsid w:val="002C5958"/>
    <w:rsid w:val="002C5D21"/>
    <w:rsid w:val="002C6003"/>
    <w:rsid w:val="002C63BE"/>
    <w:rsid w:val="002C7555"/>
    <w:rsid w:val="002C758C"/>
    <w:rsid w:val="002D134D"/>
    <w:rsid w:val="002D13CC"/>
    <w:rsid w:val="002D4BDB"/>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300DC1"/>
    <w:rsid w:val="00301CFC"/>
    <w:rsid w:val="00301EB1"/>
    <w:rsid w:val="00302FCA"/>
    <w:rsid w:val="00303F98"/>
    <w:rsid w:val="00306640"/>
    <w:rsid w:val="00311520"/>
    <w:rsid w:val="003119F2"/>
    <w:rsid w:val="00311C72"/>
    <w:rsid w:val="0031257D"/>
    <w:rsid w:val="0031273A"/>
    <w:rsid w:val="003146BA"/>
    <w:rsid w:val="003148C5"/>
    <w:rsid w:val="00315C33"/>
    <w:rsid w:val="0031672F"/>
    <w:rsid w:val="0031701F"/>
    <w:rsid w:val="00321463"/>
    <w:rsid w:val="00321655"/>
    <w:rsid w:val="003240A1"/>
    <w:rsid w:val="003241E3"/>
    <w:rsid w:val="00325611"/>
    <w:rsid w:val="0033076D"/>
    <w:rsid w:val="00333327"/>
    <w:rsid w:val="0033405A"/>
    <w:rsid w:val="003371B3"/>
    <w:rsid w:val="003378C4"/>
    <w:rsid w:val="0034431A"/>
    <w:rsid w:val="0035078B"/>
    <w:rsid w:val="00350951"/>
    <w:rsid w:val="00352C95"/>
    <w:rsid w:val="00352F30"/>
    <w:rsid w:val="0035388D"/>
    <w:rsid w:val="00354FB0"/>
    <w:rsid w:val="00356BA4"/>
    <w:rsid w:val="00357395"/>
    <w:rsid w:val="00357FB2"/>
    <w:rsid w:val="00360661"/>
    <w:rsid w:val="00360945"/>
    <w:rsid w:val="00360A29"/>
    <w:rsid w:val="00361D58"/>
    <w:rsid w:val="0037285C"/>
    <w:rsid w:val="00372C33"/>
    <w:rsid w:val="00375625"/>
    <w:rsid w:val="00375E4E"/>
    <w:rsid w:val="003775F5"/>
    <w:rsid w:val="00377B53"/>
    <w:rsid w:val="00380FFA"/>
    <w:rsid w:val="00381EBE"/>
    <w:rsid w:val="00385969"/>
    <w:rsid w:val="00385C45"/>
    <w:rsid w:val="00385FB2"/>
    <w:rsid w:val="00387E5C"/>
    <w:rsid w:val="00390BB7"/>
    <w:rsid w:val="003913D5"/>
    <w:rsid w:val="003927D1"/>
    <w:rsid w:val="00392D80"/>
    <w:rsid w:val="0039615E"/>
    <w:rsid w:val="00396812"/>
    <w:rsid w:val="003968A0"/>
    <w:rsid w:val="00396BD5"/>
    <w:rsid w:val="00396E3E"/>
    <w:rsid w:val="003A103A"/>
    <w:rsid w:val="003A142E"/>
    <w:rsid w:val="003A2C42"/>
    <w:rsid w:val="003A410E"/>
    <w:rsid w:val="003A4137"/>
    <w:rsid w:val="003A5CB0"/>
    <w:rsid w:val="003A6B3B"/>
    <w:rsid w:val="003B2AD6"/>
    <w:rsid w:val="003B51D5"/>
    <w:rsid w:val="003B565E"/>
    <w:rsid w:val="003B5C47"/>
    <w:rsid w:val="003C1B4B"/>
    <w:rsid w:val="003C242B"/>
    <w:rsid w:val="003C2B9A"/>
    <w:rsid w:val="003D07DF"/>
    <w:rsid w:val="003D0C6D"/>
    <w:rsid w:val="003D1551"/>
    <w:rsid w:val="003D1A3C"/>
    <w:rsid w:val="003D2C72"/>
    <w:rsid w:val="003D3C1B"/>
    <w:rsid w:val="003D3D3B"/>
    <w:rsid w:val="003D55E0"/>
    <w:rsid w:val="003D605F"/>
    <w:rsid w:val="003D6093"/>
    <w:rsid w:val="003D6959"/>
    <w:rsid w:val="003E200E"/>
    <w:rsid w:val="003E2A6D"/>
    <w:rsid w:val="003E3EF1"/>
    <w:rsid w:val="003E4185"/>
    <w:rsid w:val="003E45A3"/>
    <w:rsid w:val="003E4BEE"/>
    <w:rsid w:val="003E4D2B"/>
    <w:rsid w:val="003E5C85"/>
    <w:rsid w:val="003F1078"/>
    <w:rsid w:val="003F343E"/>
    <w:rsid w:val="003F42D3"/>
    <w:rsid w:val="003F50EF"/>
    <w:rsid w:val="00400C64"/>
    <w:rsid w:val="00401556"/>
    <w:rsid w:val="004017B5"/>
    <w:rsid w:val="00403245"/>
    <w:rsid w:val="004047B2"/>
    <w:rsid w:val="00405582"/>
    <w:rsid w:val="00413D2B"/>
    <w:rsid w:val="0041550B"/>
    <w:rsid w:val="0041579A"/>
    <w:rsid w:val="00415FF4"/>
    <w:rsid w:val="0041778F"/>
    <w:rsid w:val="00424CC3"/>
    <w:rsid w:val="0042684E"/>
    <w:rsid w:val="004277C7"/>
    <w:rsid w:val="00431FD0"/>
    <w:rsid w:val="004320DB"/>
    <w:rsid w:val="00434780"/>
    <w:rsid w:val="00435FBA"/>
    <w:rsid w:val="00444CFD"/>
    <w:rsid w:val="0045185F"/>
    <w:rsid w:val="00451F3B"/>
    <w:rsid w:val="00452288"/>
    <w:rsid w:val="004525D6"/>
    <w:rsid w:val="00453FF2"/>
    <w:rsid w:val="00460297"/>
    <w:rsid w:val="00464E2F"/>
    <w:rsid w:val="004669B8"/>
    <w:rsid w:val="00467EB8"/>
    <w:rsid w:val="0047033C"/>
    <w:rsid w:val="00470EAF"/>
    <w:rsid w:val="004721EA"/>
    <w:rsid w:val="00473011"/>
    <w:rsid w:val="0047312D"/>
    <w:rsid w:val="004752AA"/>
    <w:rsid w:val="00475CAE"/>
    <w:rsid w:val="0048017F"/>
    <w:rsid w:val="00482795"/>
    <w:rsid w:val="00482CBF"/>
    <w:rsid w:val="0048327E"/>
    <w:rsid w:val="00483AB8"/>
    <w:rsid w:val="00484D3D"/>
    <w:rsid w:val="00485603"/>
    <w:rsid w:val="004867AC"/>
    <w:rsid w:val="0048680A"/>
    <w:rsid w:val="00491BBA"/>
    <w:rsid w:val="004931BA"/>
    <w:rsid w:val="00493F3A"/>
    <w:rsid w:val="00497080"/>
    <w:rsid w:val="004A5A4A"/>
    <w:rsid w:val="004A62A6"/>
    <w:rsid w:val="004A70B5"/>
    <w:rsid w:val="004B12C7"/>
    <w:rsid w:val="004B1341"/>
    <w:rsid w:val="004B14EA"/>
    <w:rsid w:val="004B71E1"/>
    <w:rsid w:val="004C1A89"/>
    <w:rsid w:val="004C6E8E"/>
    <w:rsid w:val="004C730B"/>
    <w:rsid w:val="004C7D3E"/>
    <w:rsid w:val="004C7D6F"/>
    <w:rsid w:val="004D0ECF"/>
    <w:rsid w:val="004D17C6"/>
    <w:rsid w:val="004D290A"/>
    <w:rsid w:val="004D2EAD"/>
    <w:rsid w:val="004D345F"/>
    <w:rsid w:val="004D4389"/>
    <w:rsid w:val="004D682A"/>
    <w:rsid w:val="004D69F8"/>
    <w:rsid w:val="004D6CE9"/>
    <w:rsid w:val="004D74A8"/>
    <w:rsid w:val="004E0C85"/>
    <w:rsid w:val="004E1CB7"/>
    <w:rsid w:val="004E33F4"/>
    <w:rsid w:val="004E3467"/>
    <w:rsid w:val="004E3918"/>
    <w:rsid w:val="004E39CD"/>
    <w:rsid w:val="004E5AE9"/>
    <w:rsid w:val="004E609B"/>
    <w:rsid w:val="004F17AC"/>
    <w:rsid w:val="004F21B6"/>
    <w:rsid w:val="004F3218"/>
    <w:rsid w:val="004F44F6"/>
    <w:rsid w:val="004F669F"/>
    <w:rsid w:val="004F6F62"/>
    <w:rsid w:val="00501044"/>
    <w:rsid w:val="005028C1"/>
    <w:rsid w:val="00504561"/>
    <w:rsid w:val="00504FE6"/>
    <w:rsid w:val="00506EDE"/>
    <w:rsid w:val="00510DAE"/>
    <w:rsid w:val="0051579D"/>
    <w:rsid w:val="00520195"/>
    <w:rsid w:val="0052062B"/>
    <w:rsid w:val="005206AB"/>
    <w:rsid w:val="00521D94"/>
    <w:rsid w:val="00521F18"/>
    <w:rsid w:val="0052247E"/>
    <w:rsid w:val="005232E3"/>
    <w:rsid w:val="005241F0"/>
    <w:rsid w:val="00524311"/>
    <w:rsid w:val="00525173"/>
    <w:rsid w:val="00526388"/>
    <w:rsid w:val="005275C4"/>
    <w:rsid w:val="005302AD"/>
    <w:rsid w:val="0053272D"/>
    <w:rsid w:val="00532AFB"/>
    <w:rsid w:val="00532CD7"/>
    <w:rsid w:val="00534113"/>
    <w:rsid w:val="00534523"/>
    <w:rsid w:val="00534C16"/>
    <w:rsid w:val="00535D51"/>
    <w:rsid w:val="005379ED"/>
    <w:rsid w:val="00545E66"/>
    <w:rsid w:val="00550ADC"/>
    <w:rsid w:val="00550D9B"/>
    <w:rsid w:val="005525CA"/>
    <w:rsid w:val="00552F76"/>
    <w:rsid w:val="0055568E"/>
    <w:rsid w:val="00556D9C"/>
    <w:rsid w:val="00557099"/>
    <w:rsid w:val="00557DAC"/>
    <w:rsid w:val="00561CA6"/>
    <w:rsid w:val="00562BC7"/>
    <w:rsid w:val="0056334B"/>
    <w:rsid w:val="00564D7E"/>
    <w:rsid w:val="005664DA"/>
    <w:rsid w:val="00571CD2"/>
    <w:rsid w:val="00574037"/>
    <w:rsid w:val="00574306"/>
    <w:rsid w:val="00574F1F"/>
    <w:rsid w:val="00576A92"/>
    <w:rsid w:val="00580650"/>
    <w:rsid w:val="0058091D"/>
    <w:rsid w:val="00584634"/>
    <w:rsid w:val="00584873"/>
    <w:rsid w:val="0058574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7895"/>
    <w:rsid w:val="005B7ABF"/>
    <w:rsid w:val="005B7D89"/>
    <w:rsid w:val="005C042B"/>
    <w:rsid w:val="005C14F8"/>
    <w:rsid w:val="005C16F4"/>
    <w:rsid w:val="005C1C48"/>
    <w:rsid w:val="005C4896"/>
    <w:rsid w:val="005C742B"/>
    <w:rsid w:val="005D10B8"/>
    <w:rsid w:val="005D1B6E"/>
    <w:rsid w:val="005D23C3"/>
    <w:rsid w:val="005D462C"/>
    <w:rsid w:val="005D5010"/>
    <w:rsid w:val="005D6AB2"/>
    <w:rsid w:val="005D7A3F"/>
    <w:rsid w:val="005E0960"/>
    <w:rsid w:val="005E0ABD"/>
    <w:rsid w:val="005E450E"/>
    <w:rsid w:val="005E4558"/>
    <w:rsid w:val="005F4324"/>
    <w:rsid w:val="005F49E4"/>
    <w:rsid w:val="005F4F17"/>
    <w:rsid w:val="005F5A66"/>
    <w:rsid w:val="005F6C6E"/>
    <w:rsid w:val="005F7AFA"/>
    <w:rsid w:val="006010D9"/>
    <w:rsid w:val="00603538"/>
    <w:rsid w:val="006035A9"/>
    <w:rsid w:val="006071ED"/>
    <w:rsid w:val="00607392"/>
    <w:rsid w:val="0061282B"/>
    <w:rsid w:val="00615BE1"/>
    <w:rsid w:val="00616DFD"/>
    <w:rsid w:val="006177D0"/>
    <w:rsid w:val="00617821"/>
    <w:rsid w:val="006215A8"/>
    <w:rsid w:val="00623737"/>
    <w:rsid w:val="006237A3"/>
    <w:rsid w:val="00624AF3"/>
    <w:rsid w:val="006254A7"/>
    <w:rsid w:val="00632B6A"/>
    <w:rsid w:val="006346A6"/>
    <w:rsid w:val="0063521C"/>
    <w:rsid w:val="00636D08"/>
    <w:rsid w:val="006403C8"/>
    <w:rsid w:val="006415D0"/>
    <w:rsid w:val="006427B4"/>
    <w:rsid w:val="00642D96"/>
    <w:rsid w:val="00642FC8"/>
    <w:rsid w:val="00643488"/>
    <w:rsid w:val="0064348A"/>
    <w:rsid w:val="0064425A"/>
    <w:rsid w:val="00645F99"/>
    <w:rsid w:val="0064737B"/>
    <w:rsid w:val="00647AEE"/>
    <w:rsid w:val="00651653"/>
    <w:rsid w:val="00652372"/>
    <w:rsid w:val="006550C1"/>
    <w:rsid w:val="00656F5A"/>
    <w:rsid w:val="00660D06"/>
    <w:rsid w:val="00661D83"/>
    <w:rsid w:val="00662DED"/>
    <w:rsid w:val="00665F81"/>
    <w:rsid w:val="00666408"/>
    <w:rsid w:val="00667E99"/>
    <w:rsid w:val="00670009"/>
    <w:rsid w:val="00670847"/>
    <w:rsid w:val="006710C1"/>
    <w:rsid w:val="00673E42"/>
    <w:rsid w:val="00676230"/>
    <w:rsid w:val="0068283F"/>
    <w:rsid w:val="00687361"/>
    <w:rsid w:val="00690ADA"/>
    <w:rsid w:val="00690BDD"/>
    <w:rsid w:val="006929E3"/>
    <w:rsid w:val="00695570"/>
    <w:rsid w:val="00697D8B"/>
    <w:rsid w:val="006A3505"/>
    <w:rsid w:val="006A37D9"/>
    <w:rsid w:val="006A583B"/>
    <w:rsid w:val="006A73B5"/>
    <w:rsid w:val="006A7803"/>
    <w:rsid w:val="006B1A99"/>
    <w:rsid w:val="006B3A28"/>
    <w:rsid w:val="006B409D"/>
    <w:rsid w:val="006B439E"/>
    <w:rsid w:val="006B6840"/>
    <w:rsid w:val="006B74E9"/>
    <w:rsid w:val="006B7CD6"/>
    <w:rsid w:val="006C0F50"/>
    <w:rsid w:val="006C47D4"/>
    <w:rsid w:val="006C78BD"/>
    <w:rsid w:val="006C7BD1"/>
    <w:rsid w:val="006D04FB"/>
    <w:rsid w:val="006D07E9"/>
    <w:rsid w:val="006D1C95"/>
    <w:rsid w:val="006D375F"/>
    <w:rsid w:val="006D4D40"/>
    <w:rsid w:val="006D6CC3"/>
    <w:rsid w:val="006E0282"/>
    <w:rsid w:val="006E224E"/>
    <w:rsid w:val="006E2B98"/>
    <w:rsid w:val="006E4FB2"/>
    <w:rsid w:val="006E503C"/>
    <w:rsid w:val="006E5E0A"/>
    <w:rsid w:val="006E628C"/>
    <w:rsid w:val="006E6D0B"/>
    <w:rsid w:val="006F6522"/>
    <w:rsid w:val="006F6722"/>
    <w:rsid w:val="006F78EB"/>
    <w:rsid w:val="00703983"/>
    <w:rsid w:val="00705FBA"/>
    <w:rsid w:val="00707151"/>
    <w:rsid w:val="0071130B"/>
    <w:rsid w:val="00711C96"/>
    <w:rsid w:val="007124FA"/>
    <w:rsid w:val="00712D66"/>
    <w:rsid w:val="00713E8C"/>
    <w:rsid w:val="00714E16"/>
    <w:rsid w:val="00717656"/>
    <w:rsid w:val="007209DF"/>
    <w:rsid w:val="00720BC0"/>
    <w:rsid w:val="00720F7C"/>
    <w:rsid w:val="00721643"/>
    <w:rsid w:val="00722970"/>
    <w:rsid w:val="00723EB5"/>
    <w:rsid w:val="00723EE6"/>
    <w:rsid w:val="007242FE"/>
    <w:rsid w:val="007244CD"/>
    <w:rsid w:val="007249A6"/>
    <w:rsid w:val="0072642F"/>
    <w:rsid w:val="00730EC5"/>
    <w:rsid w:val="00732C7A"/>
    <w:rsid w:val="00733AFF"/>
    <w:rsid w:val="00736396"/>
    <w:rsid w:val="0073656A"/>
    <w:rsid w:val="00737F74"/>
    <w:rsid w:val="00740672"/>
    <w:rsid w:val="0075157E"/>
    <w:rsid w:val="00755AD5"/>
    <w:rsid w:val="00756996"/>
    <w:rsid w:val="00756D24"/>
    <w:rsid w:val="00765C89"/>
    <w:rsid w:val="00766C3D"/>
    <w:rsid w:val="00767A33"/>
    <w:rsid w:val="007741AF"/>
    <w:rsid w:val="007771AD"/>
    <w:rsid w:val="0077743D"/>
    <w:rsid w:val="00777B5A"/>
    <w:rsid w:val="00777C84"/>
    <w:rsid w:val="007840AA"/>
    <w:rsid w:val="00787CC8"/>
    <w:rsid w:val="00787D80"/>
    <w:rsid w:val="0079054B"/>
    <w:rsid w:val="00793B03"/>
    <w:rsid w:val="00795A5A"/>
    <w:rsid w:val="00796034"/>
    <w:rsid w:val="00796688"/>
    <w:rsid w:val="007A35AF"/>
    <w:rsid w:val="007B1970"/>
    <w:rsid w:val="007B4161"/>
    <w:rsid w:val="007B42F6"/>
    <w:rsid w:val="007B4310"/>
    <w:rsid w:val="007B5F64"/>
    <w:rsid w:val="007B6660"/>
    <w:rsid w:val="007C5820"/>
    <w:rsid w:val="007C68C9"/>
    <w:rsid w:val="007C76BD"/>
    <w:rsid w:val="007D10EE"/>
    <w:rsid w:val="007D479C"/>
    <w:rsid w:val="007D5C9D"/>
    <w:rsid w:val="007D6A34"/>
    <w:rsid w:val="007D75CB"/>
    <w:rsid w:val="007E3149"/>
    <w:rsid w:val="007E5972"/>
    <w:rsid w:val="007E68D0"/>
    <w:rsid w:val="007E7672"/>
    <w:rsid w:val="007F45B9"/>
    <w:rsid w:val="007F6403"/>
    <w:rsid w:val="00801740"/>
    <w:rsid w:val="0080210F"/>
    <w:rsid w:val="00805BE6"/>
    <w:rsid w:val="008103AD"/>
    <w:rsid w:val="008135B4"/>
    <w:rsid w:val="00813997"/>
    <w:rsid w:val="00815183"/>
    <w:rsid w:val="00816D36"/>
    <w:rsid w:val="0081737D"/>
    <w:rsid w:val="0082034F"/>
    <w:rsid w:val="008210C8"/>
    <w:rsid w:val="0082209E"/>
    <w:rsid w:val="00822FA5"/>
    <w:rsid w:val="0082770C"/>
    <w:rsid w:val="00830E22"/>
    <w:rsid w:val="00834E6B"/>
    <w:rsid w:val="00835CE3"/>
    <w:rsid w:val="00843972"/>
    <w:rsid w:val="008457DC"/>
    <w:rsid w:val="00845810"/>
    <w:rsid w:val="00845A5E"/>
    <w:rsid w:val="00845B47"/>
    <w:rsid w:val="00847985"/>
    <w:rsid w:val="00850CEE"/>
    <w:rsid w:val="008532FF"/>
    <w:rsid w:val="008540C5"/>
    <w:rsid w:val="008548F1"/>
    <w:rsid w:val="00854A1E"/>
    <w:rsid w:val="00854C16"/>
    <w:rsid w:val="008567CB"/>
    <w:rsid w:val="00861149"/>
    <w:rsid w:val="0086128F"/>
    <w:rsid w:val="008620F0"/>
    <w:rsid w:val="00862626"/>
    <w:rsid w:val="00863DE4"/>
    <w:rsid w:val="00871AE4"/>
    <w:rsid w:val="00871DCE"/>
    <w:rsid w:val="0087499F"/>
    <w:rsid w:val="008757CE"/>
    <w:rsid w:val="00876E72"/>
    <w:rsid w:val="0087790A"/>
    <w:rsid w:val="008804A8"/>
    <w:rsid w:val="00881A3D"/>
    <w:rsid w:val="00881C7E"/>
    <w:rsid w:val="00881DBA"/>
    <w:rsid w:val="0088718F"/>
    <w:rsid w:val="00893829"/>
    <w:rsid w:val="00896461"/>
    <w:rsid w:val="008966F8"/>
    <w:rsid w:val="00896B34"/>
    <w:rsid w:val="00897EC0"/>
    <w:rsid w:val="008A1E11"/>
    <w:rsid w:val="008A25B5"/>
    <w:rsid w:val="008A2AC3"/>
    <w:rsid w:val="008A2F33"/>
    <w:rsid w:val="008A67F3"/>
    <w:rsid w:val="008A7ECC"/>
    <w:rsid w:val="008B1A8E"/>
    <w:rsid w:val="008B2183"/>
    <w:rsid w:val="008B22A0"/>
    <w:rsid w:val="008B36BE"/>
    <w:rsid w:val="008B4377"/>
    <w:rsid w:val="008B5108"/>
    <w:rsid w:val="008B548D"/>
    <w:rsid w:val="008B6991"/>
    <w:rsid w:val="008B793E"/>
    <w:rsid w:val="008C0126"/>
    <w:rsid w:val="008C07C6"/>
    <w:rsid w:val="008C1BEE"/>
    <w:rsid w:val="008C2DDB"/>
    <w:rsid w:val="008C36B5"/>
    <w:rsid w:val="008C659B"/>
    <w:rsid w:val="008D0F23"/>
    <w:rsid w:val="008D472C"/>
    <w:rsid w:val="008D659E"/>
    <w:rsid w:val="008E0593"/>
    <w:rsid w:val="008E133C"/>
    <w:rsid w:val="008E4E36"/>
    <w:rsid w:val="008F0210"/>
    <w:rsid w:val="008F3F20"/>
    <w:rsid w:val="008F3FEB"/>
    <w:rsid w:val="008F55B1"/>
    <w:rsid w:val="008F5EB6"/>
    <w:rsid w:val="008F602B"/>
    <w:rsid w:val="008F60C8"/>
    <w:rsid w:val="008F7A9D"/>
    <w:rsid w:val="008F7EF3"/>
    <w:rsid w:val="00905493"/>
    <w:rsid w:val="00907569"/>
    <w:rsid w:val="00907B4B"/>
    <w:rsid w:val="00907BC9"/>
    <w:rsid w:val="0091058F"/>
    <w:rsid w:val="0091229C"/>
    <w:rsid w:val="00912349"/>
    <w:rsid w:val="00916F16"/>
    <w:rsid w:val="00917269"/>
    <w:rsid w:val="00920778"/>
    <w:rsid w:val="0092087D"/>
    <w:rsid w:val="009247F8"/>
    <w:rsid w:val="00924B83"/>
    <w:rsid w:val="009253F7"/>
    <w:rsid w:val="00926D80"/>
    <w:rsid w:val="00927375"/>
    <w:rsid w:val="009345A9"/>
    <w:rsid w:val="00934FDB"/>
    <w:rsid w:val="00937007"/>
    <w:rsid w:val="00937E71"/>
    <w:rsid w:val="00941577"/>
    <w:rsid w:val="00942BC4"/>
    <w:rsid w:val="00943ECB"/>
    <w:rsid w:val="009468B6"/>
    <w:rsid w:val="0095070F"/>
    <w:rsid w:val="009523A3"/>
    <w:rsid w:val="00954489"/>
    <w:rsid w:val="00956CE2"/>
    <w:rsid w:val="00960A3C"/>
    <w:rsid w:val="00963140"/>
    <w:rsid w:val="00964AF5"/>
    <w:rsid w:val="00964E49"/>
    <w:rsid w:val="00972D99"/>
    <w:rsid w:val="00976A3A"/>
    <w:rsid w:val="00977D9C"/>
    <w:rsid w:val="00980439"/>
    <w:rsid w:val="0098160C"/>
    <w:rsid w:val="009818D4"/>
    <w:rsid w:val="00985482"/>
    <w:rsid w:val="00986F59"/>
    <w:rsid w:val="009875BF"/>
    <w:rsid w:val="0099210F"/>
    <w:rsid w:val="00992861"/>
    <w:rsid w:val="009962C8"/>
    <w:rsid w:val="00997398"/>
    <w:rsid w:val="009A1515"/>
    <w:rsid w:val="009A5195"/>
    <w:rsid w:val="009A65C7"/>
    <w:rsid w:val="009A72CF"/>
    <w:rsid w:val="009A7511"/>
    <w:rsid w:val="009B000B"/>
    <w:rsid w:val="009B12E9"/>
    <w:rsid w:val="009B4B28"/>
    <w:rsid w:val="009B6193"/>
    <w:rsid w:val="009C4843"/>
    <w:rsid w:val="009C6A78"/>
    <w:rsid w:val="009C72E9"/>
    <w:rsid w:val="009D383D"/>
    <w:rsid w:val="009D5B89"/>
    <w:rsid w:val="009D6C0E"/>
    <w:rsid w:val="009E05E7"/>
    <w:rsid w:val="009E0D70"/>
    <w:rsid w:val="009E50A6"/>
    <w:rsid w:val="009F0F05"/>
    <w:rsid w:val="009F1136"/>
    <w:rsid w:val="009F4612"/>
    <w:rsid w:val="009F5181"/>
    <w:rsid w:val="009F6412"/>
    <w:rsid w:val="009F7F4B"/>
    <w:rsid w:val="00A032DA"/>
    <w:rsid w:val="00A06582"/>
    <w:rsid w:val="00A0702A"/>
    <w:rsid w:val="00A115CD"/>
    <w:rsid w:val="00A12385"/>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2144"/>
    <w:rsid w:val="00A5282A"/>
    <w:rsid w:val="00A540B2"/>
    <w:rsid w:val="00A57B14"/>
    <w:rsid w:val="00A65A4D"/>
    <w:rsid w:val="00A70B19"/>
    <w:rsid w:val="00A71EE3"/>
    <w:rsid w:val="00A72BED"/>
    <w:rsid w:val="00A73820"/>
    <w:rsid w:val="00A77FE4"/>
    <w:rsid w:val="00A805E3"/>
    <w:rsid w:val="00A832D0"/>
    <w:rsid w:val="00A835A9"/>
    <w:rsid w:val="00A836B9"/>
    <w:rsid w:val="00A83CAE"/>
    <w:rsid w:val="00A84AB9"/>
    <w:rsid w:val="00A86012"/>
    <w:rsid w:val="00A861EE"/>
    <w:rsid w:val="00A87795"/>
    <w:rsid w:val="00A909D8"/>
    <w:rsid w:val="00A94AB7"/>
    <w:rsid w:val="00AA01E2"/>
    <w:rsid w:val="00AA0218"/>
    <w:rsid w:val="00AA2ACD"/>
    <w:rsid w:val="00AA3F46"/>
    <w:rsid w:val="00AA4B49"/>
    <w:rsid w:val="00AA6FEE"/>
    <w:rsid w:val="00AB11CA"/>
    <w:rsid w:val="00AB4F31"/>
    <w:rsid w:val="00AB5FD1"/>
    <w:rsid w:val="00AB7E1A"/>
    <w:rsid w:val="00AC1192"/>
    <w:rsid w:val="00AC131D"/>
    <w:rsid w:val="00AC1BD0"/>
    <w:rsid w:val="00AC1DC6"/>
    <w:rsid w:val="00AC38B2"/>
    <w:rsid w:val="00AC3915"/>
    <w:rsid w:val="00AC3C04"/>
    <w:rsid w:val="00AC47E9"/>
    <w:rsid w:val="00AC4E86"/>
    <w:rsid w:val="00AC5DB1"/>
    <w:rsid w:val="00AC6E0C"/>
    <w:rsid w:val="00AD34EE"/>
    <w:rsid w:val="00AD41D1"/>
    <w:rsid w:val="00AD4555"/>
    <w:rsid w:val="00AD78EA"/>
    <w:rsid w:val="00AD798E"/>
    <w:rsid w:val="00AE3FD6"/>
    <w:rsid w:val="00AE4E31"/>
    <w:rsid w:val="00AE7A02"/>
    <w:rsid w:val="00AF04CB"/>
    <w:rsid w:val="00AF06D0"/>
    <w:rsid w:val="00AF1323"/>
    <w:rsid w:val="00AF182B"/>
    <w:rsid w:val="00AF2133"/>
    <w:rsid w:val="00AF2DFF"/>
    <w:rsid w:val="00AF42C7"/>
    <w:rsid w:val="00AF5664"/>
    <w:rsid w:val="00AF5CEB"/>
    <w:rsid w:val="00AF7C6A"/>
    <w:rsid w:val="00B0003E"/>
    <w:rsid w:val="00B02BF9"/>
    <w:rsid w:val="00B044AC"/>
    <w:rsid w:val="00B06A1E"/>
    <w:rsid w:val="00B079D9"/>
    <w:rsid w:val="00B10764"/>
    <w:rsid w:val="00B1098C"/>
    <w:rsid w:val="00B12678"/>
    <w:rsid w:val="00B13568"/>
    <w:rsid w:val="00B13AEA"/>
    <w:rsid w:val="00B1574C"/>
    <w:rsid w:val="00B16AF5"/>
    <w:rsid w:val="00B170AC"/>
    <w:rsid w:val="00B2103A"/>
    <w:rsid w:val="00B220CB"/>
    <w:rsid w:val="00B23143"/>
    <w:rsid w:val="00B25831"/>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43CF"/>
    <w:rsid w:val="00B55404"/>
    <w:rsid w:val="00B557B5"/>
    <w:rsid w:val="00B558A8"/>
    <w:rsid w:val="00B5738F"/>
    <w:rsid w:val="00B60E0C"/>
    <w:rsid w:val="00B619ED"/>
    <w:rsid w:val="00B61DDD"/>
    <w:rsid w:val="00B62EFF"/>
    <w:rsid w:val="00B63545"/>
    <w:rsid w:val="00B64AF3"/>
    <w:rsid w:val="00B6534B"/>
    <w:rsid w:val="00B65E73"/>
    <w:rsid w:val="00B67C7E"/>
    <w:rsid w:val="00B71577"/>
    <w:rsid w:val="00B746F2"/>
    <w:rsid w:val="00B7519D"/>
    <w:rsid w:val="00B80C0A"/>
    <w:rsid w:val="00B8177F"/>
    <w:rsid w:val="00B82146"/>
    <w:rsid w:val="00B83142"/>
    <w:rsid w:val="00B851A1"/>
    <w:rsid w:val="00B85278"/>
    <w:rsid w:val="00B875C8"/>
    <w:rsid w:val="00B91921"/>
    <w:rsid w:val="00B946CB"/>
    <w:rsid w:val="00B94A4E"/>
    <w:rsid w:val="00B94D10"/>
    <w:rsid w:val="00B95A46"/>
    <w:rsid w:val="00BA5BE3"/>
    <w:rsid w:val="00BA772E"/>
    <w:rsid w:val="00BB27CA"/>
    <w:rsid w:val="00BB2C30"/>
    <w:rsid w:val="00BB3BBC"/>
    <w:rsid w:val="00BB3D14"/>
    <w:rsid w:val="00BB473A"/>
    <w:rsid w:val="00BB4FB3"/>
    <w:rsid w:val="00BB58FA"/>
    <w:rsid w:val="00BB6375"/>
    <w:rsid w:val="00BB6AED"/>
    <w:rsid w:val="00BB6AFD"/>
    <w:rsid w:val="00BC09EB"/>
    <w:rsid w:val="00BC1A7E"/>
    <w:rsid w:val="00BC4CA8"/>
    <w:rsid w:val="00BC51C3"/>
    <w:rsid w:val="00BC6787"/>
    <w:rsid w:val="00BD02CA"/>
    <w:rsid w:val="00BD16FE"/>
    <w:rsid w:val="00BD59DC"/>
    <w:rsid w:val="00BD6395"/>
    <w:rsid w:val="00BD7858"/>
    <w:rsid w:val="00BE2CDA"/>
    <w:rsid w:val="00BE349B"/>
    <w:rsid w:val="00BE4452"/>
    <w:rsid w:val="00BE4E88"/>
    <w:rsid w:val="00BE70A3"/>
    <w:rsid w:val="00C00BF4"/>
    <w:rsid w:val="00C01430"/>
    <w:rsid w:val="00C03CFF"/>
    <w:rsid w:val="00C05571"/>
    <w:rsid w:val="00C06322"/>
    <w:rsid w:val="00C10EE6"/>
    <w:rsid w:val="00C11DFD"/>
    <w:rsid w:val="00C1620E"/>
    <w:rsid w:val="00C20473"/>
    <w:rsid w:val="00C20976"/>
    <w:rsid w:val="00C21497"/>
    <w:rsid w:val="00C223CA"/>
    <w:rsid w:val="00C225AA"/>
    <w:rsid w:val="00C23A29"/>
    <w:rsid w:val="00C24C14"/>
    <w:rsid w:val="00C317E6"/>
    <w:rsid w:val="00C33785"/>
    <w:rsid w:val="00C35588"/>
    <w:rsid w:val="00C36298"/>
    <w:rsid w:val="00C377DC"/>
    <w:rsid w:val="00C4318F"/>
    <w:rsid w:val="00C43892"/>
    <w:rsid w:val="00C470CF"/>
    <w:rsid w:val="00C50CBF"/>
    <w:rsid w:val="00C51080"/>
    <w:rsid w:val="00C54F79"/>
    <w:rsid w:val="00C5649B"/>
    <w:rsid w:val="00C56BCF"/>
    <w:rsid w:val="00C57D9A"/>
    <w:rsid w:val="00C61221"/>
    <w:rsid w:val="00C62ECE"/>
    <w:rsid w:val="00C63EA0"/>
    <w:rsid w:val="00C640EF"/>
    <w:rsid w:val="00C653F5"/>
    <w:rsid w:val="00C720F6"/>
    <w:rsid w:val="00C735E5"/>
    <w:rsid w:val="00C7413C"/>
    <w:rsid w:val="00C7477E"/>
    <w:rsid w:val="00C7481E"/>
    <w:rsid w:val="00C74837"/>
    <w:rsid w:val="00C75947"/>
    <w:rsid w:val="00C80727"/>
    <w:rsid w:val="00C82A6D"/>
    <w:rsid w:val="00C8428C"/>
    <w:rsid w:val="00C84EC6"/>
    <w:rsid w:val="00C852A7"/>
    <w:rsid w:val="00C867FC"/>
    <w:rsid w:val="00C90459"/>
    <w:rsid w:val="00C91506"/>
    <w:rsid w:val="00C95417"/>
    <w:rsid w:val="00CA1DEE"/>
    <w:rsid w:val="00CA47C6"/>
    <w:rsid w:val="00CA600E"/>
    <w:rsid w:val="00CB0799"/>
    <w:rsid w:val="00CB3E88"/>
    <w:rsid w:val="00CB427F"/>
    <w:rsid w:val="00CB6E45"/>
    <w:rsid w:val="00CC29FA"/>
    <w:rsid w:val="00CC32DC"/>
    <w:rsid w:val="00CC4250"/>
    <w:rsid w:val="00CC43C2"/>
    <w:rsid w:val="00CC4550"/>
    <w:rsid w:val="00CD2420"/>
    <w:rsid w:val="00CD3889"/>
    <w:rsid w:val="00CD3B29"/>
    <w:rsid w:val="00CD4390"/>
    <w:rsid w:val="00CD4E5C"/>
    <w:rsid w:val="00CD63E6"/>
    <w:rsid w:val="00CD7D14"/>
    <w:rsid w:val="00CE118C"/>
    <w:rsid w:val="00CE2F6E"/>
    <w:rsid w:val="00CE4118"/>
    <w:rsid w:val="00CF15A4"/>
    <w:rsid w:val="00CF3484"/>
    <w:rsid w:val="00CF34F4"/>
    <w:rsid w:val="00CF7145"/>
    <w:rsid w:val="00CF7E6C"/>
    <w:rsid w:val="00D05A59"/>
    <w:rsid w:val="00D1071A"/>
    <w:rsid w:val="00D16F47"/>
    <w:rsid w:val="00D23132"/>
    <w:rsid w:val="00D23770"/>
    <w:rsid w:val="00D25741"/>
    <w:rsid w:val="00D27BA4"/>
    <w:rsid w:val="00D27EF4"/>
    <w:rsid w:val="00D30E38"/>
    <w:rsid w:val="00D31121"/>
    <w:rsid w:val="00D31EF3"/>
    <w:rsid w:val="00D32E7D"/>
    <w:rsid w:val="00D33E2C"/>
    <w:rsid w:val="00D34DCA"/>
    <w:rsid w:val="00D3628A"/>
    <w:rsid w:val="00D36AF5"/>
    <w:rsid w:val="00D37349"/>
    <w:rsid w:val="00D40213"/>
    <w:rsid w:val="00D41287"/>
    <w:rsid w:val="00D41B8A"/>
    <w:rsid w:val="00D4210E"/>
    <w:rsid w:val="00D43EA3"/>
    <w:rsid w:val="00D504FE"/>
    <w:rsid w:val="00D50501"/>
    <w:rsid w:val="00D510E4"/>
    <w:rsid w:val="00D518FB"/>
    <w:rsid w:val="00D529B9"/>
    <w:rsid w:val="00D52E86"/>
    <w:rsid w:val="00D539C7"/>
    <w:rsid w:val="00D53F87"/>
    <w:rsid w:val="00D5492C"/>
    <w:rsid w:val="00D602C6"/>
    <w:rsid w:val="00D67709"/>
    <w:rsid w:val="00D70ABD"/>
    <w:rsid w:val="00D72B62"/>
    <w:rsid w:val="00D72D39"/>
    <w:rsid w:val="00D7392E"/>
    <w:rsid w:val="00D73AA1"/>
    <w:rsid w:val="00D742DF"/>
    <w:rsid w:val="00D77325"/>
    <w:rsid w:val="00D77430"/>
    <w:rsid w:val="00D77E63"/>
    <w:rsid w:val="00D81755"/>
    <w:rsid w:val="00D82A95"/>
    <w:rsid w:val="00D832FF"/>
    <w:rsid w:val="00D83CD2"/>
    <w:rsid w:val="00D84809"/>
    <w:rsid w:val="00D90476"/>
    <w:rsid w:val="00D91F4B"/>
    <w:rsid w:val="00D924D1"/>
    <w:rsid w:val="00D94137"/>
    <w:rsid w:val="00D943B2"/>
    <w:rsid w:val="00D95313"/>
    <w:rsid w:val="00D978F3"/>
    <w:rsid w:val="00D97B6C"/>
    <w:rsid w:val="00DA2184"/>
    <w:rsid w:val="00DA2481"/>
    <w:rsid w:val="00DA4AA5"/>
    <w:rsid w:val="00DA54D4"/>
    <w:rsid w:val="00DA62CB"/>
    <w:rsid w:val="00DA7296"/>
    <w:rsid w:val="00DA7D19"/>
    <w:rsid w:val="00DB12D2"/>
    <w:rsid w:val="00DB1BB5"/>
    <w:rsid w:val="00DB3A90"/>
    <w:rsid w:val="00DB3E85"/>
    <w:rsid w:val="00DB620A"/>
    <w:rsid w:val="00DC627D"/>
    <w:rsid w:val="00DD4465"/>
    <w:rsid w:val="00DD609C"/>
    <w:rsid w:val="00DE018E"/>
    <w:rsid w:val="00DE025E"/>
    <w:rsid w:val="00DE1210"/>
    <w:rsid w:val="00DF07B9"/>
    <w:rsid w:val="00DF1938"/>
    <w:rsid w:val="00E00440"/>
    <w:rsid w:val="00E03D0D"/>
    <w:rsid w:val="00E05D42"/>
    <w:rsid w:val="00E158B0"/>
    <w:rsid w:val="00E15EAD"/>
    <w:rsid w:val="00E221A8"/>
    <w:rsid w:val="00E22751"/>
    <w:rsid w:val="00E22CB6"/>
    <w:rsid w:val="00E23447"/>
    <w:rsid w:val="00E24726"/>
    <w:rsid w:val="00E255D2"/>
    <w:rsid w:val="00E279C8"/>
    <w:rsid w:val="00E27F28"/>
    <w:rsid w:val="00E33FE4"/>
    <w:rsid w:val="00E35A72"/>
    <w:rsid w:val="00E37C6A"/>
    <w:rsid w:val="00E43362"/>
    <w:rsid w:val="00E4489A"/>
    <w:rsid w:val="00E46234"/>
    <w:rsid w:val="00E46E69"/>
    <w:rsid w:val="00E510CC"/>
    <w:rsid w:val="00E55206"/>
    <w:rsid w:val="00E5797E"/>
    <w:rsid w:val="00E609B3"/>
    <w:rsid w:val="00E61C68"/>
    <w:rsid w:val="00E625A0"/>
    <w:rsid w:val="00E63287"/>
    <w:rsid w:val="00E65E9D"/>
    <w:rsid w:val="00E67B39"/>
    <w:rsid w:val="00E71080"/>
    <w:rsid w:val="00E73729"/>
    <w:rsid w:val="00E75272"/>
    <w:rsid w:val="00E75599"/>
    <w:rsid w:val="00E84B69"/>
    <w:rsid w:val="00E869E9"/>
    <w:rsid w:val="00E86A34"/>
    <w:rsid w:val="00E93570"/>
    <w:rsid w:val="00E93623"/>
    <w:rsid w:val="00E9539D"/>
    <w:rsid w:val="00E95B30"/>
    <w:rsid w:val="00E96CE0"/>
    <w:rsid w:val="00EA0EFB"/>
    <w:rsid w:val="00EA298E"/>
    <w:rsid w:val="00EA4020"/>
    <w:rsid w:val="00EA47D9"/>
    <w:rsid w:val="00EA6E57"/>
    <w:rsid w:val="00EA701B"/>
    <w:rsid w:val="00EB17CF"/>
    <w:rsid w:val="00EB4B80"/>
    <w:rsid w:val="00EB6CDE"/>
    <w:rsid w:val="00EC05C0"/>
    <w:rsid w:val="00EC296E"/>
    <w:rsid w:val="00ED2E91"/>
    <w:rsid w:val="00ED6D59"/>
    <w:rsid w:val="00ED722E"/>
    <w:rsid w:val="00EE00C6"/>
    <w:rsid w:val="00EE351C"/>
    <w:rsid w:val="00EE4F32"/>
    <w:rsid w:val="00EF027A"/>
    <w:rsid w:val="00EF12AF"/>
    <w:rsid w:val="00EF5115"/>
    <w:rsid w:val="00EF771E"/>
    <w:rsid w:val="00F0149D"/>
    <w:rsid w:val="00F02045"/>
    <w:rsid w:val="00F03806"/>
    <w:rsid w:val="00F0659D"/>
    <w:rsid w:val="00F07C1A"/>
    <w:rsid w:val="00F1213F"/>
    <w:rsid w:val="00F122E2"/>
    <w:rsid w:val="00F13346"/>
    <w:rsid w:val="00F14F53"/>
    <w:rsid w:val="00F17D52"/>
    <w:rsid w:val="00F20225"/>
    <w:rsid w:val="00F2127E"/>
    <w:rsid w:val="00F253B3"/>
    <w:rsid w:val="00F26645"/>
    <w:rsid w:val="00F26AD9"/>
    <w:rsid w:val="00F31F3A"/>
    <w:rsid w:val="00F332CA"/>
    <w:rsid w:val="00F33B57"/>
    <w:rsid w:val="00F34976"/>
    <w:rsid w:val="00F35183"/>
    <w:rsid w:val="00F35DFD"/>
    <w:rsid w:val="00F3604E"/>
    <w:rsid w:val="00F379E8"/>
    <w:rsid w:val="00F424AE"/>
    <w:rsid w:val="00F4711A"/>
    <w:rsid w:val="00F526DE"/>
    <w:rsid w:val="00F532FA"/>
    <w:rsid w:val="00F53B0F"/>
    <w:rsid w:val="00F53F96"/>
    <w:rsid w:val="00F54000"/>
    <w:rsid w:val="00F554C7"/>
    <w:rsid w:val="00F56AB8"/>
    <w:rsid w:val="00F6259B"/>
    <w:rsid w:val="00F62CF1"/>
    <w:rsid w:val="00F63F69"/>
    <w:rsid w:val="00F64728"/>
    <w:rsid w:val="00F64AFA"/>
    <w:rsid w:val="00F64D78"/>
    <w:rsid w:val="00F67677"/>
    <w:rsid w:val="00F72932"/>
    <w:rsid w:val="00F73DFC"/>
    <w:rsid w:val="00F74EF6"/>
    <w:rsid w:val="00F773D1"/>
    <w:rsid w:val="00F80BF4"/>
    <w:rsid w:val="00F822DF"/>
    <w:rsid w:val="00F82426"/>
    <w:rsid w:val="00F82632"/>
    <w:rsid w:val="00F82EE4"/>
    <w:rsid w:val="00F84947"/>
    <w:rsid w:val="00F85974"/>
    <w:rsid w:val="00F86C97"/>
    <w:rsid w:val="00F91B5E"/>
    <w:rsid w:val="00F925E6"/>
    <w:rsid w:val="00F92A7A"/>
    <w:rsid w:val="00F92B25"/>
    <w:rsid w:val="00F94568"/>
    <w:rsid w:val="00F94D1A"/>
    <w:rsid w:val="00F95C6C"/>
    <w:rsid w:val="00F9708F"/>
    <w:rsid w:val="00F97358"/>
    <w:rsid w:val="00FA01C5"/>
    <w:rsid w:val="00FA380B"/>
    <w:rsid w:val="00FA39DC"/>
    <w:rsid w:val="00FA519A"/>
    <w:rsid w:val="00FA6C64"/>
    <w:rsid w:val="00FA73EC"/>
    <w:rsid w:val="00FB0680"/>
    <w:rsid w:val="00FB1EA2"/>
    <w:rsid w:val="00FB4215"/>
    <w:rsid w:val="00FB6593"/>
    <w:rsid w:val="00FB65A3"/>
    <w:rsid w:val="00FC104A"/>
    <w:rsid w:val="00FC4613"/>
    <w:rsid w:val="00FC60ED"/>
    <w:rsid w:val="00FC6E22"/>
    <w:rsid w:val="00FC7353"/>
    <w:rsid w:val="00FD1312"/>
    <w:rsid w:val="00FE15B7"/>
    <w:rsid w:val="00FE2519"/>
    <w:rsid w:val="00FE54C8"/>
    <w:rsid w:val="00FE727C"/>
    <w:rsid w:val="00FF03DD"/>
    <w:rsid w:val="00FF1129"/>
    <w:rsid w:val="00FF20BF"/>
    <w:rsid w:val="00FF64AF"/>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21ADE6-8C1E-40D5-9C14-C768D54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70"/>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3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Normal"/>
    <w:next w:val="TableGrid"/>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8B7F-E395-4127-A0C9-BCC6BE6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7340</Characters>
  <Application>Microsoft Office Word</Application>
  <DocSecurity>4</DocSecurity>
  <Lines>61</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ECE-ADN-45 eng</cp:lastModifiedBy>
  <cp:revision>2</cp:revision>
  <cp:lastPrinted>2018-05-15T06:55:00Z</cp:lastPrinted>
  <dcterms:created xsi:type="dcterms:W3CDTF">2018-06-19T10:55:00Z</dcterms:created>
  <dcterms:modified xsi:type="dcterms:W3CDTF">2018-06-19T10:55:00Z</dcterms:modified>
  <cp:category>20-4(b)</cp:category>
</cp:coreProperties>
</file>