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2525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2525AC" w:rsidP="002525AC">
            <w:pPr>
              <w:jc w:val="right"/>
            </w:pPr>
            <w:r w:rsidRPr="002525AC">
              <w:rPr>
                <w:sz w:val="40"/>
              </w:rPr>
              <w:t>ECE</w:t>
            </w:r>
            <w:r>
              <w:t>/TRANS/WP.15/AC.2/2018/40</w:t>
            </w:r>
          </w:p>
        </w:tc>
      </w:tr>
      <w:tr w:rsidR="002D5AAC" w:rsidRPr="002525AC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525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2525AC" w:rsidRDefault="002525AC" w:rsidP="0025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12 June 2018</w:t>
            </w:r>
          </w:p>
          <w:p w:rsidR="002525AC" w:rsidRDefault="002525AC" w:rsidP="0025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2525AC" w:rsidRPr="008D53B6" w:rsidRDefault="002525AC" w:rsidP="002525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2525AC" w:rsidRPr="00E13490" w:rsidRDefault="002525AC" w:rsidP="002525AC">
      <w:pPr>
        <w:spacing w:before="120"/>
        <w:rPr>
          <w:sz w:val="28"/>
          <w:szCs w:val="28"/>
        </w:rPr>
      </w:pPr>
      <w:r w:rsidRPr="00E13490">
        <w:rPr>
          <w:sz w:val="28"/>
          <w:szCs w:val="28"/>
        </w:rPr>
        <w:t>Комитет по внутреннему транспорту</w:t>
      </w:r>
    </w:p>
    <w:p w:rsidR="002525AC" w:rsidRPr="006A5B44" w:rsidRDefault="002525AC" w:rsidP="002525AC">
      <w:pPr>
        <w:spacing w:before="120"/>
        <w:rPr>
          <w:b/>
          <w:bCs/>
          <w:sz w:val="24"/>
          <w:szCs w:val="24"/>
        </w:rPr>
      </w:pPr>
      <w:r w:rsidRPr="006A5B44">
        <w:rPr>
          <w:b/>
          <w:bCs/>
          <w:sz w:val="24"/>
          <w:szCs w:val="24"/>
        </w:rPr>
        <w:t>Рабочая группа по перевозкам опасных грузов</w:t>
      </w:r>
    </w:p>
    <w:p w:rsidR="002525AC" w:rsidRPr="00E13490" w:rsidRDefault="002525AC" w:rsidP="002525AC">
      <w:pPr>
        <w:spacing w:before="120" w:after="120"/>
        <w:rPr>
          <w:b/>
          <w:bCs/>
        </w:rPr>
      </w:pPr>
      <w:r w:rsidRPr="00E13490">
        <w:rPr>
          <w:b/>
          <w:bCs/>
        </w:rPr>
        <w:t>Совместное совещание экспертов по Правилам, прилагаемым</w:t>
      </w:r>
      <w:r>
        <w:rPr>
          <w:b/>
          <w:bCs/>
        </w:rPr>
        <w:br/>
        <w:t xml:space="preserve">к </w:t>
      </w:r>
      <w:r w:rsidRPr="00E13490">
        <w:rPr>
          <w:b/>
          <w:bCs/>
        </w:rPr>
        <w:t>Европейскому соглашению о международной перевозке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13490">
        <w:rPr>
          <w:b/>
          <w:bCs/>
        </w:rPr>
        <w:t>опасных грузов по внутренним водным путям (ВОПОГ)</w:t>
      </w:r>
      <w:r>
        <w:rPr>
          <w:b/>
          <w:bCs/>
        </w:rPr>
        <w:t xml:space="preserve"> </w:t>
      </w:r>
      <w:r>
        <w:rPr>
          <w:b/>
          <w:bCs/>
        </w:rPr>
        <w:br/>
      </w:r>
      <w:r w:rsidRPr="00E13490">
        <w:rPr>
          <w:b/>
          <w:bCs/>
        </w:rPr>
        <w:t>(Комитет по вопросам безопасности ВОПОГ)</w:t>
      </w:r>
    </w:p>
    <w:p w:rsidR="002525AC" w:rsidRPr="00E13490" w:rsidRDefault="002525AC" w:rsidP="002525AC">
      <w:pPr>
        <w:spacing w:before="120"/>
        <w:rPr>
          <w:b/>
          <w:bCs/>
        </w:rPr>
      </w:pPr>
      <w:r w:rsidRPr="00E13490">
        <w:rPr>
          <w:b/>
          <w:bCs/>
        </w:rPr>
        <w:t>Тридцать третья сессия</w:t>
      </w:r>
    </w:p>
    <w:p w:rsidR="002525AC" w:rsidRDefault="002525AC" w:rsidP="002525AC">
      <w:r>
        <w:t>Женева, 27–31 августа 2018 года</w:t>
      </w:r>
    </w:p>
    <w:p w:rsidR="002525AC" w:rsidRPr="006D1F0B" w:rsidRDefault="002525AC" w:rsidP="002525AC">
      <w:r>
        <w:t>Пункт 4 b) предварительной повестки дня</w:t>
      </w:r>
    </w:p>
    <w:p w:rsidR="002525AC" w:rsidRPr="003B4B11" w:rsidRDefault="002525AC" w:rsidP="002525AC">
      <w:pPr>
        <w:rPr>
          <w:b/>
        </w:rPr>
      </w:pPr>
      <w:r w:rsidRPr="00E13490">
        <w:rPr>
          <w:b/>
          <w:bCs/>
        </w:rPr>
        <w:t xml:space="preserve">Предложения о внесении поправок в Правила, прилагаемые </w:t>
      </w:r>
      <w:r>
        <w:rPr>
          <w:b/>
          <w:bCs/>
        </w:rPr>
        <w:br/>
      </w:r>
      <w:r w:rsidRPr="00E13490">
        <w:rPr>
          <w:b/>
          <w:bCs/>
        </w:rPr>
        <w:t>к ВОПОГ:</w:t>
      </w:r>
      <w:r>
        <w:rPr>
          <w:b/>
          <w:bCs/>
        </w:rPr>
        <w:t xml:space="preserve"> </w:t>
      </w:r>
      <w:r w:rsidRPr="00E13490">
        <w:rPr>
          <w:b/>
          <w:bCs/>
        </w:rPr>
        <w:t>другие предложения</w:t>
      </w:r>
    </w:p>
    <w:p w:rsidR="002525AC" w:rsidRPr="00574CAA" w:rsidRDefault="002525AC" w:rsidP="002525A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Предложение по редакционным поправкам для улучшения удобочитаемости и простоты использования ВОПОГ: несоответствия </w:t>
      </w:r>
      <w:r>
        <w:rPr>
          <w:lang w:val="ru-RU"/>
        </w:rPr>
        <w:br/>
        <w:t>в письменных инструкциях</w:t>
      </w:r>
    </w:p>
    <w:p w:rsidR="002525AC" w:rsidRPr="002525AC" w:rsidRDefault="002525AC" w:rsidP="002525AC">
      <w:pPr>
        <w:pStyle w:val="H1G"/>
        <w:rPr>
          <w:b w:val="0"/>
          <w:bCs/>
          <w:sz w:val="20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Передано Европейским союзом речного судоходства (ЕСРС) и Европейской организацией судоводителей (ЕОС)</w:t>
      </w:r>
      <w:r w:rsidRPr="00DB0084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2525AC">
        <w:rPr>
          <w:b w:val="0"/>
          <w:bCs/>
          <w:sz w:val="20"/>
          <w:lang w:val="ru-RU"/>
        </w:rPr>
        <w:t xml:space="preserve"> </w:t>
      </w:r>
      <w:r w:rsidRPr="002525AC">
        <w:rPr>
          <w:b w:val="0"/>
          <w:bCs/>
          <w:sz w:val="20"/>
          <w:lang w:val="ru-RU"/>
        </w:rPr>
        <w:footnoteReference w:customMarkFollows="1" w:id="2"/>
        <w:t>**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953"/>
      </w:tblGrid>
      <w:tr w:rsidR="002525AC" w:rsidRPr="003B4B11" w:rsidTr="00E47AC2">
        <w:trPr>
          <w:jc w:val="center"/>
        </w:trPr>
        <w:tc>
          <w:tcPr>
            <w:tcW w:w="2552" w:type="dxa"/>
            <w:tcBorders>
              <w:bottom w:val="single" w:sz="4" w:space="0" w:color="auto"/>
            </w:tcBorders>
          </w:tcPr>
          <w:p w:rsidR="002525AC" w:rsidRPr="00E13490" w:rsidRDefault="002525AC" w:rsidP="00E47AC2">
            <w:pPr>
              <w:tabs>
                <w:tab w:val="left" w:pos="284"/>
              </w:tabs>
              <w:spacing w:before="120" w:after="120"/>
              <w:rPr>
                <w:b/>
                <w:bCs/>
              </w:rPr>
            </w:pPr>
            <w:r>
              <w:tab/>
            </w:r>
            <w:r w:rsidRPr="00E13490">
              <w:rPr>
                <w:b/>
                <w:bCs/>
              </w:rPr>
              <w:t xml:space="preserve">Справочные </w:t>
            </w:r>
            <w:r>
              <w:tab/>
            </w:r>
            <w:r w:rsidRPr="00E13490">
              <w:rPr>
                <w:b/>
                <w:bCs/>
              </w:rPr>
              <w:t>документы: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2525AC" w:rsidRPr="00574CAA" w:rsidRDefault="002525AC" w:rsidP="002525AC">
            <w:pPr>
              <w:spacing w:before="40"/>
            </w:pPr>
            <w:r>
              <w:t>ECE/TRANS/WP.15/AC.2/66</w:t>
            </w:r>
          </w:p>
          <w:p w:rsidR="002525AC" w:rsidRPr="00574CAA" w:rsidRDefault="002525AC" w:rsidP="00E47AC2">
            <w:pPr>
              <w:spacing w:after="120"/>
            </w:pPr>
            <w:r>
              <w:t>Неофициальный документ INF.20 тридцать второй сессии (подраздел F)</w:t>
            </w:r>
          </w:p>
        </w:tc>
      </w:tr>
    </w:tbl>
    <w:p w:rsidR="002525AC" w:rsidRPr="00574CAA" w:rsidRDefault="002525AC" w:rsidP="002525A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Введение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  <w:t xml:space="preserve">В ходе совещания по опасным грузам с участием членов ЕСРС и ЕОС, а также в материалах инструкторов по ВОПОГ, которые присоединились к неофициальной рабочей группе по подготовке экспертов (IAG </w:t>
      </w:r>
      <w:proofErr w:type="spellStart"/>
      <w:r>
        <w:rPr>
          <w:lang w:val="ru-RU"/>
        </w:rPr>
        <w:t>Sachkundigenausbildung</w:t>
      </w:r>
      <w:proofErr w:type="spellEnd"/>
      <w:r>
        <w:rPr>
          <w:lang w:val="ru-RU"/>
        </w:rPr>
        <w:t xml:space="preserve">), ЕСРС и ЕОС получили ряд предложений </w:t>
      </w:r>
      <w:r w:rsidRPr="00E13490">
        <w:rPr>
          <w:lang w:val="ru-RU"/>
        </w:rPr>
        <w:t>–</w:t>
      </w:r>
      <w:r>
        <w:rPr>
          <w:lang w:val="ru-RU"/>
        </w:rPr>
        <w:t xml:space="preserve"> в основном редакционного характера </w:t>
      </w:r>
      <w:r w:rsidRPr="00E13490">
        <w:rPr>
          <w:lang w:val="ru-RU"/>
        </w:rPr>
        <w:t>–</w:t>
      </w:r>
      <w:r>
        <w:rPr>
          <w:lang w:val="ru-RU"/>
        </w:rPr>
        <w:t xml:space="preserve"> по улучшению удобочитаемости и простоты использования ВОПОГ, которые в целом предназначены для прояснения текста и в частности адресованы экипажу баржи, члены которого </w:t>
      </w:r>
      <w:r>
        <w:rPr>
          <w:lang w:val="ru-RU"/>
        </w:rPr>
        <w:lastRenderedPageBreak/>
        <w:t xml:space="preserve">являются непосредственными пользователями ВОПОГ, а также находящимся на борту экспертам ВОПОГ. 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Это предложение было представлено от имени ЕСРС и ЕОС в ходе тридцать второй сессии Комитета по вопросам безопасности ВОПОГ. Комитет по вопросам безопасности предложил представителям ЕСРС и ЕОС учесть высказанные замечания и представить пересмотренное предложение в качестве официального документа для тридцать третьей сессии. Представленное в настоящем документе предложение подготовлено с учетом этой просьбы.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  <w:t>ЕСРС</w:t>
      </w:r>
      <w:r w:rsidRPr="003B4B11">
        <w:rPr>
          <w:lang w:val="ru-RU"/>
        </w:rPr>
        <w:t xml:space="preserve"> </w:t>
      </w:r>
      <w:r>
        <w:rPr>
          <w:lang w:val="ru-RU" w:eastAsia="zh-CN"/>
        </w:rPr>
        <w:t xml:space="preserve">и </w:t>
      </w:r>
      <w:r>
        <w:rPr>
          <w:lang w:val="ru-RU"/>
        </w:rPr>
        <w:t>ЕОС предлагают Комитету по вопросам безопасности рассмотреть возможность адаптации ВОПОГ для устранения несоответствия в том, что касается членов экипажа (пункт 5.4.3.2) и находящихся на борту лиц (пункт 1.3.2.2.5), которые должны быть проинформированы и подготовлены на случай возникновения чрезвычайной ситуации.</w:t>
      </w:r>
    </w:p>
    <w:p w:rsidR="002525AC" w:rsidRPr="00574CAA" w:rsidRDefault="002525AC" w:rsidP="002525AC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Предложение: поправка к пункту 5.4.3.2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 xml:space="preserve">Проблема: согласно письменным инструкциям (пункт 5.4.3.2 ВОПОГ) судоводитель баржи должен обеспечить, чтобы </w:t>
      </w:r>
      <w:r w:rsidRPr="006D5EDB">
        <w:rPr>
          <w:b/>
          <w:bCs/>
          <w:lang w:val="ru-RU"/>
        </w:rPr>
        <w:t>каждый член экипажа</w:t>
      </w:r>
      <w:r>
        <w:rPr>
          <w:lang w:val="ru-RU"/>
        </w:rPr>
        <w:t xml:space="preserve"> понимал и был в состоянии выполнять инструкции надлежащим образом.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 xml:space="preserve">Согласно пункту 1.3.2.2.5 ВОПОГ, судоводитель должен доводить до сведения </w:t>
      </w:r>
      <w:r w:rsidRPr="006D5EDB">
        <w:rPr>
          <w:b/>
          <w:bCs/>
          <w:lang w:val="ru-RU"/>
        </w:rPr>
        <w:t>других находящихся на борту лиц</w:t>
      </w:r>
      <w:r>
        <w:rPr>
          <w:lang w:val="ru-RU"/>
        </w:rPr>
        <w:t xml:space="preserve"> письменные инструкции, упомянутые в разделе 5.4.3, так чтобы эти лица могли их понять и применять.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 xml:space="preserve">Здесь можно усмотреть противоречие. Пункт 1.3.2.2.5 ВОПОГ имеет более широкий охват; «другие находящиеся на борту лица», в частности консультанты по вопросам безопасности, представители органов власти и проверяющих органов, эксперты классификационных обществ </w:t>
      </w:r>
      <w:r w:rsidRPr="00DB0084">
        <w:rPr>
          <w:bCs/>
          <w:iCs/>
          <w:lang w:val="ru-RU"/>
        </w:rPr>
        <w:t xml:space="preserve">и любые другие находящиеся на борту лица </w:t>
      </w:r>
      <w:r>
        <w:rPr>
          <w:lang w:val="ru-RU"/>
        </w:rPr>
        <w:t>должны быть предупреждены об опасных свойствах груза и о том, как действовать в случае возникновения чрезвычайной ситуации.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Предложение по уточнению: 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Изменить пункт 5.4.3.2 следующим образом в соответствии с обязательством по обеспечению безопасности, упомянутым в пункте 1.3.2.2.5 ВОПОГ:</w:t>
      </w:r>
    </w:p>
    <w:p w:rsidR="002525AC" w:rsidRPr="00694B64" w:rsidRDefault="002525AC" w:rsidP="002525AC">
      <w:pPr>
        <w:pStyle w:val="SingleTxtG"/>
        <w:ind w:left="1701"/>
        <w:rPr>
          <w:lang w:val="ru-RU"/>
        </w:rPr>
      </w:pPr>
      <w:r>
        <w:rPr>
          <w:lang w:val="ru-RU"/>
        </w:rPr>
        <w:t>«5.4.3.2</w:t>
      </w:r>
      <w:r>
        <w:rPr>
          <w:lang w:val="ru-RU"/>
        </w:rPr>
        <w:tab/>
      </w:r>
      <w:r w:rsidRPr="00574CAA">
        <w:rPr>
          <w:lang w:val="ru-RU"/>
        </w:rPr>
        <w:t>Эти инструкции должны передаваться перевозчиком судоводителю до начала погрузки на языке(ах), на котором(</w:t>
      </w:r>
      <w:proofErr w:type="spellStart"/>
      <w:r w:rsidRPr="00574CAA">
        <w:rPr>
          <w:lang w:val="ru-RU"/>
        </w:rPr>
        <w:t>ых</w:t>
      </w:r>
      <w:proofErr w:type="spellEnd"/>
      <w:r w:rsidRPr="00574CAA">
        <w:rPr>
          <w:lang w:val="ru-RU"/>
        </w:rPr>
        <w:t>) судоводитель и эксперт могут читать и который(</w:t>
      </w:r>
      <w:proofErr w:type="spellStart"/>
      <w:r w:rsidRPr="00574CAA">
        <w:rPr>
          <w:lang w:val="ru-RU"/>
        </w:rPr>
        <w:t>ые</w:t>
      </w:r>
      <w:proofErr w:type="spellEnd"/>
      <w:r w:rsidRPr="00574CAA">
        <w:rPr>
          <w:lang w:val="ru-RU"/>
        </w:rPr>
        <w:t>) они понимают.</w:t>
      </w:r>
      <w:r>
        <w:rPr>
          <w:lang w:val="ru-RU"/>
        </w:rPr>
        <w:t xml:space="preserve"> Судоводитель должен обеспечить правильное понимание и выполнение этих инструкций каждым членом экипажа </w:t>
      </w:r>
      <w:r>
        <w:rPr>
          <w:b/>
          <w:bCs/>
          <w:i/>
          <w:iCs/>
          <w:lang w:val="ru-RU"/>
        </w:rPr>
        <w:t>и любыми другими находящимися на борту лицами</w:t>
      </w:r>
      <w:r w:rsidRPr="00694B64">
        <w:rPr>
          <w:i/>
          <w:iCs/>
          <w:lang w:val="ru-RU"/>
        </w:rPr>
        <w:t>»</w:t>
      </w:r>
      <w:r w:rsidRPr="00694B64">
        <w:rPr>
          <w:lang w:val="ru-RU"/>
        </w:rPr>
        <w:t xml:space="preserve">. </w:t>
      </w:r>
    </w:p>
    <w:p w:rsidR="002525AC" w:rsidRPr="00574CAA" w:rsidRDefault="002525AC" w:rsidP="002525AC">
      <w:pPr>
        <w:pStyle w:val="HChG"/>
        <w:ind w:left="567" w:firstLine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Отдача в плане повышения безопасности</w:t>
      </w:r>
    </w:p>
    <w:p w:rsidR="002525AC" w:rsidRPr="00574CAA" w:rsidRDefault="002525AC" w:rsidP="002525AC">
      <w:pPr>
        <w:pStyle w:val="SingleTxtG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По сути это предложение не </w:t>
      </w:r>
      <w:r>
        <w:rPr>
          <w:lang w:val="ru-RU" w:eastAsia="zh-CN"/>
        </w:rPr>
        <w:t>меняет</w:t>
      </w:r>
      <w:r>
        <w:rPr>
          <w:lang w:val="ru-RU"/>
        </w:rPr>
        <w:t xml:space="preserve"> цели вышеназванных пунктов. В качестве положительного результата следует ожидать, что находящиеся на борту лица будут лучше понимать содержание пересмотренного пункта, что благоприятно отразится на состоянии безопасности за счет подготовки сценариев действий в аварийных ситуациях и четких инструкций для экипажа барж, лиц, которые живут на борту, и других лиц, временно находящихся на борту, в частности представителей органов власти и иных лиц, которым разрешается находиться на борту, в соответствии с разделом 8.3.1 ВОПОГ.</w:t>
      </w:r>
    </w:p>
    <w:p w:rsidR="002525AC" w:rsidRPr="00574CAA" w:rsidRDefault="002525AC" w:rsidP="002525AC">
      <w:pPr>
        <w:spacing w:before="120"/>
        <w:jc w:val="center"/>
        <w:rPr>
          <w:u w:val="single"/>
        </w:rPr>
      </w:pPr>
      <w:r w:rsidRPr="00574CAA">
        <w:rPr>
          <w:u w:val="single"/>
        </w:rPr>
        <w:tab/>
      </w:r>
      <w:r w:rsidRPr="00574CAA">
        <w:rPr>
          <w:u w:val="single"/>
        </w:rPr>
        <w:tab/>
      </w:r>
      <w:r w:rsidRPr="00574CAA">
        <w:rPr>
          <w:u w:val="single"/>
        </w:rPr>
        <w:tab/>
      </w:r>
    </w:p>
    <w:sectPr w:rsidR="002525AC" w:rsidRPr="00574CAA" w:rsidSect="002525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604" w:rsidRPr="00A312BC" w:rsidRDefault="006E7604" w:rsidP="00A312BC"/>
  </w:endnote>
  <w:endnote w:type="continuationSeparator" w:id="0">
    <w:p w:rsidR="006E7604" w:rsidRPr="00A312BC" w:rsidRDefault="006E760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AC" w:rsidRPr="002525AC" w:rsidRDefault="002525AC">
    <w:pPr>
      <w:pStyle w:val="Footer"/>
    </w:pPr>
    <w:r w:rsidRPr="002525AC">
      <w:rPr>
        <w:b/>
        <w:sz w:val="18"/>
      </w:rPr>
      <w:fldChar w:fldCharType="begin"/>
    </w:r>
    <w:r w:rsidRPr="002525AC">
      <w:rPr>
        <w:b/>
        <w:sz w:val="18"/>
      </w:rPr>
      <w:instrText xml:space="preserve"> PAGE  \* MERGEFORMAT </w:instrText>
    </w:r>
    <w:r w:rsidRPr="002525AC">
      <w:rPr>
        <w:b/>
        <w:sz w:val="18"/>
      </w:rPr>
      <w:fldChar w:fldCharType="separate"/>
    </w:r>
    <w:r w:rsidR="00FA13C0">
      <w:rPr>
        <w:b/>
        <w:noProof/>
        <w:sz w:val="18"/>
      </w:rPr>
      <w:t>2</w:t>
    </w:r>
    <w:r w:rsidRPr="002525AC">
      <w:rPr>
        <w:b/>
        <w:sz w:val="18"/>
      </w:rPr>
      <w:fldChar w:fldCharType="end"/>
    </w:r>
    <w:r>
      <w:rPr>
        <w:b/>
        <w:sz w:val="18"/>
      </w:rPr>
      <w:tab/>
    </w:r>
    <w:r>
      <w:t>GE.18-09595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AC" w:rsidRPr="002525AC" w:rsidRDefault="002525AC" w:rsidP="002525AC">
    <w:pPr>
      <w:pStyle w:val="Footer"/>
      <w:tabs>
        <w:tab w:val="clear" w:pos="9639"/>
        <w:tab w:val="right" w:pos="9638"/>
      </w:tabs>
      <w:rPr>
        <w:b/>
        <w:sz w:val="18"/>
      </w:rPr>
    </w:pPr>
    <w:r>
      <w:t>GE.18-09595</w:t>
    </w:r>
    <w:r>
      <w:tab/>
    </w:r>
    <w:r w:rsidRPr="002525AC">
      <w:rPr>
        <w:b/>
        <w:sz w:val="18"/>
      </w:rPr>
      <w:fldChar w:fldCharType="begin"/>
    </w:r>
    <w:r w:rsidRPr="002525AC">
      <w:rPr>
        <w:b/>
        <w:sz w:val="18"/>
      </w:rPr>
      <w:instrText xml:space="preserve"> PAGE  \* MERGEFORMAT </w:instrText>
    </w:r>
    <w:r w:rsidRPr="002525AC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2525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2525AC" w:rsidRDefault="002525AC" w:rsidP="002525AC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</w:t>
    </w:r>
    <w:proofErr w:type="gramStart"/>
    <w:r>
      <w:t>09595  (</w:t>
    </w:r>
    <w:proofErr w:type="gramEnd"/>
    <w:r>
      <w:t>R)  140618  180618</w:t>
    </w:r>
    <w:r>
      <w:br/>
    </w:r>
    <w:r w:rsidRPr="002525AC">
      <w:rPr>
        <w:rFonts w:ascii="C39T30Lfz" w:hAnsi="C39T30Lfz"/>
        <w:kern w:val="14"/>
        <w:sz w:val="56"/>
      </w:rPr>
      <w:t></w:t>
    </w:r>
    <w:r w:rsidRPr="002525AC">
      <w:rPr>
        <w:rFonts w:ascii="C39T30Lfz" w:hAnsi="C39T30Lfz"/>
        <w:kern w:val="14"/>
        <w:sz w:val="56"/>
      </w:rPr>
      <w:t></w:t>
    </w:r>
    <w:r w:rsidRPr="002525AC">
      <w:rPr>
        <w:rFonts w:ascii="C39T30Lfz" w:hAnsi="C39T30Lfz"/>
        <w:kern w:val="14"/>
        <w:sz w:val="56"/>
      </w:rPr>
      <w:t></w:t>
    </w:r>
    <w:r w:rsidRPr="002525AC">
      <w:rPr>
        <w:rFonts w:ascii="C39T30Lfz" w:hAnsi="C39T30Lfz"/>
        <w:kern w:val="14"/>
        <w:sz w:val="56"/>
      </w:rPr>
      <w:t></w:t>
    </w:r>
    <w:r w:rsidRPr="002525AC">
      <w:rPr>
        <w:rFonts w:ascii="C39T30Lfz" w:hAnsi="C39T30Lfz"/>
        <w:kern w:val="14"/>
        <w:sz w:val="56"/>
      </w:rPr>
      <w:t></w:t>
    </w:r>
    <w:r w:rsidRPr="002525AC">
      <w:rPr>
        <w:rFonts w:ascii="C39T30Lfz" w:hAnsi="C39T30Lfz"/>
        <w:kern w:val="14"/>
        <w:sz w:val="56"/>
      </w:rPr>
      <w:t></w:t>
    </w:r>
    <w:r w:rsidRPr="002525AC">
      <w:rPr>
        <w:rFonts w:ascii="C39T30Lfz" w:hAnsi="C39T30Lfz"/>
        <w:kern w:val="14"/>
        <w:sz w:val="56"/>
      </w:rPr>
      <w:t></w:t>
    </w:r>
    <w:r w:rsidRPr="002525AC">
      <w:rPr>
        <w:rFonts w:ascii="C39T30Lfz" w:hAnsi="C39T30Lfz"/>
        <w:kern w:val="14"/>
        <w:sz w:val="56"/>
      </w:rPr>
      <w:t></w:t>
    </w:r>
    <w:r w:rsidRPr="002525AC">
      <w:rPr>
        <w:rFonts w:ascii="C39T30Lfz" w:hAnsi="C39T30Lfz"/>
        <w:kern w:val="14"/>
        <w:sz w:val="56"/>
      </w:rPr>
      <w:t></w: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5/AC.2/2018/40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AC.2/2018/40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604" w:rsidRPr="001075E9" w:rsidRDefault="006E760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E7604" w:rsidRDefault="006E760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2525AC" w:rsidRPr="002525AC" w:rsidRDefault="002525AC">
      <w:pPr>
        <w:pStyle w:val="FootnoteText"/>
        <w:rPr>
          <w:sz w:val="20"/>
        </w:rPr>
      </w:pPr>
      <w:r>
        <w:tab/>
      </w:r>
      <w:r w:rsidRPr="002525AC">
        <w:rPr>
          <w:rStyle w:val="FootnoteReference"/>
          <w:sz w:val="20"/>
          <w:vertAlign w:val="baseline"/>
        </w:rPr>
        <w:t>*</w:t>
      </w:r>
      <w:r w:rsidRPr="002525AC">
        <w:rPr>
          <w:rStyle w:val="FootnoteReference"/>
          <w:vertAlign w:val="baseline"/>
        </w:rPr>
        <w:tab/>
      </w:r>
      <w:r>
        <w:t>Распространено на немецком языке Центральной комиссией судоходства по Рейну под условным обозначением CCNR-ZKR/ADN/WP.15/AC.2/2018/40.</w:t>
      </w:r>
    </w:p>
  </w:footnote>
  <w:footnote w:id="2">
    <w:p w:rsidR="002525AC" w:rsidRPr="003A7D20" w:rsidRDefault="002525AC" w:rsidP="002525AC">
      <w:pPr>
        <w:pStyle w:val="FootnoteText"/>
      </w:pPr>
      <w:r>
        <w:tab/>
        <w:t>**</w:t>
      </w:r>
      <w:r>
        <w:tab/>
        <w:t xml:space="preserve">В соответствии с программой работы Комитета по внутреннему транспорту </w:t>
      </w:r>
      <w:r>
        <w:br/>
        <w:t>на 2018–2019 годы (ECE/TRANS/2018/21/Add.1, направление деятельности 9.3).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AC" w:rsidRPr="002525AC" w:rsidRDefault="00FA13C0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9D282A">
      <w:t>ECE/TRANS/WP.15/AC.2/2018/40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25AC" w:rsidRPr="002525AC" w:rsidRDefault="00FA13C0" w:rsidP="002525AC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9D282A">
      <w:t>ECE/TRANS/WP.15/AC.2/2018/40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77A96"/>
    <w:multiLevelType w:val="hybridMultilevel"/>
    <w:tmpl w:val="3A3C646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25AC"/>
    <w:rsid w:val="00255343"/>
    <w:rsid w:val="0027151D"/>
    <w:rsid w:val="002A2EFC"/>
    <w:rsid w:val="002B0106"/>
    <w:rsid w:val="002B74B1"/>
    <w:rsid w:val="002C0E18"/>
    <w:rsid w:val="002C4D25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3F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E7604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282A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B0084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A13C0"/>
    <w:rsid w:val="00FC7180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28FF94B4-76AB-4005-814B-2428C351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uiPriority w:val="99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qFormat/>
    <w:rsid w:val="002525AC"/>
    <w:pPr>
      <w:spacing w:after="120"/>
      <w:ind w:left="1134" w:right="1134"/>
      <w:jc w:val="both"/>
    </w:pPr>
    <w:rPr>
      <w:rFonts w:eastAsia="SimSun" w:cs="Times New Roman"/>
      <w:szCs w:val="20"/>
      <w:lang w:val="en-GB"/>
    </w:rPr>
  </w:style>
  <w:style w:type="paragraph" w:customStyle="1" w:styleId="HChG">
    <w:name w:val="_ H _Ch_G"/>
    <w:basedOn w:val="Normal"/>
    <w:next w:val="Normal"/>
    <w:rsid w:val="002525A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SimSu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2525A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SimSu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qFormat/>
    <w:rsid w:val="002525AC"/>
    <w:rPr>
      <w:rFonts w:eastAsia="SimSu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3759</Characters>
  <Application>Microsoft Office Word</Application>
  <DocSecurity>0</DocSecurity>
  <Lines>31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ECE/TRANS/WP.15/AC.2/2018/40</vt:lpstr>
      <vt:lpstr>ECE/TRANS/WP.15/AC.2/2018/40</vt:lpstr>
      <vt:lpstr>A/</vt:lpstr>
    </vt:vector>
  </TitlesOfParts>
  <Company>DCM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ECE/TRANS/WP.15/AC.2/2018/40</dc:title>
  <dc:subject/>
  <dc:creator>Svetlana PROKOUDINA</dc:creator>
  <cp:keywords/>
  <cp:lastModifiedBy>Caillot</cp:lastModifiedBy>
  <cp:revision>2</cp:revision>
  <cp:lastPrinted>2018-06-18T07:36:00Z</cp:lastPrinted>
  <dcterms:created xsi:type="dcterms:W3CDTF">2018-07-24T09:12:00Z</dcterms:created>
  <dcterms:modified xsi:type="dcterms:W3CDTF">2018-07-24T09:12:00Z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