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D842D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D842D8" w:rsidP="00D842D8">
            <w:pPr>
              <w:jc w:val="right"/>
            </w:pPr>
            <w:r w:rsidRPr="00D842D8">
              <w:rPr>
                <w:sz w:val="40"/>
              </w:rPr>
              <w:t>ECE</w:t>
            </w:r>
            <w:r>
              <w:t>/TRANS/WP.15/AC.2/2018/32</w:t>
            </w:r>
          </w:p>
        </w:tc>
      </w:tr>
      <w:tr w:rsidR="002D5AA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D842D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D842D8" w:rsidRDefault="00D842D8" w:rsidP="00D842D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4 June 2018</w:t>
            </w:r>
          </w:p>
          <w:p w:rsidR="00D842D8" w:rsidRDefault="00D842D8" w:rsidP="00D842D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D842D8" w:rsidRPr="008D53B6" w:rsidRDefault="00D842D8" w:rsidP="00D842D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842D8" w:rsidRPr="009176EE" w:rsidRDefault="00D842D8" w:rsidP="00D842D8">
      <w:pPr>
        <w:spacing w:before="120"/>
        <w:rPr>
          <w:sz w:val="28"/>
          <w:szCs w:val="28"/>
        </w:rPr>
      </w:pPr>
      <w:r w:rsidRPr="009176EE">
        <w:rPr>
          <w:sz w:val="28"/>
          <w:szCs w:val="28"/>
        </w:rPr>
        <w:t>Комитет по внутреннему транспорту</w:t>
      </w:r>
    </w:p>
    <w:p w:rsidR="00D842D8" w:rsidRPr="009176EE" w:rsidRDefault="00D842D8" w:rsidP="00D842D8">
      <w:pPr>
        <w:spacing w:before="120"/>
        <w:rPr>
          <w:b/>
          <w:sz w:val="24"/>
          <w:szCs w:val="24"/>
        </w:rPr>
      </w:pPr>
      <w:r w:rsidRPr="009176EE">
        <w:rPr>
          <w:b/>
          <w:bCs/>
          <w:sz w:val="24"/>
          <w:szCs w:val="24"/>
        </w:rPr>
        <w:t>Рабочая группа по перевозкам опасных грузов</w:t>
      </w:r>
    </w:p>
    <w:p w:rsidR="00D842D8" w:rsidRPr="009176EE" w:rsidRDefault="00D842D8" w:rsidP="00D842D8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  <w:t xml:space="preserve">прилагаемым к Европейскому соглашению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 xml:space="preserve">по внутренним водным путям (ВОПОГ) </w:t>
      </w:r>
      <w:r>
        <w:rPr>
          <w:b/>
          <w:bCs/>
        </w:rPr>
        <w:br/>
        <w:t>(Комитет по вопросам безопасности ВОПОГ)</w:t>
      </w:r>
    </w:p>
    <w:p w:rsidR="00D842D8" w:rsidRPr="009176EE" w:rsidRDefault="00D842D8" w:rsidP="00D842D8">
      <w:pPr>
        <w:spacing w:before="120"/>
        <w:rPr>
          <w:b/>
        </w:rPr>
      </w:pPr>
      <w:r>
        <w:rPr>
          <w:b/>
          <w:bCs/>
        </w:rPr>
        <w:t>Тридцать третья сессия</w:t>
      </w:r>
    </w:p>
    <w:p w:rsidR="00D842D8" w:rsidRPr="009176EE" w:rsidRDefault="00D842D8" w:rsidP="00D842D8">
      <w:r>
        <w:t>Женева, 27–31 августа 2018 года</w:t>
      </w:r>
    </w:p>
    <w:p w:rsidR="00D842D8" w:rsidRPr="009176EE" w:rsidRDefault="00D842D8" w:rsidP="00D842D8">
      <w:r>
        <w:t>Пункт 4 b) предварительной повестки дня</w:t>
      </w:r>
    </w:p>
    <w:p w:rsidR="00D842D8" w:rsidRPr="009176EE" w:rsidRDefault="00D842D8" w:rsidP="00D842D8">
      <w:r>
        <w:rPr>
          <w:b/>
          <w:bCs/>
        </w:rPr>
        <w:t xml:space="preserve">Предложения о внесении поправок в Правила, </w:t>
      </w:r>
      <w:r>
        <w:rPr>
          <w:b/>
          <w:bCs/>
        </w:rPr>
        <w:br/>
        <w:t>прилагаемые к ВОПОГ: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другие предложения</w:t>
      </w:r>
    </w:p>
    <w:p w:rsidR="00D842D8" w:rsidRPr="009176EE" w:rsidRDefault="00D842D8" w:rsidP="00D842D8">
      <w:pPr>
        <w:pStyle w:val="HChG"/>
        <w:keepNext w:val="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Поправки, касающиеся взрывозащиты на танкерах внутреннего плавания</w:t>
      </w:r>
    </w:p>
    <w:p w:rsidR="00D842D8" w:rsidRPr="00D842D8" w:rsidRDefault="00D842D8" w:rsidP="00D842D8">
      <w:pPr>
        <w:pStyle w:val="H1GR"/>
        <w:rPr>
          <w:lang w:val="en-US"/>
        </w:rPr>
      </w:pPr>
      <w:r>
        <w:tab/>
      </w:r>
      <w:r>
        <w:tab/>
        <w:t>Передано правительством Германии</w:t>
      </w:r>
      <w:r w:rsidRPr="00D842D8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>
        <w:rPr>
          <w:bCs/>
          <w:sz w:val="20"/>
          <w:lang w:val="en-US"/>
        </w:rPr>
        <w:t xml:space="preserve"> </w:t>
      </w:r>
      <w:r w:rsidRPr="00D842D8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8"/>
      </w:tblGrid>
      <w:tr w:rsidR="00D842D8" w:rsidRPr="00D842D8" w:rsidTr="002D39F5">
        <w:trPr>
          <w:jc w:val="center"/>
        </w:trPr>
        <w:tc>
          <w:tcPr>
            <w:tcW w:w="9628" w:type="dxa"/>
            <w:tcBorders>
              <w:bottom w:val="nil"/>
            </w:tcBorders>
          </w:tcPr>
          <w:p w:rsidR="00D842D8" w:rsidRPr="00D842D8" w:rsidRDefault="00D842D8" w:rsidP="00850215">
            <w:pPr>
              <w:tabs>
                <w:tab w:val="left" w:pos="255"/>
              </w:tabs>
              <w:spacing w:before="240" w:after="120"/>
              <w:rPr>
                <w:rFonts w:ascii="Times New Roman" w:hAnsi="Times New Roman" w:cs="Times New Roman"/>
                <w:sz w:val="24"/>
              </w:rPr>
            </w:pPr>
            <w:r w:rsidRPr="00D842D8">
              <w:rPr>
                <w:rFonts w:ascii="Times New Roman" w:hAnsi="Times New Roman" w:cs="Times New Roman"/>
              </w:rPr>
              <w:tab/>
            </w:r>
            <w:r w:rsidRPr="00D842D8">
              <w:rPr>
                <w:rFonts w:ascii="Times New Roman" w:hAnsi="Times New Roman" w:cs="Times New Roman"/>
                <w:i/>
                <w:sz w:val="24"/>
              </w:rPr>
              <w:t>Резюме</w:t>
            </w:r>
          </w:p>
        </w:tc>
      </w:tr>
      <w:tr w:rsidR="00D842D8" w:rsidRPr="00865D10" w:rsidTr="002D39F5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D842D8" w:rsidRPr="00865D10" w:rsidRDefault="00D842D8" w:rsidP="00865D10">
            <w:pPr>
              <w:pStyle w:val="SingleTxtGR"/>
              <w:tabs>
                <w:tab w:val="clear" w:pos="3402"/>
                <w:tab w:val="clear" w:pos="3969"/>
                <w:tab w:val="left" w:pos="3686"/>
              </w:tabs>
              <w:ind w:left="3686" w:hanging="2552"/>
              <w:rPr>
                <w:rFonts w:ascii="Times New Roman" w:hAnsi="Times New Roman"/>
                <w:sz w:val="20"/>
              </w:rPr>
            </w:pPr>
            <w:r w:rsidRPr="00865D10">
              <w:rPr>
                <w:rFonts w:ascii="Times New Roman" w:hAnsi="Times New Roman"/>
                <w:b/>
                <w:bCs/>
                <w:spacing w:val="-2"/>
                <w:sz w:val="20"/>
              </w:rPr>
              <w:t>Существо предложения:</w:t>
            </w:r>
            <w:r w:rsidRPr="00865D10">
              <w:rPr>
                <w:rFonts w:ascii="Times New Roman" w:hAnsi="Times New Roman"/>
                <w:b/>
                <w:bCs/>
                <w:sz w:val="20"/>
              </w:rPr>
              <w:tab/>
            </w:r>
            <w:r w:rsidRPr="00865D10">
              <w:rPr>
                <w:rFonts w:ascii="Times New Roman" w:hAnsi="Times New Roman"/>
                <w:bCs/>
                <w:sz w:val="20"/>
              </w:rPr>
              <w:t>Было отмечено, что поправки к ВОПОГ в</w:t>
            </w:r>
            <w:r w:rsidR="00865D10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865D10">
              <w:rPr>
                <w:rFonts w:ascii="Times New Roman" w:hAnsi="Times New Roman"/>
                <w:bCs/>
                <w:sz w:val="20"/>
              </w:rPr>
              <w:t>отношении взрывозащиты на танкерах внутреннего плавания, принятые Комитетом по</w:t>
            </w:r>
            <w:r w:rsidR="00865D10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865D10">
              <w:rPr>
                <w:rFonts w:ascii="Times New Roman" w:hAnsi="Times New Roman"/>
                <w:bCs/>
                <w:sz w:val="20"/>
              </w:rPr>
              <w:t>вопросам безопасности для вступления в силу 1 января 2019 года, требуют внесения некоторых исправлений.</w:t>
            </w:r>
          </w:p>
        </w:tc>
      </w:tr>
      <w:tr w:rsidR="00D842D8" w:rsidRPr="00865D10" w:rsidTr="002D39F5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D842D8" w:rsidRPr="00865D10" w:rsidRDefault="00D842D8" w:rsidP="00865D10">
            <w:pPr>
              <w:pStyle w:val="SingleTxtGR"/>
              <w:tabs>
                <w:tab w:val="clear" w:pos="3402"/>
                <w:tab w:val="clear" w:pos="3969"/>
                <w:tab w:val="left" w:pos="3686"/>
              </w:tabs>
              <w:ind w:left="3686" w:hanging="2552"/>
              <w:rPr>
                <w:rFonts w:ascii="Times New Roman" w:hAnsi="Times New Roman"/>
                <w:sz w:val="20"/>
              </w:rPr>
            </w:pPr>
            <w:r w:rsidRPr="00865D10">
              <w:rPr>
                <w:rFonts w:ascii="Times New Roman" w:hAnsi="Times New Roman"/>
                <w:b/>
                <w:bCs/>
                <w:spacing w:val="-2"/>
                <w:sz w:val="20"/>
              </w:rPr>
              <w:t>Предлагаемое решение:</w:t>
            </w:r>
            <w:r w:rsidRPr="00865D10">
              <w:rPr>
                <w:rFonts w:ascii="Times New Roman" w:hAnsi="Times New Roman"/>
                <w:b/>
                <w:bCs/>
                <w:sz w:val="20"/>
              </w:rPr>
              <w:tab/>
            </w:r>
            <w:r w:rsidRPr="00865D10">
              <w:rPr>
                <w:rFonts w:ascii="Times New Roman" w:hAnsi="Times New Roman"/>
                <w:bCs/>
                <w:sz w:val="20"/>
              </w:rPr>
              <w:t>Внести исправления в поправки, принятые для пунктов</w:t>
            </w:r>
            <w:r w:rsidR="00865D10">
              <w:rPr>
                <w:rFonts w:ascii="Times New Roman" w:hAnsi="Times New Roman"/>
                <w:bCs/>
                <w:sz w:val="20"/>
              </w:rPr>
              <w:t> </w:t>
            </w:r>
            <w:r w:rsidRPr="00865D10">
              <w:rPr>
                <w:rFonts w:ascii="Times New Roman" w:hAnsi="Times New Roman"/>
                <w:bCs/>
                <w:sz w:val="20"/>
              </w:rPr>
              <w:t>1.6.7.2.2.2 и 9.3.2.22.4.</w:t>
            </w:r>
          </w:p>
        </w:tc>
      </w:tr>
      <w:tr w:rsidR="00D842D8" w:rsidRPr="00865D10" w:rsidTr="002D39F5">
        <w:trPr>
          <w:jc w:val="center"/>
        </w:trPr>
        <w:tc>
          <w:tcPr>
            <w:tcW w:w="96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5D10" w:rsidRDefault="00D842D8" w:rsidP="00865D10">
            <w:pPr>
              <w:pStyle w:val="SingleTxtGR"/>
              <w:tabs>
                <w:tab w:val="clear" w:pos="3969"/>
                <w:tab w:val="left" w:pos="3686"/>
              </w:tabs>
              <w:spacing w:after="0"/>
              <w:ind w:left="3686" w:hanging="2552"/>
              <w:jc w:val="left"/>
              <w:rPr>
                <w:rFonts w:ascii="Times New Roman" w:hAnsi="Times New Roman"/>
                <w:bCs/>
                <w:sz w:val="20"/>
              </w:rPr>
            </w:pPr>
            <w:r w:rsidRPr="00865D10">
              <w:rPr>
                <w:rFonts w:ascii="Times New Roman" w:hAnsi="Times New Roman"/>
                <w:b/>
                <w:bCs/>
                <w:sz w:val="20"/>
              </w:rPr>
              <w:t>Справочные документы:</w:t>
            </w:r>
            <w:r w:rsidRPr="00865D10">
              <w:rPr>
                <w:rFonts w:ascii="Times New Roman" w:hAnsi="Times New Roman"/>
                <w:b/>
                <w:bCs/>
                <w:sz w:val="20"/>
              </w:rPr>
              <w:tab/>
            </w:r>
            <w:r w:rsidRPr="00865D10">
              <w:rPr>
                <w:rFonts w:ascii="Times New Roman" w:hAnsi="Times New Roman"/>
                <w:bCs/>
                <w:sz w:val="20"/>
              </w:rPr>
              <w:t>ECE/TRANS/WP.15/AC.2/2018/11;</w:t>
            </w:r>
          </w:p>
          <w:p w:rsidR="00865D10" w:rsidRDefault="00D842D8" w:rsidP="00865D10">
            <w:pPr>
              <w:pStyle w:val="SingleTxtGR"/>
              <w:tabs>
                <w:tab w:val="clear" w:pos="3969"/>
                <w:tab w:val="left" w:pos="3686"/>
              </w:tabs>
              <w:spacing w:after="0"/>
              <w:ind w:left="3686"/>
              <w:rPr>
                <w:rFonts w:ascii="Times New Roman" w:hAnsi="Times New Roman"/>
                <w:bCs/>
                <w:sz w:val="20"/>
              </w:rPr>
            </w:pPr>
            <w:r w:rsidRPr="00865D10">
              <w:rPr>
                <w:rFonts w:ascii="Times New Roman" w:hAnsi="Times New Roman"/>
                <w:bCs/>
                <w:sz w:val="20"/>
              </w:rPr>
              <w:t>неофициальный документ INF.14, представленный на тридцать второй сессии;</w:t>
            </w:r>
          </w:p>
          <w:p w:rsidR="00865D10" w:rsidRDefault="00865D10" w:rsidP="00865D10">
            <w:pPr>
              <w:pStyle w:val="SingleTxtGR"/>
              <w:tabs>
                <w:tab w:val="clear" w:pos="3969"/>
                <w:tab w:val="left" w:pos="3686"/>
              </w:tabs>
              <w:spacing w:after="0"/>
              <w:ind w:left="3686"/>
              <w:jc w:val="left"/>
              <w:rPr>
                <w:rFonts w:ascii="Times New Roman" w:hAnsi="Times New Roman"/>
                <w:bCs/>
                <w:sz w:val="20"/>
              </w:rPr>
            </w:pPr>
            <w:r w:rsidRPr="00865D10">
              <w:rPr>
                <w:rFonts w:ascii="Times New Roman" w:hAnsi="Times New Roman"/>
                <w:bCs/>
                <w:sz w:val="20"/>
              </w:rPr>
              <w:t>ECE/</w:t>
            </w:r>
            <w:r w:rsidR="00D842D8" w:rsidRPr="00865D10">
              <w:rPr>
                <w:rFonts w:ascii="Times New Roman" w:hAnsi="Times New Roman"/>
                <w:bCs/>
                <w:sz w:val="20"/>
              </w:rPr>
              <w:t xml:space="preserve">TRANS/WP.15/AC.1/66, пункты </w:t>
            </w:r>
            <w:r>
              <w:rPr>
                <w:rFonts w:ascii="Times New Roman" w:hAnsi="Times New Roman"/>
                <w:bCs/>
                <w:sz w:val="20"/>
              </w:rPr>
              <w:t>61–</w:t>
            </w:r>
            <w:r w:rsidR="00D842D8" w:rsidRPr="00865D10">
              <w:rPr>
                <w:rFonts w:ascii="Times New Roman" w:hAnsi="Times New Roman"/>
                <w:bCs/>
                <w:sz w:val="20"/>
              </w:rPr>
              <w:t>66;</w:t>
            </w:r>
          </w:p>
          <w:p w:rsidR="00D842D8" w:rsidRPr="00865D10" w:rsidRDefault="00D842D8" w:rsidP="00865D10">
            <w:pPr>
              <w:pStyle w:val="SingleTxtGR"/>
              <w:tabs>
                <w:tab w:val="clear" w:pos="3969"/>
                <w:tab w:val="left" w:pos="3686"/>
              </w:tabs>
              <w:ind w:left="3686"/>
              <w:jc w:val="left"/>
              <w:rPr>
                <w:rFonts w:ascii="Times New Roman" w:hAnsi="Times New Roman"/>
                <w:sz w:val="20"/>
              </w:rPr>
            </w:pPr>
            <w:r w:rsidRPr="00865D10">
              <w:rPr>
                <w:rFonts w:ascii="Times New Roman" w:hAnsi="Times New Roman"/>
                <w:bCs/>
                <w:sz w:val="20"/>
              </w:rPr>
              <w:t>ECE/TRANS/WP.15/AC.2/66/Add.1</w:t>
            </w:r>
          </w:p>
        </w:tc>
      </w:tr>
    </w:tbl>
    <w:p w:rsidR="002D39F5" w:rsidRPr="009176EE" w:rsidRDefault="002D39F5" w:rsidP="002D39F5">
      <w:pPr>
        <w:pStyle w:val="HChG"/>
      </w:pPr>
      <w:r>
        <w:lastRenderedPageBreak/>
        <w:tab/>
      </w:r>
      <w:r>
        <w:tab/>
      </w:r>
      <w:proofErr w:type="spellStart"/>
      <w:r>
        <w:t>Введение</w:t>
      </w:r>
      <w:proofErr w:type="spellEnd"/>
    </w:p>
    <w:p w:rsidR="002D39F5" w:rsidRPr="009176EE" w:rsidRDefault="002D39F5" w:rsidP="002D39F5">
      <w:pPr>
        <w:pStyle w:val="SingleTxtG"/>
        <w:rPr>
          <w:bCs/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  <w:t>На своей тридцать второй сессии, состоявшейся в январе 2018 года, Комитет по вопросам безопасности рассмотрел и принял многочисленные поправки к ВОПОГ, касающиеся взрывозащиты на борту сухогрузных судов и танкеров.</w:t>
      </w:r>
    </w:p>
    <w:p w:rsidR="002D39F5" w:rsidRPr="009176EE" w:rsidRDefault="002D39F5" w:rsidP="002D39F5">
      <w:pPr>
        <w:pStyle w:val="SingleTxtG"/>
        <w:rPr>
          <w:bCs/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>Анализ всех предложений о внесении изменений, подготовленных секретариатом ЦКСР на немецком языке, а также информации, полученной от сектора судоходства, позволил сделать вывод о том, что поправки, принятые для двух пунктов ВОПОГ, содержат редакционные ошибки, которые необходимо исправить до вступления поправок в силу 1 января 2019 года.</w:t>
      </w:r>
    </w:p>
    <w:p w:rsidR="002D39F5" w:rsidRPr="009176EE" w:rsidRDefault="002D39F5" w:rsidP="002D39F5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Предложения и их обоснование</w:t>
      </w:r>
    </w:p>
    <w:p w:rsidR="002D39F5" w:rsidRPr="009176EE" w:rsidRDefault="002D39F5" w:rsidP="002D39F5">
      <w:pPr>
        <w:pStyle w:val="SingleTxtG"/>
        <w:rPr>
          <w:rFonts w:cs="Arial"/>
          <w:lang w:val="ru-RU"/>
        </w:rPr>
      </w:pPr>
      <w:proofErr w:type="gramStart"/>
      <w:r>
        <w:rPr>
          <w:lang w:val="ru-RU"/>
        </w:rPr>
        <w:t>3.</w:t>
      </w:r>
      <w:r>
        <w:rPr>
          <w:lang w:val="ru-RU"/>
        </w:rPr>
        <w:tab/>
        <w:t>В</w:t>
      </w:r>
      <w:proofErr w:type="gramEnd"/>
      <w:r>
        <w:rPr>
          <w:lang w:val="ru-RU"/>
        </w:rPr>
        <w:t xml:space="preserve"> определении «</w:t>
      </w:r>
      <w:r>
        <w:rPr>
          <w:b/>
          <w:bCs/>
          <w:lang w:val="ru-RU"/>
        </w:rPr>
        <w:t>Устройство для безопасного сброса давления в грузовых танках</w:t>
      </w:r>
      <w:r>
        <w:rPr>
          <w:lang w:val="ru-RU"/>
        </w:rPr>
        <w:t>», содержащемся в разделе 1.2.1 ВОПОГ, упоминается только стандарт ISO</w:t>
      </w:r>
      <w:r w:rsidR="005E2946">
        <w:rPr>
          <w:lang w:val="ru-RU"/>
        </w:rPr>
        <w:t> </w:t>
      </w:r>
      <w:r>
        <w:rPr>
          <w:lang w:val="ru-RU"/>
        </w:rPr>
        <w:t>16852:2016 в отличие от предыдущей версии данного переходного положения, в</w:t>
      </w:r>
      <w:r>
        <w:rPr>
          <w:lang w:val="en-US"/>
        </w:rPr>
        <w:t> </w:t>
      </w:r>
      <w:r>
        <w:rPr>
          <w:lang w:val="ru-RU"/>
        </w:rPr>
        <w:t>которой упоминался стандарт ISO 16852:2010 или EN ISO 16852:2010.</w:t>
      </w:r>
    </w:p>
    <w:p w:rsidR="002D39F5" w:rsidRPr="009176EE" w:rsidRDefault="002D39F5" w:rsidP="002D39F5">
      <w:pPr>
        <w:pStyle w:val="SingleTxtG"/>
        <w:rPr>
          <w:rFonts w:eastAsia="Calibri"/>
          <w:lang w:val="ru-RU"/>
        </w:rPr>
      </w:pPr>
      <w:proofErr w:type="gramStart"/>
      <w:r>
        <w:rPr>
          <w:lang w:val="ru-RU"/>
        </w:rPr>
        <w:t>4.</w:t>
      </w:r>
      <w:r>
        <w:rPr>
          <w:lang w:val="ru-RU"/>
        </w:rPr>
        <w:tab/>
        <w:t>В</w:t>
      </w:r>
      <w:proofErr w:type="gramEnd"/>
      <w:r>
        <w:rPr>
          <w:lang w:val="ru-RU"/>
        </w:rPr>
        <w:t xml:space="preserve"> перечисленных ниже новых или измененных определениях, включенных в раздел 1.2.1 ВОПОГ, к числу стандартов, в соответствии с которыми могут быть представлены доказательства соблюдения предъявляемых требований, после указания «предусмотренная в директиве 2014/34/EU» следует добавить стандарт «схема </w:t>
      </w:r>
      <w:proofErr w:type="spellStart"/>
      <w:r>
        <w:rPr>
          <w:lang w:val="ru-RU"/>
        </w:rPr>
        <w:t>IECEx</w:t>
      </w:r>
      <w:proofErr w:type="spellEnd"/>
      <w:r>
        <w:rPr>
          <w:lang w:val="ru-RU"/>
        </w:rPr>
        <w:t xml:space="preserve">» со сноской «х) http://iecex.com/rules»: </w:t>
      </w:r>
    </w:p>
    <w:p w:rsidR="002D39F5" w:rsidRPr="009176EE" w:rsidRDefault="002D39F5" w:rsidP="002D39F5">
      <w:pPr>
        <w:pStyle w:val="SingleTxtG"/>
        <w:rPr>
          <w:rFonts w:eastAsia="Calibri"/>
          <w:i/>
          <w:iCs/>
          <w:lang w:val="ru-RU"/>
        </w:rPr>
      </w:pPr>
      <w:r>
        <w:rPr>
          <w:i/>
          <w:iCs/>
          <w:lang w:val="ru-RU"/>
        </w:rPr>
        <w:t>«</w:t>
      </w:r>
      <w:proofErr w:type="spellStart"/>
      <w:r>
        <w:rPr>
          <w:i/>
          <w:iCs/>
          <w:lang w:val="ru-RU"/>
        </w:rPr>
        <w:t>Токсиметр</w:t>
      </w:r>
      <w:proofErr w:type="spellEnd"/>
      <w:r>
        <w:rPr>
          <w:i/>
          <w:iCs/>
          <w:lang w:val="ru-RU"/>
        </w:rPr>
        <w:t>», «Пламегаситель», «Быстродействующий выпускной клапан», «Отверстие для взятия проб», «Вакуумный клапан», «Устройство для безопасного сброса давления в грузовых танках».</w:t>
      </w:r>
    </w:p>
    <w:p w:rsidR="002D39F5" w:rsidRPr="009176EE" w:rsidRDefault="002D39F5" w:rsidP="002D39F5">
      <w:pPr>
        <w:pStyle w:val="SingleTxtG"/>
        <w:rPr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  <w:t>Указанный стандарт применим так же, как и в случае оборудования и автономных систем взрывозащиты, таких как «</w:t>
      </w:r>
      <w:proofErr w:type="spellStart"/>
      <w:r>
        <w:rPr>
          <w:lang w:val="ru-RU"/>
        </w:rPr>
        <w:t>Газодетекторная</w:t>
      </w:r>
      <w:proofErr w:type="spellEnd"/>
      <w:r>
        <w:rPr>
          <w:lang w:val="ru-RU"/>
        </w:rPr>
        <w:t xml:space="preserve"> система»,</w:t>
      </w:r>
      <w:r w:rsidR="005E2946">
        <w:rPr>
          <w:lang w:val="ru-RU"/>
        </w:rPr>
        <w:t xml:space="preserve"> «</w:t>
      </w:r>
      <w:r>
        <w:rPr>
          <w:lang w:val="ru-RU"/>
        </w:rPr>
        <w:t>Индикатор воспламеняющихся газов» и «</w:t>
      </w:r>
      <w:proofErr w:type="spellStart"/>
      <w:r>
        <w:rPr>
          <w:lang w:val="ru-RU"/>
        </w:rPr>
        <w:t>Кислородометр</w:t>
      </w:r>
      <w:proofErr w:type="spellEnd"/>
      <w:r>
        <w:rPr>
          <w:lang w:val="ru-RU"/>
        </w:rPr>
        <w:t>», и, как полагают немецкие эксперты, участвующие в рабочей группе, просто был упущен из виду в ходе подготовки предложения о поправке.</w:t>
      </w:r>
    </w:p>
    <w:p w:rsidR="002D39F5" w:rsidRDefault="002D39F5" w:rsidP="002D39F5">
      <w:pPr>
        <w:pStyle w:val="SingleTxtG"/>
        <w:rPr>
          <w:lang w:val="ru-RU"/>
        </w:rPr>
      </w:pPr>
      <w:proofErr w:type="gramStart"/>
      <w:r>
        <w:rPr>
          <w:lang w:val="ru-RU"/>
        </w:rPr>
        <w:t>6.</w:t>
      </w:r>
      <w:r>
        <w:rPr>
          <w:lang w:val="ru-RU"/>
        </w:rPr>
        <w:tab/>
        <w:t>В</w:t>
      </w:r>
      <w:proofErr w:type="gramEnd"/>
      <w:r>
        <w:rPr>
          <w:lang w:val="ru-RU"/>
        </w:rPr>
        <w:t xml:space="preserve"> принятом для ВОПОГ 2019 года переходном положении, содержащемся в таблице 1.6.7.2.2.2 ВОПОГ, раздел 1.2.1, определение «</w:t>
      </w:r>
      <w:r>
        <w:rPr>
          <w:b/>
          <w:bCs/>
          <w:lang w:val="ru-RU"/>
        </w:rPr>
        <w:t>Устройство для безопасного сброса давления в грузовых танках</w:t>
      </w:r>
      <w:r>
        <w:rPr>
          <w:lang w:val="ru-RU"/>
        </w:rPr>
        <w:t>», имеется опечатка. Ее следует исправить следующим образом:</w:t>
      </w:r>
    </w:p>
    <w:tbl>
      <w:tblPr>
        <w:tblStyle w:val="Grilledutableau6"/>
        <w:tblW w:w="882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37"/>
        <w:gridCol w:w="3899"/>
        <w:gridCol w:w="4286"/>
      </w:tblGrid>
      <w:tr w:rsidR="002D39F5" w:rsidRPr="002D39F5" w:rsidTr="002D39F5">
        <w:trPr>
          <w:cantSplit/>
          <w:trHeight w:val="28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F5" w:rsidRPr="002D39F5" w:rsidRDefault="002D39F5" w:rsidP="002D39F5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D39F5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F5" w:rsidRPr="002D39F5" w:rsidRDefault="002D39F5" w:rsidP="002D39F5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left="-1" w:firstLine="1"/>
              <w:textAlignment w:val="baseline"/>
              <w:rPr>
                <w:rFonts w:ascii="Times New Roman" w:hAnsi="Times New Roman" w:cs="Times New Roman"/>
              </w:rPr>
            </w:pPr>
            <w:r w:rsidRPr="002D39F5">
              <w:rPr>
                <w:rFonts w:ascii="Times New Roman" w:hAnsi="Times New Roman" w:cs="Times New Roman"/>
              </w:rPr>
              <w:t>Устройство для безопасного сброса давления в грузовых танках</w:t>
            </w:r>
          </w:p>
          <w:p w:rsidR="002D39F5" w:rsidRPr="002D39F5" w:rsidRDefault="002D39F5" w:rsidP="002D39F5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D39F5">
              <w:rPr>
                <w:rFonts w:ascii="Times New Roman" w:hAnsi="Times New Roman" w:cs="Times New Roman"/>
              </w:rPr>
              <w:t xml:space="preserve">Устойчивость к </w:t>
            </w:r>
            <w:proofErr w:type="spellStart"/>
            <w:r w:rsidRPr="002D39F5">
              <w:rPr>
                <w:rFonts w:ascii="Times New Roman" w:hAnsi="Times New Roman" w:cs="Times New Roman"/>
              </w:rPr>
              <w:t>дефлаграции</w:t>
            </w:r>
            <w:proofErr w:type="spellEnd"/>
          </w:p>
          <w:p w:rsidR="002D39F5" w:rsidRPr="002D39F5" w:rsidRDefault="002D39F5" w:rsidP="002D39F5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left="-1" w:firstLine="1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D39F5">
              <w:rPr>
                <w:rFonts w:ascii="Times New Roman" w:hAnsi="Times New Roman" w:cs="Times New Roman"/>
              </w:rPr>
              <w:t xml:space="preserve">Испытание в соответствии со стандартом </w:t>
            </w:r>
            <w:r w:rsidRPr="005E2946">
              <w:rPr>
                <w:rFonts w:ascii="Times New Roman" w:hAnsi="Times New Roman" w:cs="Times New Roman"/>
                <w:spacing w:val="-4"/>
              </w:rPr>
              <w:t>ISO 16852:</w:t>
            </w:r>
            <w:r w:rsidRPr="005E2946">
              <w:rPr>
                <w:rFonts w:ascii="Times New Roman" w:hAnsi="Times New Roman" w:cs="Times New Roman"/>
                <w:spacing w:val="-4"/>
                <w:u w:val="single"/>
              </w:rPr>
              <w:t>2016</w:t>
            </w:r>
            <w:r w:rsidRPr="005E2946">
              <w:rPr>
                <w:rFonts w:ascii="Times New Roman" w:hAnsi="Times New Roman" w:cs="Times New Roman"/>
                <w:strike/>
                <w:spacing w:val="-4"/>
              </w:rPr>
              <w:t>2010 или EN ISO 16852:2010</w:t>
            </w:r>
            <w:r w:rsidRPr="005E2946">
              <w:rPr>
                <w:rFonts w:ascii="Times New Roman" w:hAnsi="Times New Roman" w:cs="Times New Roman"/>
                <w:spacing w:val="-4"/>
              </w:rPr>
              <w:t>/</w:t>
            </w:r>
            <w:r w:rsidR="005E2946" w:rsidRPr="005E294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E2946">
              <w:rPr>
                <w:rFonts w:ascii="Times New Roman" w:hAnsi="Times New Roman" w:cs="Times New Roman"/>
                <w:spacing w:val="-4"/>
              </w:rPr>
              <w:t xml:space="preserve">доказательства соблюдения предъявляемых </w:t>
            </w:r>
            <w:r w:rsidRPr="002D39F5">
              <w:rPr>
                <w:rFonts w:ascii="Times New Roman" w:hAnsi="Times New Roman" w:cs="Times New Roman"/>
              </w:rPr>
              <w:t>требований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F5" w:rsidRPr="002D39F5" w:rsidRDefault="002D39F5" w:rsidP="002D39F5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D39F5">
              <w:rPr>
                <w:rFonts w:ascii="Times New Roman" w:hAnsi="Times New Roman" w:cs="Times New Roman"/>
              </w:rPr>
              <w:t>Н.З.М. с 1 января 2019 года</w:t>
            </w:r>
          </w:p>
          <w:p w:rsidR="002D39F5" w:rsidRPr="002D39F5" w:rsidRDefault="002D39F5" w:rsidP="002D39F5">
            <w:pPr>
              <w:widowControl w:val="0"/>
              <w:overflowPunct w:val="0"/>
              <w:autoSpaceDE w:val="0"/>
              <w:autoSpaceDN w:val="0"/>
              <w:adjustRightInd w:val="0"/>
              <w:spacing w:after="240"/>
              <w:ind w:left="34" w:firstLine="3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D39F5">
              <w:rPr>
                <w:rFonts w:ascii="Times New Roman" w:hAnsi="Times New Roman" w:cs="Times New Roman"/>
              </w:rPr>
              <w:t>Возобновление свидетельства о допущении после 31 декабря 2034 года</w:t>
            </w:r>
          </w:p>
          <w:p w:rsidR="002D39F5" w:rsidRPr="002D39F5" w:rsidRDefault="002D39F5" w:rsidP="002D39F5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left="33" w:hanging="33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D39F5">
              <w:rPr>
                <w:rFonts w:ascii="Times New Roman" w:hAnsi="Times New Roman" w:cs="Times New Roman"/>
              </w:rPr>
              <w:t xml:space="preserve">Устойчивость к </w:t>
            </w:r>
            <w:proofErr w:type="spellStart"/>
            <w:r w:rsidRPr="002D39F5">
              <w:rPr>
                <w:rFonts w:ascii="Times New Roman" w:hAnsi="Times New Roman" w:cs="Times New Roman"/>
              </w:rPr>
              <w:t>дефлаграции</w:t>
            </w:r>
            <w:proofErr w:type="spellEnd"/>
            <w:r w:rsidRPr="002D39F5">
              <w:rPr>
                <w:rFonts w:ascii="Times New Roman" w:hAnsi="Times New Roman" w:cs="Times New Roman"/>
              </w:rPr>
              <w:t xml:space="preserve"> должна быть испытана в соответствии со стандартом EN</w:t>
            </w:r>
            <w:r>
              <w:rPr>
                <w:rFonts w:ascii="Times New Roman" w:hAnsi="Times New Roman" w:cs="Times New Roman"/>
              </w:rPr>
              <w:t> </w:t>
            </w:r>
            <w:r w:rsidRPr="002D39F5">
              <w:rPr>
                <w:rFonts w:ascii="Times New Roman" w:hAnsi="Times New Roman" w:cs="Times New Roman"/>
              </w:rPr>
              <w:t>12874:2001, включая подтверждение изготовителя согласно директиве 94/9/ЕС, на борту судов, построенных или модифицированных начиная с 1 января 2001</w:t>
            </w:r>
            <w:r>
              <w:rPr>
                <w:rFonts w:ascii="Times New Roman" w:hAnsi="Times New Roman" w:cs="Times New Roman"/>
              </w:rPr>
              <w:t> </w:t>
            </w:r>
            <w:r w:rsidRPr="002D39F5">
              <w:rPr>
                <w:rFonts w:ascii="Times New Roman" w:hAnsi="Times New Roman" w:cs="Times New Roman"/>
              </w:rPr>
              <w:t>года, или, если устройство для безопасного сброса давления в грузовых танках было заменено, – начиная с 1 января 2001 года. В других случаях тип данных устройств должен быть утвержден компетентным органом для предусмотренного использования.</w:t>
            </w:r>
          </w:p>
        </w:tc>
      </w:tr>
    </w:tbl>
    <w:p w:rsidR="002D39F5" w:rsidRPr="009176EE" w:rsidRDefault="002D39F5" w:rsidP="002D39F5">
      <w:pPr>
        <w:pStyle w:val="SingleTxtG"/>
        <w:keepNext/>
        <w:keepLines/>
        <w:spacing w:before="120"/>
        <w:rPr>
          <w:rFonts w:cs="Arial"/>
          <w:lang w:val="ru-RU"/>
        </w:rPr>
      </w:pPr>
      <w:proofErr w:type="gramStart"/>
      <w:r>
        <w:rPr>
          <w:lang w:val="ru-RU"/>
        </w:rPr>
        <w:lastRenderedPageBreak/>
        <w:t>7.</w:t>
      </w:r>
      <w:r>
        <w:rPr>
          <w:lang w:val="ru-RU"/>
        </w:rPr>
        <w:tab/>
        <w:t>В</w:t>
      </w:r>
      <w:proofErr w:type="gramEnd"/>
      <w:r>
        <w:rPr>
          <w:lang w:val="ru-RU"/>
        </w:rPr>
        <w:t xml:space="preserve"> принятом для ВОПОГ 2019 года переходном положении, содержащемся в таблице 1.6.7.2.2.2 ВОПОГ, раздел 1.2.1, определение «</w:t>
      </w:r>
      <w:r>
        <w:rPr>
          <w:b/>
          <w:bCs/>
          <w:lang w:val="ru-RU"/>
        </w:rPr>
        <w:t>Система измерения содержания кислорода</w:t>
      </w:r>
      <w:r>
        <w:rPr>
          <w:lang w:val="ru-RU"/>
        </w:rPr>
        <w:t>», содержится дополнение «и т. д.» после ссылки на стандарт, в отношении которого будет применяться переходное положение. Однако в самом определении упоминается только стандарт EN 50104:2011. Таким образом, в данном переходном положении следует исключить «и т. д.» во второй колонке во избежание недоразумений.</w:t>
      </w:r>
    </w:p>
    <w:tbl>
      <w:tblPr>
        <w:tblStyle w:val="Grilledutableau6"/>
        <w:tblW w:w="89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51"/>
        <w:gridCol w:w="3927"/>
        <w:gridCol w:w="4286"/>
      </w:tblGrid>
      <w:tr w:rsidR="002D39F5" w:rsidRPr="002D39F5" w:rsidTr="002D39F5">
        <w:trPr>
          <w:cantSplit/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F5" w:rsidRPr="002D39F5" w:rsidRDefault="002D39F5" w:rsidP="002D39F5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2D39F5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F5" w:rsidRPr="002D39F5" w:rsidRDefault="002D39F5" w:rsidP="002D39F5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2D39F5">
              <w:rPr>
                <w:rFonts w:ascii="Times New Roman" w:hAnsi="Times New Roman" w:cs="Times New Roman"/>
              </w:rPr>
              <w:t>Система измерения содержания кислорода</w:t>
            </w:r>
          </w:p>
          <w:p w:rsidR="002D39F5" w:rsidRPr="002D39F5" w:rsidRDefault="002D39F5" w:rsidP="002D39F5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2D39F5">
              <w:rPr>
                <w:rFonts w:ascii="Times New Roman" w:hAnsi="Times New Roman" w:cs="Times New Roman"/>
              </w:rPr>
              <w:t xml:space="preserve">Испытание в соответствии со стандартом EN 50104:2010 </w:t>
            </w:r>
            <w:r w:rsidRPr="002D39F5">
              <w:rPr>
                <w:rFonts w:ascii="Times New Roman" w:hAnsi="Times New Roman" w:cs="Times New Roman"/>
                <w:strike/>
              </w:rPr>
              <w:t>и т.д.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F5" w:rsidRPr="002D39F5" w:rsidRDefault="002D39F5" w:rsidP="002D39F5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2D39F5">
              <w:rPr>
                <w:rFonts w:ascii="Times New Roman" w:hAnsi="Times New Roman" w:cs="Times New Roman"/>
              </w:rPr>
              <w:t>Н.З.М. с 1 января 2019 года</w:t>
            </w:r>
          </w:p>
          <w:p w:rsidR="002D39F5" w:rsidRPr="002D39F5" w:rsidRDefault="002D39F5" w:rsidP="002D39F5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2D39F5">
              <w:rPr>
                <w:rFonts w:ascii="Times New Roman" w:hAnsi="Times New Roman" w:cs="Times New Roman"/>
              </w:rPr>
              <w:t>Возобновление свидетельства о допущении после 31 декабря 2020 года</w:t>
            </w:r>
          </w:p>
        </w:tc>
      </w:tr>
    </w:tbl>
    <w:p w:rsidR="002D39F5" w:rsidRPr="009176EE" w:rsidRDefault="002D39F5" w:rsidP="002D39F5">
      <w:pPr>
        <w:pStyle w:val="SingleTxtG"/>
        <w:spacing w:before="120"/>
        <w:rPr>
          <w:rFonts w:cs="Arial"/>
          <w:lang w:val="ru-RU"/>
        </w:rPr>
      </w:pPr>
      <w:r>
        <w:rPr>
          <w:lang w:val="ru-RU"/>
        </w:rPr>
        <w:t>8.</w:t>
      </w:r>
      <w:r>
        <w:rPr>
          <w:lang w:val="ru-RU"/>
        </w:rPr>
        <w:tab/>
        <w:t>Поправка к определению «</w:t>
      </w:r>
      <w:r>
        <w:rPr>
          <w:b/>
          <w:bCs/>
          <w:lang w:val="ru-RU"/>
        </w:rPr>
        <w:t>Вакуумный клапан</w:t>
      </w:r>
      <w:r>
        <w:rPr>
          <w:lang w:val="ru-RU"/>
        </w:rPr>
        <w:t xml:space="preserve">» в разделе 1.2.1 ВОПОГ требует включения переходного положения в пункт 1.6.7.2.2.2 ВОПОГ. Как и в случае других добавленных или измененных определений, таких как «Отверстие для взятия проб» и «Устройство для безопасного сброса давления в грузовых танках», это переходное положение должно касаться доказательства устойчивости к </w:t>
      </w:r>
      <w:proofErr w:type="spellStart"/>
      <w:r>
        <w:rPr>
          <w:lang w:val="ru-RU"/>
        </w:rPr>
        <w:t>дефлаграции</w:t>
      </w:r>
      <w:proofErr w:type="spellEnd"/>
      <w:r>
        <w:rPr>
          <w:lang w:val="ru-RU"/>
        </w:rPr>
        <w:t>, которое впервые требуется в такой форме в ВОПОГ 2019 года.</w:t>
      </w:r>
    </w:p>
    <w:p w:rsidR="002D39F5" w:rsidRPr="009176EE" w:rsidRDefault="002D39F5" w:rsidP="002D39F5">
      <w:pPr>
        <w:pStyle w:val="SingleTxtG"/>
        <w:rPr>
          <w:rFonts w:cs="Arial"/>
          <w:lang w:val="ru-RU"/>
        </w:rPr>
      </w:pPr>
      <w:proofErr w:type="gramStart"/>
      <w:r>
        <w:rPr>
          <w:lang w:val="ru-RU"/>
        </w:rPr>
        <w:t>9.</w:t>
      </w:r>
      <w:r>
        <w:rPr>
          <w:lang w:val="ru-RU"/>
        </w:rPr>
        <w:tab/>
        <w:t>В</w:t>
      </w:r>
      <w:proofErr w:type="gramEnd"/>
      <w:r>
        <w:rPr>
          <w:lang w:val="ru-RU"/>
        </w:rPr>
        <w:t xml:space="preserve"> порядке дополнения и для того, чтобы обеспечить эффективное выполнение требований, предлагается добавить в пункт 1.6.7.2.2.2 ВОПОГ 2019 года нижеследующее дополнительное переходное положение:</w:t>
      </w:r>
    </w:p>
    <w:tbl>
      <w:tblPr>
        <w:tblStyle w:val="Grilledutableau6"/>
        <w:tblW w:w="89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37"/>
        <w:gridCol w:w="3941"/>
        <w:gridCol w:w="4286"/>
      </w:tblGrid>
      <w:tr w:rsidR="002D39F5" w:rsidRPr="002D39F5" w:rsidTr="002D39F5">
        <w:trPr>
          <w:cantSplit/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F5" w:rsidRPr="002D39F5" w:rsidRDefault="002D39F5" w:rsidP="002D39F5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D39F5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F5" w:rsidRPr="002D39F5" w:rsidRDefault="002D39F5" w:rsidP="002D39F5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D39F5">
              <w:rPr>
                <w:rFonts w:ascii="Times New Roman" w:hAnsi="Times New Roman" w:cs="Times New Roman"/>
              </w:rPr>
              <w:t>Вакуумный клапан</w:t>
            </w:r>
          </w:p>
          <w:p w:rsidR="002D39F5" w:rsidRPr="002D39F5" w:rsidRDefault="002D39F5" w:rsidP="002D39F5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D39F5">
              <w:rPr>
                <w:rFonts w:ascii="Times New Roman" w:hAnsi="Times New Roman" w:cs="Times New Roman"/>
              </w:rPr>
              <w:t xml:space="preserve">Устойчивость к </w:t>
            </w:r>
            <w:proofErr w:type="spellStart"/>
            <w:r w:rsidRPr="002D39F5">
              <w:rPr>
                <w:rFonts w:ascii="Times New Roman" w:hAnsi="Times New Roman" w:cs="Times New Roman"/>
              </w:rPr>
              <w:t>дефлаграции</w:t>
            </w:r>
            <w:proofErr w:type="spellEnd"/>
          </w:p>
          <w:p w:rsidR="002D39F5" w:rsidRPr="002D39F5" w:rsidRDefault="002D39F5" w:rsidP="002D39F5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left="33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D39F5">
              <w:rPr>
                <w:rFonts w:ascii="Times New Roman" w:hAnsi="Times New Roman" w:cs="Times New Roman"/>
              </w:rPr>
              <w:t>Испытание в соответствии со стандартом ISO 16852:2016</w:t>
            </w:r>
          </w:p>
          <w:p w:rsidR="002D39F5" w:rsidRPr="002D39F5" w:rsidRDefault="002D39F5" w:rsidP="002D39F5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left="33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D39F5">
              <w:rPr>
                <w:rFonts w:ascii="Times New Roman" w:hAnsi="Times New Roman" w:cs="Times New Roman"/>
                <w:spacing w:val="-4"/>
              </w:rPr>
              <w:t xml:space="preserve">Доказательства соблюдения предъявляемых </w:t>
            </w:r>
            <w:r w:rsidRPr="002D39F5">
              <w:rPr>
                <w:rFonts w:ascii="Times New Roman" w:hAnsi="Times New Roman" w:cs="Times New Roman"/>
              </w:rPr>
              <w:t>требований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F5" w:rsidRPr="002D39F5" w:rsidRDefault="002D39F5" w:rsidP="002D39F5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D39F5">
              <w:rPr>
                <w:rFonts w:ascii="Times New Roman" w:hAnsi="Times New Roman" w:cs="Times New Roman"/>
              </w:rPr>
              <w:t>Н.З.М. с 1 января 2019 года</w:t>
            </w:r>
          </w:p>
          <w:p w:rsidR="002D39F5" w:rsidRPr="002D39F5" w:rsidRDefault="002D39F5" w:rsidP="002D39F5">
            <w:pPr>
              <w:widowControl w:val="0"/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D39F5">
              <w:rPr>
                <w:rFonts w:ascii="Times New Roman" w:hAnsi="Times New Roman" w:cs="Times New Roman"/>
              </w:rPr>
              <w:t>Возобновление свидетельства о допущении после 31 декабря 2034 года</w:t>
            </w:r>
          </w:p>
          <w:p w:rsidR="002D39F5" w:rsidRPr="002D39F5" w:rsidRDefault="002D39F5" w:rsidP="002D39F5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left="33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D39F5">
              <w:rPr>
                <w:rFonts w:ascii="Times New Roman" w:hAnsi="Times New Roman" w:cs="Times New Roman"/>
              </w:rPr>
              <w:t xml:space="preserve">Устойчивость к </w:t>
            </w:r>
            <w:proofErr w:type="spellStart"/>
            <w:r w:rsidRPr="002D39F5">
              <w:rPr>
                <w:rFonts w:ascii="Times New Roman" w:hAnsi="Times New Roman" w:cs="Times New Roman"/>
              </w:rPr>
              <w:t>дефлаграции</w:t>
            </w:r>
            <w:proofErr w:type="spellEnd"/>
            <w:r w:rsidRPr="002D39F5">
              <w:rPr>
                <w:rFonts w:ascii="Times New Roman" w:hAnsi="Times New Roman" w:cs="Times New Roman"/>
              </w:rPr>
              <w:t xml:space="preserve"> должна быть испытана в соответствии со стандартом EN</w:t>
            </w:r>
            <w:r>
              <w:rPr>
                <w:rFonts w:ascii="Times New Roman" w:hAnsi="Times New Roman" w:cs="Times New Roman"/>
              </w:rPr>
              <w:t> </w:t>
            </w:r>
            <w:r w:rsidRPr="002D39F5">
              <w:rPr>
                <w:rFonts w:ascii="Times New Roman" w:hAnsi="Times New Roman" w:cs="Times New Roman"/>
              </w:rPr>
              <w:t>12874:2001, включая подтверждение изготовителя согласно директиве 94/9/ЕС или равноценному документу, на борту судов, построенных или модифицированных начиная с 1 января 2001 года, или если вакуумный клапан был заменен начиная с 1 января 2001</w:t>
            </w:r>
            <w:r>
              <w:rPr>
                <w:rFonts w:ascii="Times New Roman" w:hAnsi="Times New Roman" w:cs="Times New Roman"/>
              </w:rPr>
              <w:t> </w:t>
            </w:r>
            <w:r w:rsidRPr="002D39F5">
              <w:rPr>
                <w:rFonts w:ascii="Times New Roman" w:hAnsi="Times New Roman" w:cs="Times New Roman"/>
              </w:rPr>
              <w:t xml:space="preserve">года. </w:t>
            </w:r>
          </w:p>
          <w:p w:rsidR="002D39F5" w:rsidRPr="002D39F5" w:rsidRDefault="002D39F5" w:rsidP="002D39F5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left="33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D39F5">
              <w:rPr>
                <w:rFonts w:ascii="Times New Roman" w:hAnsi="Times New Roman" w:cs="Times New Roman"/>
              </w:rPr>
              <w:t>В других случаях тип данных клапанов должен быть утвержден компетентным органом для предусмотренного использования.</w:t>
            </w:r>
          </w:p>
        </w:tc>
      </w:tr>
    </w:tbl>
    <w:p w:rsidR="002D39F5" w:rsidRPr="009176EE" w:rsidRDefault="002D39F5" w:rsidP="002D39F5">
      <w:pPr>
        <w:pStyle w:val="SingleTxtG"/>
        <w:spacing w:before="120"/>
        <w:rPr>
          <w:rFonts w:cs="Arial"/>
          <w:lang w:val="ru-RU"/>
        </w:rPr>
      </w:pPr>
      <w:proofErr w:type="gramStart"/>
      <w:r>
        <w:rPr>
          <w:lang w:val="ru-RU"/>
        </w:rPr>
        <w:t>10.</w:t>
      </w:r>
      <w:r>
        <w:rPr>
          <w:lang w:val="ru-RU"/>
        </w:rPr>
        <w:tab/>
        <w:t>В</w:t>
      </w:r>
      <w:proofErr w:type="gramEnd"/>
      <w:r>
        <w:rPr>
          <w:lang w:val="ru-RU"/>
        </w:rPr>
        <w:t xml:space="preserve"> принятой поправке к пункту 9.3.2.11.2 а) ВОПОГ 2019 года имеется редакционная ошибка, перенесенная из ВОПОГ 2017 года. Поэтому новую формулировку пункта 9.3.2.11.</w:t>
      </w:r>
      <w:proofErr w:type="gramStart"/>
      <w:r>
        <w:rPr>
          <w:lang w:val="ru-RU"/>
        </w:rPr>
        <w:t>2</w:t>
      </w:r>
      <w:proofErr w:type="gramEnd"/>
      <w:r>
        <w:rPr>
          <w:lang w:val="ru-RU"/>
        </w:rPr>
        <w:t xml:space="preserve"> а) следует исправить следующим образом:</w:t>
      </w:r>
    </w:p>
    <w:p w:rsidR="002D39F5" w:rsidRPr="009176EE" w:rsidRDefault="002D39F5" w:rsidP="002D39F5">
      <w:pPr>
        <w:pStyle w:val="SingleTxtG"/>
        <w:rPr>
          <w:rFonts w:eastAsia="Calibri"/>
          <w:lang w:val="ru-RU"/>
        </w:rPr>
      </w:pPr>
      <w:r>
        <w:rPr>
          <w:lang w:val="ru-RU"/>
        </w:rPr>
        <w:t>Ссылку на «9.3.2.11.7» заменить ссылкой на «9.3.2.11.8».</w:t>
      </w:r>
    </w:p>
    <w:p w:rsidR="002D39F5" w:rsidRPr="009176EE" w:rsidRDefault="002D39F5" w:rsidP="002D39F5">
      <w:pPr>
        <w:pStyle w:val="SingleTxtG"/>
        <w:rPr>
          <w:rFonts w:cs="Arial"/>
          <w:lang w:val="ru-RU"/>
        </w:rPr>
      </w:pPr>
      <w:r>
        <w:rPr>
          <w:lang w:val="ru-RU"/>
        </w:rPr>
        <w:t>11.</w:t>
      </w:r>
      <w:r>
        <w:rPr>
          <w:lang w:val="ru-RU"/>
        </w:rPr>
        <w:tab/>
        <w:t xml:space="preserve">Пункт 9.3.2.11.7 ВОПОГ 2017 года посвящен </w:t>
      </w:r>
      <w:r>
        <w:rPr>
          <w:b/>
          <w:bCs/>
          <w:lang w:val="ru-RU"/>
        </w:rPr>
        <w:t>встроенным</w:t>
      </w:r>
      <w:r>
        <w:rPr>
          <w:lang w:val="ru-RU"/>
        </w:rPr>
        <w:t xml:space="preserve"> грузовым танкам, в</w:t>
      </w:r>
      <w:r w:rsidR="00160565">
        <w:rPr>
          <w:lang w:val="ru-RU"/>
        </w:rPr>
        <w:t> </w:t>
      </w:r>
      <w:r>
        <w:rPr>
          <w:lang w:val="ru-RU"/>
        </w:rPr>
        <w:t>то время как новая формулировка пункта 9.3.2.11.</w:t>
      </w:r>
      <w:proofErr w:type="gramStart"/>
      <w:r>
        <w:rPr>
          <w:lang w:val="ru-RU"/>
        </w:rPr>
        <w:t>2</w:t>
      </w:r>
      <w:proofErr w:type="gramEnd"/>
      <w:r>
        <w:rPr>
          <w:lang w:val="ru-RU"/>
        </w:rPr>
        <w:t xml:space="preserve"> а) касается </w:t>
      </w:r>
      <w:r>
        <w:rPr>
          <w:b/>
          <w:bCs/>
          <w:lang w:val="ru-RU"/>
        </w:rPr>
        <w:t>вкладных</w:t>
      </w:r>
      <w:r>
        <w:rPr>
          <w:lang w:val="ru-RU"/>
        </w:rPr>
        <w:t xml:space="preserve"> грузовых танк</w:t>
      </w:r>
      <w:r w:rsidR="00160565">
        <w:rPr>
          <w:lang w:val="ru-RU"/>
        </w:rPr>
        <w:t>ов</w:t>
      </w:r>
      <w:r>
        <w:rPr>
          <w:lang w:val="ru-RU"/>
        </w:rPr>
        <w:t>. В пункте 9.3.2.11.8 ВОПОГ содержится специальное правило постройки для вкладных грузовых танков, которое осталось неизменным для ВОПОГ 2019 года.</w:t>
      </w:r>
    </w:p>
    <w:p w:rsidR="002D39F5" w:rsidRPr="009176EE" w:rsidRDefault="002D39F5" w:rsidP="002D39F5">
      <w:pPr>
        <w:pStyle w:val="SingleTxtG"/>
        <w:rPr>
          <w:rFonts w:cs="Arial"/>
          <w:lang w:val="ru-RU"/>
        </w:rPr>
      </w:pPr>
      <w:r>
        <w:rPr>
          <w:lang w:val="ru-RU"/>
        </w:rPr>
        <w:t>12.</w:t>
      </w:r>
      <w:r>
        <w:rPr>
          <w:lang w:val="ru-RU"/>
        </w:rPr>
        <w:tab/>
        <w:t>Принятую поправку к пункту 9.3.2.22.4 ВОПОГ 2019 года следует исправить путем аннулирования части изменений, предложенных в документе INF.14 (справочный документ: ECE/TRANS/WP.15/AC.2/2018/11 с поправками, содержащимися в неофициальном документе INF.14).</w:t>
      </w:r>
    </w:p>
    <w:p w:rsidR="002D39F5" w:rsidRPr="009176EE" w:rsidRDefault="002D39F5" w:rsidP="002D39F5">
      <w:pPr>
        <w:pStyle w:val="SingleTxtG"/>
        <w:pageBreakBefore/>
        <w:ind w:left="1701"/>
        <w:rPr>
          <w:rFonts w:eastAsia="Calibri"/>
          <w:lang w:val="ru-RU"/>
        </w:rPr>
      </w:pPr>
      <w:r>
        <w:rPr>
          <w:lang w:val="ru-RU"/>
        </w:rPr>
        <w:lastRenderedPageBreak/>
        <w:t>Изменить пункт 9.3.2.22.4 следующим образом (восстановить формулировку, содержащуюся в документе ECE/TRANS/WP.15/AC.2/2018/11: текст подчеркнут):</w:t>
      </w:r>
    </w:p>
    <w:p w:rsidR="002D39F5" w:rsidRDefault="002D39F5" w:rsidP="002D39F5">
      <w:pPr>
        <w:pStyle w:val="SingleTxtGR"/>
        <w:ind w:left="2268" w:hanging="567"/>
      </w:pPr>
      <w:r>
        <w:t>«a)</w:t>
      </w:r>
      <w:r>
        <w:tab/>
        <w:t>Каждый грузовой танк или группа грузовых танков, соединенные с одним и тем же газоотводным трубопроводом, должны иметь:</w:t>
      </w:r>
    </w:p>
    <w:p w:rsidR="002D39F5" w:rsidRPr="00337FEE" w:rsidRDefault="00337FEE" w:rsidP="00337FEE">
      <w:pPr>
        <w:pStyle w:val="SingleTxtGR"/>
        <w:ind w:left="2835" w:hanging="567"/>
      </w:pPr>
      <w:r>
        <w:t>–</w:t>
      </w:r>
      <w:r w:rsidR="002D39F5">
        <w:tab/>
      </w:r>
      <w:r w:rsidR="002D39F5" w:rsidRPr="00337FEE">
        <w:t>соединительное устройство для безопасного отвода на берег газов, выделяющихся во время загрузки;</w:t>
      </w:r>
    </w:p>
    <w:p w:rsidR="002D39F5" w:rsidRPr="00337FEE" w:rsidRDefault="00337FEE" w:rsidP="00337FEE">
      <w:pPr>
        <w:pStyle w:val="SingleTxtGR"/>
        <w:ind w:left="2835" w:hanging="567"/>
      </w:pPr>
      <w:r>
        <w:t>–</w:t>
      </w:r>
      <w:r w:rsidR="002D39F5" w:rsidRPr="00337FEE">
        <w:tab/>
        <w:t>устройство для безопасного сброса давления в грузовых танках, положение которого четко указывает на то, открыто оно или закрыто;</w:t>
      </w:r>
    </w:p>
    <w:p w:rsidR="002D39F5" w:rsidRDefault="00337FEE" w:rsidP="00337FEE">
      <w:pPr>
        <w:pStyle w:val="SingleTxtGR"/>
        <w:ind w:left="2835" w:hanging="567"/>
      </w:pPr>
      <w:r>
        <w:t>–</w:t>
      </w:r>
      <w:r w:rsidR="002D39F5" w:rsidRPr="00337FEE">
        <w:tab/>
        <w:t>предохранительные клапаны для предотвращения недопустимого избыто</w:t>
      </w:r>
      <w:r w:rsidR="002D39F5">
        <w:t>чного давления или вакуума.</w:t>
      </w:r>
    </w:p>
    <w:p w:rsidR="002D39F5" w:rsidRDefault="002D39F5" w:rsidP="002D39F5">
      <w:pPr>
        <w:pStyle w:val="SingleTxtGR"/>
        <w:ind w:left="2268"/>
      </w:pPr>
      <w:r>
        <w:t>Давление срабатывания предохранительных клапанов должно быть указано на соответствующих клапанах долговечным способом.</w:t>
      </w:r>
    </w:p>
    <w:p w:rsidR="002D39F5" w:rsidRDefault="002D39F5" w:rsidP="002D39F5">
      <w:pPr>
        <w:pStyle w:val="SingleTxtGR"/>
        <w:ind w:left="2268"/>
      </w:pPr>
      <w:r>
        <w:t>Клапаны повышенного давления должны быть отрегулированы таким образом, чтобы во время перевозки они не открывались до достижения максимально допустимого рабочего давления в грузовых танках.</w:t>
      </w:r>
    </w:p>
    <w:p w:rsidR="002D39F5" w:rsidRDefault="002D39F5" w:rsidP="002D39F5">
      <w:pPr>
        <w:pStyle w:val="SingleTxtGR"/>
        <w:ind w:left="2268"/>
      </w:pPr>
      <w:r>
        <w:t>Отвод газов должен осуществляться вверх.</w:t>
      </w:r>
    </w:p>
    <w:p w:rsidR="002D39F5" w:rsidRDefault="002D39F5" w:rsidP="002D39F5">
      <w:pPr>
        <w:pStyle w:val="SingleTxtGR"/>
        <w:ind w:left="2268"/>
      </w:pPr>
      <w:r>
        <w:t>Выходные отверстия клапанов</w:t>
      </w:r>
      <w:r w:rsidRPr="00C8004C">
        <w:t xml:space="preserve"> повышенного давления </w:t>
      </w:r>
      <w:r>
        <w:t xml:space="preserve">должны находиться на высоте не менее 1,00 м над уровнем палубы и на расстоянии не менее 6,00 м от жилых помещений, рулевой рубки и служебных помещений, расположенных за пределами грузового пространства. В радиусе 1,00 м от выходного отверстия </w:t>
      </w:r>
      <w:r w:rsidRPr="00C8004C">
        <w:t>клапана повышенного давления</w:t>
      </w:r>
      <w:r>
        <w:t xml:space="preserve"> не допускается какое-либо оборудование. Эта зона должна быть обозначена как опасная зона.</w:t>
      </w:r>
    </w:p>
    <w:p w:rsidR="002D39F5" w:rsidRDefault="002D39F5" w:rsidP="002D39F5">
      <w:pPr>
        <w:pStyle w:val="SingleTxtGR"/>
        <w:ind w:left="2268" w:hanging="567"/>
      </w:pPr>
      <w:r>
        <w:t>b)</w:t>
      </w:r>
      <w:r>
        <w:tab/>
        <w:t xml:space="preserve">Если в перечне веществ, допущенных к перевозке судном, предусмотренном в пункте 1.16.1.2.5, указаны вещества, для которых в колонке 17 таблицы С главы 3.2 предписывается взрывозащита, то </w:t>
      </w:r>
    </w:p>
    <w:p w:rsidR="002D39F5" w:rsidRDefault="00337FEE" w:rsidP="002D39F5">
      <w:pPr>
        <w:pStyle w:val="SingleTxtGR"/>
        <w:ind w:left="2835" w:hanging="567"/>
      </w:pPr>
      <w:r>
        <w:rPr>
          <w:u w:val="single"/>
        </w:rPr>
        <w:t>–</w:t>
      </w:r>
      <w:r w:rsidR="002D39F5" w:rsidRPr="00D66309">
        <w:rPr>
          <w:u w:val="single"/>
        </w:rPr>
        <w:tab/>
      </w:r>
      <w:r w:rsidR="002D39F5">
        <w:t xml:space="preserve">газоотводный трубопровод в месте соединения с каждым грузовым танком, а также вакуумный клапан должны быть оборудованы пламегасителем, устойчивым к детонации, </w:t>
      </w:r>
      <w:r w:rsidR="002D39F5" w:rsidRPr="00D66309">
        <w:rPr>
          <w:u w:val="single"/>
        </w:rPr>
        <w:t>и</w:t>
      </w:r>
    </w:p>
    <w:p w:rsidR="002D39F5" w:rsidRPr="00D66309" w:rsidRDefault="00337FEE" w:rsidP="002D39F5">
      <w:pPr>
        <w:pStyle w:val="SingleTxtGR"/>
        <w:ind w:left="2835" w:hanging="567"/>
        <w:rPr>
          <w:u w:val="single"/>
        </w:rPr>
      </w:pPr>
      <w:r>
        <w:rPr>
          <w:u w:val="single"/>
        </w:rPr>
        <w:t>–</w:t>
      </w:r>
      <w:r w:rsidR="002D39F5" w:rsidRPr="00D66309">
        <w:rPr>
          <w:u w:val="single"/>
        </w:rPr>
        <w:tab/>
        <w:t xml:space="preserve">устройство для безопасного сброса давления в грузовых танках должно быть способным выдержать </w:t>
      </w:r>
      <w:proofErr w:type="spellStart"/>
      <w:r w:rsidR="002D39F5" w:rsidRPr="00D66309">
        <w:rPr>
          <w:u w:val="single"/>
        </w:rPr>
        <w:t>дефлаграцию</w:t>
      </w:r>
      <w:proofErr w:type="spellEnd"/>
      <w:r w:rsidR="002D39F5" w:rsidRPr="00D66309">
        <w:rPr>
          <w:u w:val="single"/>
        </w:rPr>
        <w:t xml:space="preserve"> и устойчивое горение. </w:t>
      </w:r>
    </w:p>
    <w:p w:rsidR="002D39F5" w:rsidRDefault="002D39F5" w:rsidP="002D39F5">
      <w:pPr>
        <w:pStyle w:val="SingleTxtGR"/>
        <w:ind w:left="2268" w:hanging="567"/>
      </w:pPr>
      <w:r>
        <w:t>c)</w:t>
      </w:r>
      <w:r>
        <w:tab/>
        <w:t xml:space="preserve">Если в перечне веществ, допущенных к перевозке судном, предусмотренном в пункте 1.16.1.2.5, указаны вещества, для которых в колонке 17 таблицы С главы 3.2 предписывается взрывозащита или в колонке 3b таблицы С главы 3.2 указана буква Т, то в качестве </w:t>
      </w:r>
      <w:r w:rsidRPr="00C8004C">
        <w:t>клапана повышенного давления</w:t>
      </w:r>
      <w:r>
        <w:t xml:space="preserve"> должен быть установлен быстродействующий выпускной клапан.</w:t>
      </w:r>
    </w:p>
    <w:p w:rsidR="002D39F5" w:rsidRDefault="002D39F5" w:rsidP="002D39F5">
      <w:pPr>
        <w:pStyle w:val="SingleTxtGR"/>
        <w:ind w:left="2268" w:hanging="567"/>
      </w:pPr>
      <w:r>
        <w:t>d)</w:t>
      </w:r>
      <w:r>
        <w:tab/>
        <w:t>Если между газоотводным трубопроводом и грузовым танком предусмотрено запорное устройство, то это устройство должно быть установлено между грузовым танком и пламегасителем, при этом каждый грузовой танк должен быть оборудован собственными предохранительными клапанами.</w:t>
      </w:r>
    </w:p>
    <w:p w:rsidR="002D39F5" w:rsidRDefault="002D39F5" w:rsidP="002D39F5">
      <w:pPr>
        <w:pStyle w:val="SingleTxtGR"/>
        <w:ind w:left="2268" w:hanging="567"/>
      </w:pPr>
      <w:r>
        <w:t>e)</w:t>
      </w:r>
      <w:r>
        <w:tab/>
        <w:t xml:space="preserve">Автономные системы взрывозащиты, </w:t>
      </w:r>
      <w:r w:rsidRPr="00E00DFE">
        <w:rPr>
          <w:u w:val="single"/>
        </w:rPr>
        <w:t>упомянутые в подпунктах b) и</w:t>
      </w:r>
      <w:r>
        <w:t xml:space="preserve"> с), должны выбираться в зависимости от группы/подгруппы взрывоопасности веществ, перечисленных в перечне веществ, допущенных к перевозке судном (см. колонку 16 таблицы С главы 3.2). Выходные отверстия быстродействующих выпускных клапанов должны находиться на высоте не менее 2,00 м над уровнем палубы и на расстоянии не менее 6,00 м от жилых помещений, рулевой рубки и </w:t>
      </w:r>
      <w:r>
        <w:lastRenderedPageBreak/>
        <w:t xml:space="preserve">служебных помещений, расположенных за пределами грузового пространства. Указанное значение высоты может быть уменьшено до 1,00 м, если в радиусе 1,00 м от выходного отверстия быстродействующего выпускного клапана не расположено какое-либо </w:t>
      </w:r>
      <w:r w:rsidRPr="00E00DFE">
        <w:rPr>
          <w:u w:val="single"/>
        </w:rPr>
        <w:t>устройство управления</w:t>
      </w:r>
      <w:r>
        <w:t xml:space="preserve"> </w:t>
      </w:r>
      <w:r w:rsidRPr="00E00DFE">
        <w:rPr>
          <w:strike/>
        </w:rPr>
        <w:t>оборудование и не производятся какие-либо работы</w:t>
      </w:r>
      <w:r>
        <w:t>. Эта зона должна быть обозначена как опасная зона.</w:t>
      </w:r>
    </w:p>
    <w:p w:rsidR="002D39F5" w:rsidRDefault="002D39F5" w:rsidP="002D39F5">
      <w:pPr>
        <w:pStyle w:val="SingleTxtGR"/>
        <w:ind w:left="2268"/>
      </w:pPr>
      <w:r>
        <w:t>Если необходимо, чтобы быстродействующий выпускной клапан, вакуумный клапан, пламегасители и газоотводный трубопровод были обогреваемыми, то упомянутые выше предохранительные устройства должны быть пригодными для соответствующей температуры.».</w:t>
      </w:r>
    </w:p>
    <w:p w:rsidR="002D39F5" w:rsidRPr="009176EE" w:rsidRDefault="002D39F5" w:rsidP="002D39F5">
      <w:pPr>
        <w:pStyle w:val="SingleTxtG"/>
        <w:rPr>
          <w:rFonts w:cs="Arial"/>
          <w:lang w:val="ru-RU"/>
        </w:rPr>
      </w:pPr>
      <w:r>
        <w:rPr>
          <w:lang w:val="ru-RU"/>
        </w:rPr>
        <w:t>13.</w:t>
      </w:r>
      <w:r>
        <w:rPr>
          <w:lang w:val="ru-RU"/>
        </w:rPr>
        <w:tab/>
        <w:t>Необходимо улучшить поправки к подпункту b), хотя определение «</w:t>
      </w:r>
      <w:r>
        <w:rPr>
          <w:b/>
          <w:bCs/>
          <w:i/>
          <w:iCs/>
          <w:lang w:val="ru-RU"/>
        </w:rPr>
        <w:t>Устройство для безопасного сброса давления в грузовых танках</w:t>
      </w:r>
      <w:r>
        <w:rPr>
          <w:lang w:val="ru-RU"/>
        </w:rPr>
        <w:t xml:space="preserve">» уже содержит идентичное требование к конструкции, устойчивой к </w:t>
      </w:r>
      <w:proofErr w:type="spellStart"/>
      <w:r>
        <w:rPr>
          <w:lang w:val="ru-RU"/>
        </w:rPr>
        <w:t>дефлаграции</w:t>
      </w:r>
      <w:proofErr w:type="spellEnd"/>
      <w:r>
        <w:rPr>
          <w:lang w:val="ru-RU"/>
        </w:rPr>
        <w:t xml:space="preserve"> и выдерживающей устойчивое горение, если в перечне веществ, допущенных к перевозке судном, предусмотренном в пункте 1.16.1.2.5, указаны вещества, для которых в колонке 17 таблицы С подраздела 3.2.3.2 предписывается взрывозащита. Если повторно не упомянуть данное устройство в этом подпункте, это может привести к ошибочному отказу от него, поскольку прочтение только в контексте части 9 ВОПОГ не позволило бы установить связь с определением, сформулированным в части 1.</w:t>
      </w:r>
    </w:p>
    <w:p w:rsidR="002D39F5" w:rsidRPr="009176EE" w:rsidRDefault="002D39F5" w:rsidP="002D39F5">
      <w:pPr>
        <w:pStyle w:val="SingleTxtG"/>
        <w:rPr>
          <w:rFonts w:cs="Arial"/>
          <w:lang w:val="ru-RU"/>
        </w:rPr>
      </w:pPr>
      <w:proofErr w:type="gramStart"/>
      <w:r>
        <w:rPr>
          <w:lang w:val="ru-RU"/>
        </w:rPr>
        <w:t>14.</w:t>
      </w:r>
      <w:r>
        <w:rPr>
          <w:lang w:val="ru-RU"/>
        </w:rPr>
        <w:tab/>
        <w:t>В</w:t>
      </w:r>
      <w:proofErr w:type="gramEnd"/>
      <w:r>
        <w:rPr>
          <w:lang w:val="ru-RU"/>
        </w:rPr>
        <w:t xml:space="preserve"> неофициальном документе INF.14, представленном на тридцать второй сессии, в контексте поправки, касающейся «</w:t>
      </w:r>
      <w:r>
        <w:rPr>
          <w:b/>
          <w:bCs/>
          <w:i/>
          <w:iCs/>
          <w:lang w:val="ru-RU"/>
        </w:rPr>
        <w:t>Устройства для безопасного сброса давления в грузовых танках</w:t>
      </w:r>
      <w:r>
        <w:rPr>
          <w:lang w:val="ru-RU"/>
        </w:rPr>
        <w:t>» для обеспечения безопасности отдельных танков (первый абзац подпункта b)), цель не состояла в том, чтобы отменить обязанность осуществлять выбор в зависимости от групп/подгрупп взрывоопасности согласно колонке 16 таблицы C подраздела 3.2.3.2.</w:t>
      </w:r>
    </w:p>
    <w:p w:rsidR="002D39F5" w:rsidRPr="009176EE" w:rsidRDefault="002D39F5" w:rsidP="002D39F5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Осуществление</w:t>
      </w:r>
    </w:p>
    <w:p w:rsidR="002D39F5" w:rsidRPr="009176EE" w:rsidRDefault="002D39F5" w:rsidP="002D39F5">
      <w:pPr>
        <w:pStyle w:val="SingleTxtG"/>
        <w:rPr>
          <w:rFonts w:cs="Arial"/>
          <w:lang w:val="ru-RU"/>
        </w:rPr>
      </w:pPr>
      <w:r>
        <w:rPr>
          <w:lang w:val="ru-RU"/>
        </w:rPr>
        <w:t>15.</w:t>
      </w:r>
      <w:r>
        <w:rPr>
          <w:lang w:val="ru-RU"/>
        </w:rPr>
        <w:tab/>
        <w:t>Предложение, содержащееся в пункте 3, носит чисто редакционный характер и не предполагает каких-либо технических или логистических изменений.</w:t>
      </w:r>
    </w:p>
    <w:p w:rsidR="002D39F5" w:rsidRPr="009176EE" w:rsidRDefault="002D39F5" w:rsidP="002D39F5">
      <w:pPr>
        <w:pStyle w:val="SingleTxtG"/>
        <w:rPr>
          <w:rFonts w:cs="Arial"/>
          <w:lang w:val="ru-RU"/>
        </w:rPr>
      </w:pPr>
      <w:r>
        <w:rPr>
          <w:lang w:val="ru-RU"/>
        </w:rPr>
        <w:t>16.</w:t>
      </w:r>
      <w:r>
        <w:rPr>
          <w:lang w:val="ru-RU"/>
        </w:rPr>
        <w:tab/>
        <w:t>Предложение, содержащееся в пункте 4, сформулировано с учетом того факта, что вакуумные клапаны не могут быть заменены начиная с момента вступления в силу нового определения. Данное переходное положение основано на других сопоставимых переходных положениях, которые считаются надлежащими.</w:t>
      </w:r>
    </w:p>
    <w:p w:rsidR="002D39F5" w:rsidRPr="009176EE" w:rsidRDefault="002D39F5" w:rsidP="002D39F5">
      <w:pPr>
        <w:pStyle w:val="SingleTxtG"/>
        <w:rPr>
          <w:lang w:val="ru-RU"/>
        </w:rPr>
      </w:pPr>
      <w:r>
        <w:rPr>
          <w:lang w:val="ru-RU"/>
        </w:rPr>
        <w:t>17.</w:t>
      </w:r>
      <w:r>
        <w:rPr>
          <w:lang w:val="ru-RU"/>
        </w:rPr>
        <w:tab/>
        <w:t>Предложение по пункту 9.3.2.22.4 b), изложенное в пункте 6, носит чисто редакционный характер и не содержит дополнительного правила постройки. Предложение по подпункту е) не вводит нового правила постройки, однако может обеспечить сохранение ранее достигнутого технического уровня безопасности грузовых танков.</w:t>
      </w:r>
    </w:p>
    <w:p w:rsidR="00E12C5F" w:rsidRPr="002D39F5" w:rsidRDefault="002D39F5" w:rsidP="002D39F5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2D39F5" w:rsidSect="00D842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CA8" w:rsidRPr="00A312BC" w:rsidRDefault="005A7CA8" w:rsidP="00A312BC"/>
  </w:endnote>
  <w:endnote w:type="continuationSeparator" w:id="0">
    <w:p w:rsidR="005A7CA8" w:rsidRPr="00A312BC" w:rsidRDefault="005A7CA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2D8" w:rsidRPr="00D842D8" w:rsidRDefault="00D842D8">
    <w:pPr>
      <w:pStyle w:val="Footer"/>
    </w:pPr>
    <w:r w:rsidRPr="00D842D8">
      <w:rPr>
        <w:b/>
        <w:sz w:val="18"/>
      </w:rPr>
      <w:fldChar w:fldCharType="begin"/>
    </w:r>
    <w:r w:rsidRPr="00D842D8">
      <w:rPr>
        <w:b/>
        <w:sz w:val="18"/>
      </w:rPr>
      <w:instrText xml:space="preserve"> PAGE  \* MERGEFORMAT </w:instrText>
    </w:r>
    <w:r w:rsidRPr="00D842D8">
      <w:rPr>
        <w:b/>
        <w:sz w:val="18"/>
      </w:rPr>
      <w:fldChar w:fldCharType="separate"/>
    </w:r>
    <w:r w:rsidR="003A2B47">
      <w:rPr>
        <w:b/>
        <w:noProof/>
        <w:sz w:val="18"/>
      </w:rPr>
      <w:t>2</w:t>
    </w:r>
    <w:r w:rsidRPr="00D842D8">
      <w:rPr>
        <w:b/>
        <w:sz w:val="18"/>
      </w:rPr>
      <w:fldChar w:fldCharType="end"/>
    </w:r>
    <w:r>
      <w:rPr>
        <w:b/>
        <w:sz w:val="18"/>
      </w:rPr>
      <w:tab/>
    </w:r>
    <w:r>
      <w:t>GE.18-08893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2D8" w:rsidRPr="00D842D8" w:rsidRDefault="00D842D8" w:rsidP="00D842D8">
    <w:pPr>
      <w:pStyle w:val="Footer"/>
      <w:tabs>
        <w:tab w:val="clear" w:pos="9639"/>
        <w:tab w:val="right" w:pos="9638"/>
      </w:tabs>
      <w:rPr>
        <w:b/>
        <w:sz w:val="18"/>
      </w:rPr>
    </w:pPr>
    <w:r>
      <w:t>GE.18-08893</w:t>
    </w:r>
    <w:r>
      <w:tab/>
    </w:r>
    <w:r w:rsidRPr="00D842D8">
      <w:rPr>
        <w:b/>
        <w:sz w:val="18"/>
      </w:rPr>
      <w:fldChar w:fldCharType="begin"/>
    </w:r>
    <w:r w:rsidRPr="00D842D8">
      <w:rPr>
        <w:b/>
        <w:sz w:val="18"/>
      </w:rPr>
      <w:instrText xml:space="preserve"> PAGE  \* MERGEFORMAT </w:instrText>
    </w:r>
    <w:r w:rsidRPr="00D842D8">
      <w:rPr>
        <w:b/>
        <w:sz w:val="18"/>
      </w:rPr>
      <w:fldChar w:fldCharType="separate"/>
    </w:r>
    <w:r w:rsidR="003A2B47">
      <w:rPr>
        <w:b/>
        <w:noProof/>
        <w:sz w:val="18"/>
      </w:rPr>
      <w:t>5</w:t>
    </w:r>
    <w:r w:rsidRPr="00D842D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D842D8" w:rsidRDefault="00D842D8" w:rsidP="00D842D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18-08893  (R)</w:t>
    </w:r>
    <w:r>
      <w:rPr>
        <w:lang w:val="en-US"/>
      </w:rPr>
      <w:t xml:space="preserve">  060618  060618</w:t>
    </w:r>
    <w:r>
      <w:br/>
    </w:r>
    <w:r w:rsidRPr="00D842D8">
      <w:rPr>
        <w:rFonts w:ascii="C39T30Lfz" w:hAnsi="C39T30Lfz"/>
        <w:kern w:val="14"/>
        <w:sz w:val="56"/>
      </w:rPr>
      <w:t></w:t>
    </w:r>
    <w:r w:rsidRPr="00D842D8">
      <w:rPr>
        <w:rFonts w:ascii="C39T30Lfz" w:hAnsi="C39T30Lfz"/>
        <w:kern w:val="14"/>
        <w:sz w:val="56"/>
      </w:rPr>
      <w:t></w:t>
    </w:r>
    <w:r w:rsidRPr="00D842D8">
      <w:rPr>
        <w:rFonts w:ascii="C39T30Lfz" w:hAnsi="C39T30Lfz"/>
        <w:kern w:val="14"/>
        <w:sz w:val="56"/>
      </w:rPr>
      <w:t></w:t>
    </w:r>
    <w:r w:rsidRPr="00D842D8">
      <w:rPr>
        <w:rFonts w:ascii="C39T30Lfz" w:hAnsi="C39T30Lfz"/>
        <w:kern w:val="14"/>
        <w:sz w:val="56"/>
      </w:rPr>
      <w:t></w:t>
    </w:r>
    <w:r w:rsidRPr="00D842D8">
      <w:rPr>
        <w:rFonts w:ascii="C39T30Lfz" w:hAnsi="C39T30Lfz"/>
        <w:kern w:val="14"/>
        <w:sz w:val="56"/>
      </w:rPr>
      <w:t></w:t>
    </w:r>
    <w:r w:rsidRPr="00D842D8">
      <w:rPr>
        <w:rFonts w:ascii="C39T30Lfz" w:hAnsi="C39T30Lfz"/>
        <w:kern w:val="14"/>
        <w:sz w:val="56"/>
      </w:rPr>
      <w:t></w:t>
    </w:r>
    <w:r w:rsidRPr="00D842D8">
      <w:rPr>
        <w:rFonts w:ascii="C39T30Lfz" w:hAnsi="C39T30Lfz"/>
        <w:kern w:val="14"/>
        <w:sz w:val="56"/>
      </w:rPr>
      <w:t></w:t>
    </w:r>
    <w:r w:rsidRPr="00D842D8">
      <w:rPr>
        <w:rFonts w:ascii="C39T30Lfz" w:hAnsi="C39T30Lfz"/>
        <w:kern w:val="14"/>
        <w:sz w:val="56"/>
      </w:rPr>
      <w:t></w:t>
    </w:r>
    <w:r w:rsidRPr="00D842D8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8/3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8/3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CA8" w:rsidRPr="001075E9" w:rsidRDefault="005A7CA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A7CA8" w:rsidRDefault="005A7CA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842D8" w:rsidRPr="00D842D8" w:rsidRDefault="00D842D8">
      <w:pPr>
        <w:pStyle w:val="FootnoteText"/>
        <w:rPr>
          <w:sz w:val="20"/>
          <w:lang w:val="en-US"/>
        </w:rPr>
      </w:pPr>
      <w:r>
        <w:tab/>
      </w:r>
      <w:r w:rsidRPr="00D842D8">
        <w:rPr>
          <w:rStyle w:val="FootnoteReference"/>
          <w:sz w:val="20"/>
          <w:vertAlign w:val="baseline"/>
        </w:rPr>
        <w:t>*</w:t>
      </w:r>
      <w:r w:rsidRPr="00D842D8">
        <w:rPr>
          <w:rStyle w:val="FootnoteReference"/>
          <w:vertAlign w:val="baseline"/>
        </w:rPr>
        <w:tab/>
      </w:r>
      <w:r>
        <w:t>Распространено на немецком языке Центральной комиссией судоходства по Рейну под</w:t>
      </w:r>
      <w:r w:rsidR="005E2946">
        <w:t> </w:t>
      </w:r>
      <w:r>
        <w:t>условным обозначением CCNR/ZKR/ADN/WP.15/AC.2/2018/32.</w:t>
      </w:r>
    </w:p>
  </w:footnote>
  <w:footnote w:id="2">
    <w:p w:rsidR="00D842D8" w:rsidRPr="00D842D8" w:rsidRDefault="00D842D8">
      <w:pPr>
        <w:pStyle w:val="FootnoteText"/>
        <w:rPr>
          <w:sz w:val="20"/>
          <w:lang w:val="en-US"/>
        </w:rPr>
      </w:pPr>
      <w:r>
        <w:tab/>
      </w:r>
      <w:r w:rsidRPr="00D842D8">
        <w:rPr>
          <w:rStyle w:val="FootnoteReference"/>
          <w:sz w:val="20"/>
          <w:vertAlign w:val="baseline"/>
        </w:rPr>
        <w:t>**</w:t>
      </w:r>
      <w:r w:rsidRPr="00D842D8">
        <w:rPr>
          <w:rStyle w:val="FootnoteReference"/>
          <w:vertAlign w:val="baseline"/>
        </w:rPr>
        <w:tab/>
      </w:r>
      <w:r>
        <w:t>В соответствии с программой работы Комитета по внутреннему транспорту на 2018–2019 годы (ECE/TRANS/2018/21/Add.1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2D8" w:rsidRPr="00D842D8" w:rsidRDefault="00D842D8">
    <w:pPr>
      <w:pStyle w:val="Header"/>
    </w:pPr>
    <w:fldSimple w:instr=" TITLE  \* MERGEFORMAT ">
      <w:r w:rsidR="00A55486">
        <w:t>ECE/TRANS/WP.15/AC.2/2018/32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2D8" w:rsidRPr="00D842D8" w:rsidRDefault="00D842D8" w:rsidP="00D842D8">
    <w:pPr>
      <w:pStyle w:val="Header"/>
      <w:jc w:val="right"/>
    </w:pPr>
    <w:fldSimple w:instr=" TITLE  \* MERGEFORMAT ">
      <w:r w:rsidR="00A55486">
        <w:t>ECE/TRANS/WP.15/AC.2/2018/32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2D8" w:rsidRDefault="00D842D8" w:rsidP="00D842D8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A8"/>
    <w:rsid w:val="00033EE1"/>
    <w:rsid w:val="00042B72"/>
    <w:rsid w:val="000558BD"/>
    <w:rsid w:val="000B56EF"/>
    <w:rsid w:val="000B57E7"/>
    <w:rsid w:val="000B6373"/>
    <w:rsid w:val="000E4E5B"/>
    <w:rsid w:val="000F09DF"/>
    <w:rsid w:val="000F61B2"/>
    <w:rsid w:val="001075E9"/>
    <w:rsid w:val="0014152F"/>
    <w:rsid w:val="00160565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4228"/>
    <w:rsid w:val="002B74B1"/>
    <w:rsid w:val="002C0E18"/>
    <w:rsid w:val="002D39F5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7FEE"/>
    <w:rsid w:val="003402C2"/>
    <w:rsid w:val="00381C24"/>
    <w:rsid w:val="00387CD4"/>
    <w:rsid w:val="003958D0"/>
    <w:rsid w:val="003A0D43"/>
    <w:rsid w:val="003A2B47"/>
    <w:rsid w:val="003A48CE"/>
    <w:rsid w:val="003B00E5"/>
    <w:rsid w:val="00407B78"/>
    <w:rsid w:val="00424203"/>
    <w:rsid w:val="00441921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A7CA8"/>
    <w:rsid w:val="005B290A"/>
    <w:rsid w:val="005D7914"/>
    <w:rsid w:val="005E2946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65D10"/>
    <w:rsid w:val="00884875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B164A"/>
    <w:rsid w:val="009C59D7"/>
    <w:rsid w:val="009C6FE6"/>
    <w:rsid w:val="009D7E7D"/>
    <w:rsid w:val="00A14DA8"/>
    <w:rsid w:val="00A312BC"/>
    <w:rsid w:val="00A55486"/>
    <w:rsid w:val="00A84021"/>
    <w:rsid w:val="00A84D35"/>
    <w:rsid w:val="00A917B3"/>
    <w:rsid w:val="00AB4B51"/>
    <w:rsid w:val="00AF1EC8"/>
    <w:rsid w:val="00B10CC7"/>
    <w:rsid w:val="00B1250E"/>
    <w:rsid w:val="00B36DF7"/>
    <w:rsid w:val="00B539E7"/>
    <w:rsid w:val="00B62458"/>
    <w:rsid w:val="00BC18B2"/>
    <w:rsid w:val="00BD33EE"/>
    <w:rsid w:val="00BE1CC7"/>
    <w:rsid w:val="00BE442D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42D8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25E86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DC28B5A-B727-4005-99A6-08F2E5C6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617A4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rsid w:val="00D842D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fr-CH"/>
    </w:rPr>
  </w:style>
  <w:style w:type="character" w:customStyle="1" w:styleId="HChGChar">
    <w:name w:val="_ H _Ch_G Char"/>
    <w:link w:val="HChG"/>
    <w:locked/>
    <w:rsid w:val="00D842D8"/>
    <w:rPr>
      <w:b/>
      <w:sz w:val="28"/>
      <w:lang w:val="fr-CH" w:eastAsia="en-US"/>
    </w:rPr>
  </w:style>
  <w:style w:type="paragraph" w:customStyle="1" w:styleId="SingleTxtG">
    <w:name w:val="_ Single Txt_G"/>
    <w:basedOn w:val="Normal"/>
    <w:link w:val="SingleTxtGChar"/>
    <w:rsid w:val="002D39F5"/>
    <w:pPr>
      <w:spacing w:after="120"/>
      <w:ind w:left="1134" w:right="1134"/>
      <w:jc w:val="both"/>
    </w:pPr>
    <w:rPr>
      <w:rFonts w:eastAsia="Times New Roman" w:cs="Times New Roman"/>
      <w:szCs w:val="20"/>
      <w:lang w:val="fr-CH"/>
    </w:rPr>
  </w:style>
  <w:style w:type="character" w:customStyle="1" w:styleId="SingleTxtGChar">
    <w:name w:val="_ Single Txt_G Char"/>
    <w:link w:val="SingleTxtG"/>
    <w:locked/>
    <w:rsid w:val="002D39F5"/>
    <w:rPr>
      <w:lang w:val="fr-CH" w:eastAsia="en-US"/>
    </w:rPr>
  </w:style>
  <w:style w:type="table" w:customStyle="1" w:styleId="Grilledutableau6">
    <w:name w:val="Grille du tableau6"/>
    <w:basedOn w:val="TableNormal"/>
    <w:uiPriority w:val="59"/>
    <w:rsid w:val="002D39F5"/>
    <w:rPr>
      <w:rFonts w:ascii="Arial" w:eastAsia="Calibri" w:hAnsi="Arial"/>
      <w:szCs w:val="24"/>
      <w:lang w:val="de-DE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EB5EC-7ADE-4D59-AC50-9AD48E94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1835</Words>
  <Characters>10464</Characters>
  <Application>Microsoft Office Word</Application>
  <DocSecurity>0</DocSecurity>
  <Lines>87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ECE/TRANS/WP.15/AC.2/2018/32</vt:lpstr>
      <vt:lpstr>ECE/TRANS/WP.15/AC.2/2018/32</vt:lpstr>
      <vt:lpstr>A/</vt:lpstr>
    </vt:vector>
  </TitlesOfParts>
  <Company>DCM</Company>
  <LinksUpToDate>false</LinksUpToDate>
  <CharactersWithSpaces>12275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ECE/TRANS/WP.15/AC.2/2018/32</dc:title>
  <dc:subject/>
  <dc:creator>SHUVALOVA Natalia</dc:creator>
  <cp:keywords/>
  <cp:lastModifiedBy>Caillot</cp:lastModifiedBy>
  <cp:revision>2</cp:revision>
  <cp:lastPrinted>2018-06-06T14:57:00Z</cp:lastPrinted>
  <dcterms:created xsi:type="dcterms:W3CDTF">2018-07-23T15:09:00Z</dcterms:created>
  <dcterms:modified xsi:type="dcterms:W3CDTF">2018-07-23T15:09:00Z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