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78" w:rsidRPr="00061B78" w:rsidRDefault="00061B78" w:rsidP="00061B78">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061B78">
        <w:rPr>
          <w:rFonts w:ascii="Arial" w:eastAsia="Arial" w:hAnsi="Arial" w:cs="Arial"/>
          <w:bCs/>
          <w:noProof/>
          <w:szCs w:val="24"/>
          <w:lang w:eastAsia="de-DE"/>
        </w:rPr>
        <w:drawing>
          <wp:anchor distT="0" distB="0" distL="114300" distR="114300" simplePos="0" relativeHeight="251659264" behindDoc="0" locked="0" layoutInCell="1" allowOverlap="1" wp14:anchorId="50672023" wp14:editId="1F48B1A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61B78">
        <w:rPr>
          <w:rFonts w:ascii="Arial" w:eastAsia="Arial" w:hAnsi="Arial" w:cs="Arial"/>
          <w:bCs/>
          <w:szCs w:val="24"/>
          <w:lang w:val="en-US" w:eastAsia="de-DE"/>
        </w:rPr>
        <w:t>CCNR-ZKR/ADN/WP.15/AC.2/2018/</w:t>
      </w:r>
      <w:r w:rsidR="004A1037">
        <w:rPr>
          <w:rFonts w:ascii="Arial" w:eastAsia="Arial" w:hAnsi="Arial" w:cs="Arial"/>
          <w:bCs/>
          <w:szCs w:val="24"/>
          <w:lang w:val="en-US" w:eastAsia="de-DE"/>
        </w:rPr>
        <w:t>31</w:t>
      </w:r>
    </w:p>
    <w:p w:rsidR="00061B78" w:rsidRPr="00061B78"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61B78">
        <w:rPr>
          <w:rFonts w:ascii="Arial" w:hAnsi="Arial" w:cs="Arial"/>
          <w:sz w:val="16"/>
          <w:szCs w:val="24"/>
          <w:lang w:eastAsia="de-DE"/>
        </w:rPr>
        <w:t>Allgemeine Verteilung</w:t>
      </w:r>
    </w:p>
    <w:p w:rsidR="00061B78" w:rsidRPr="00061B78" w:rsidRDefault="004A1037"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24</w:t>
      </w:r>
      <w:r w:rsidR="00194E0D">
        <w:rPr>
          <w:rFonts w:ascii="Arial" w:eastAsia="Arial" w:hAnsi="Arial" w:cs="Arial"/>
          <w:szCs w:val="24"/>
          <w:lang w:eastAsia="de-DE"/>
        </w:rPr>
        <w:t>. Mai</w:t>
      </w:r>
      <w:r w:rsidR="00061B78" w:rsidRPr="00061B78">
        <w:rPr>
          <w:rFonts w:ascii="Arial" w:eastAsia="Arial" w:hAnsi="Arial" w:cs="Arial"/>
          <w:szCs w:val="24"/>
          <w:lang w:eastAsia="de-DE"/>
        </w:rPr>
        <w:t xml:space="preserve"> 2018</w:t>
      </w:r>
    </w:p>
    <w:p w:rsidR="00061B78" w:rsidRPr="00061B78"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61B78">
        <w:rPr>
          <w:rFonts w:ascii="Arial" w:eastAsia="Arial" w:hAnsi="Arial" w:cs="Arial"/>
          <w:sz w:val="16"/>
          <w:szCs w:val="24"/>
          <w:lang w:eastAsia="de-DE"/>
        </w:rPr>
        <w:t>Or</w:t>
      </w:r>
      <w:proofErr w:type="spellEnd"/>
      <w:r w:rsidRPr="00061B78">
        <w:rPr>
          <w:rFonts w:ascii="Arial" w:eastAsia="Arial" w:hAnsi="Arial" w:cs="Arial"/>
          <w:sz w:val="16"/>
          <w:szCs w:val="24"/>
          <w:lang w:eastAsia="de-DE"/>
        </w:rPr>
        <w:t>. DEUTSCH</w:t>
      </w: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GEMEINSAME EXPERTENTAGUNG FÜR DIE DEM</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ÜBEREINKOMMEN ÜBER DIE INTERNATIONALE BEFÖRDERUNG</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VON GEFÄHRLICHEN GÜTERN AUF BINNENWASSERSTRASSEN</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BEIGEFÜGTE VERORDNUNG (ADN)</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(SICHERHEITSAUSSCHUSS)</w:t>
      </w: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061B78">
        <w:rPr>
          <w:rFonts w:ascii="Arial" w:hAnsi="Arial"/>
          <w:sz w:val="16"/>
          <w:szCs w:val="24"/>
        </w:rPr>
        <w:t>(33. Tagung, Genf, 27.-31. August 2018)</w:t>
      </w: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61B78">
        <w:rPr>
          <w:rFonts w:ascii="Arial" w:hAnsi="Arial" w:cs="Arial"/>
          <w:sz w:val="16"/>
          <w:szCs w:val="16"/>
          <w:lang w:eastAsia="en-US"/>
        </w:rPr>
        <w:t xml:space="preserve">Punkt </w:t>
      </w:r>
      <w:r w:rsidR="004A1037">
        <w:rPr>
          <w:rFonts w:ascii="Arial" w:hAnsi="Arial" w:cs="Arial"/>
          <w:sz w:val="16"/>
          <w:szCs w:val="16"/>
          <w:lang w:eastAsia="en-US"/>
        </w:rPr>
        <w:t>4 b)</w:t>
      </w:r>
      <w:r w:rsidRPr="00061B78">
        <w:rPr>
          <w:rFonts w:ascii="Arial" w:hAnsi="Arial" w:cs="Arial"/>
          <w:sz w:val="16"/>
          <w:szCs w:val="16"/>
          <w:lang w:eastAsia="en-US"/>
        </w:rPr>
        <w:t xml:space="preserve"> zur vorläufigen Tagesordnung</w:t>
      </w:r>
    </w:p>
    <w:p w:rsidR="00061B78" w:rsidRPr="00061B78" w:rsidRDefault="00061B78" w:rsidP="00061B78">
      <w:pPr>
        <w:tabs>
          <w:tab w:val="left" w:pos="2977"/>
        </w:tabs>
        <w:ind w:left="3960"/>
        <w:rPr>
          <w:rFonts w:ascii="Arial" w:hAnsi="Arial" w:cs="Arial"/>
          <w:b/>
          <w:sz w:val="16"/>
          <w:szCs w:val="16"/>
          <w:lang w:eastAsia="en-US"/>
        </w:rPr>
      </w:pPr>
      <w:r w:rsidRPr="00061B78">
        <w:rPr>
          <w:rFonts w:ascii="Arial" w:hAnsi="Arial" w:cs="Arial"/>
          <w:b/>
          <w:sz w:val="16"/>
          <w:szCs w:val="16"/>
          <w:lang w:eastAsia="en-US"/>
        </w:rPr>
        <w:tab/>
      </w:r>
      <w:r w:rsidRPr="00061B78">
        <w:rPr>
          <w:rFonts w:ascii="Arial" w:hAnsi="Arial" w:cs="Arial"/>
          <w:b/>
          <w:sz w:val="16"/>
          <w:szCs w:val="16"/>
          <w:lang w:eastAsia="en-US"/>
        </w:rPr>
        <w:tab/>
        <w:t>Vorschläge für Änderungen der dem ADN beigefügten Verordnung:</w:t>
      </w:r>
      <w:r w:rsidR="00194E0D">
        <w:rPr>
          <w:rFonts w:ascii="Arial" w:hAnsi="Arial" w:cs="Arial"/>
          <w:b/>
          <w:sz w:val="16"/>
          <w:szCs w:val="16"/>
          <w:lang w:eastAsia="en-US"/>
        </w:rPr>
        <w:t xml:space="preserve"> W</w:t>
      </w:r>
      <w:r w:rsidRPr="00061B78">
        <w:rPr>
          <w:rFonts w:ascii="Arial" w:hAnsi="Arial" w:cs="Arial"/>
          <w:b/>
          <w:sz w:val="16"/>
          <w:szCs w:val="16"/>
          <w:lang w:eastAsia="en-US"/>
        </w:rPr>
        <w:t>eitere Vorschläge</w:t>
      </w:r>
    </w:p>
    <w:p w:rsid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F4F1E" w:rsidRDefault="004F4F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F4F1E" w:rsidRPr="00061B78" w:rsidRDefault="004F4F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061B78" w:rsidRDefault="00061B78" w:rsidP="00194E0D">
      <w:pPr>
        <w:pStyle w:val="HChG"/>
        <w:keepNext w:val="0"/>
        <w:keepLines w:val="0"/>
        <w:tabs>
          <w:tab w:val="clear" w:pos="851"/>
        </w:tabs>
        <w:spacing w:before="0" w:after="0" w:line="240" w:lineRule="auto"/>
        <w:ind w:right="0" w:firstLine="0"/>
        <w:jc w:val="both"/>
        <w:rPr>
          <w:bCs/>
          <w:szCs w:val="24"/>
          <w:lang w:val="de-DE"/>
        </w:rPr>
      </w:pPr>
      <w:r w:rsidRPr="00061B78">
        <w:rPr>
          <w:bCs/>
          <w:szCs w:val="24"/>
          <w:lang w:val="de-DE"/>
        </w:rPr>
        <w:t>Absatz 7.2.3.29.1 – Beiboot</w:t>
      </w:r>
    </w:p>
    <w:p w:rsidR="00061B78" w:rsidRPr="00061B78" w:rsidRDefault="00061B78" w:rsidP="00194E0D">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061B78">
        <w:rPr>
          <w:b/>
          <w:sz w:val="24"/>
        </w:rPr>
        <w:t>Vorgelegt von Deutschland</w:t>
      </w:r>
      <w:r w:rsidRPr="00061B78">
        <w:rPr>
          <w:b/>
          <w:sz w:val="18"/>
          <w:vertAlign w:val="superscript"/>
        </w:rPr>
        <w:footnoteReference w:id="1"/>
      </w:r>
      <w:r w:rsidRPr="00061B78">
        <w:rPr>
          <w:b/>
          <w:sz w:val="18"/>
          <w:vertAlign w:val="superscript"/>
        </w:rPr>
        <w:t>,</w:t>
      </w:r>
      <w:r w:rsidRPr="00061B78">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061B78" w:rsidRPr="00061B78" w:rsidTr="00785B9A">
        <w:trPr>
          <w:jc w:val="center"/>
        </w:trPr>
        <w:tc>
          <w:tcPr>
            <w:tcW w:w="2330" w:type="dxa"/>
          </w:tcPr>
          <w:p w:rsidR="00061B78" w:rsidRPr="00061B78" w:rsidRDefault="00061B78" w:rsidP="00785B9A">
            <w:pPr>
              <w:tabs>
                <w:tab w:val="left" w:pos="284"/>
              </w:tabs>
              <w:spacing w:before="120" w:after="120"/>
              <w:rPr>
                <w:i/>
                <w:lang w:eastAsia="en-US"/>
              </w:rPr>
            </w:pPr>
            <w:r w:rsidRPr="00061B78">
              <w:rPr>
                <w:rFonts w:eastAsia="Arial"/>
                <w:i/>
                <w:lang w:eastAsia="en-US"/>
              </w:rPr>
              <w:t>Zusammenfassung</w:t>
            </w:r>
          </w:p>
        </w:tc>
        <w:tc>
          <w:tcPr>
            <w:tcW w:w="7309" w:type="dxa"/>
          </w:tcPr>
          <w:p w:rsidR="00061B78" w:rsidRPr="00061B78" w:rsidRDefault="00061B78" w:rsidP="00785B9A">
            <w:pPr>
              <w:spacing w:before="120" w:after="120"/>
              <w:rPr>
                <w:lang w:eastAsia="en-US"/>
              </w:rPr>
            </w:pPr>
          </w:p>
        </w:tc>
      </w:tr>
      <w:tr w:rsidR="00061B78" w:rsidRPr="00061B78" w:rsidTr="00785B9A">
        <w:trPr>
          <w:jc w:val="center"/>
        </w:trPr>
        <w:tc>
          <w:tcPr>
            <w:tcW w:w="2330" w:type="dxa"/>
            <w:tcBorders>
              <w:bottom w:val="single" w:sz="4" w:space="0" w:color="auto"/>
            </w:tcBorders>
          </w:tcPr>
          <w:p w:rsidR="00061B78" w:rsidRPr="00061B78" w:rsidRDefault="00061B78" w:rsidP="00785B9A">
            <w:pPr>
              <w:tabs>
                <w:tab w:val="left" w:pos="284"/>
              </w:tabs>
              <w:spacing w:before="120" w:after="120"/>
              <w:jc w:val="left"/>
              <w:rPr>
                <w:b/>
                <w:lang w:eastAsia="en-US"/>
              </w:rPr>
            </w:pPr>
            <w:r w:rsidRPr="00061B78">
              <w:rPr>
                <w:b/>
                <w:lang w:eastAsia="en-US"/>
              </w:rPr>
              <w:t>Analytische</w:t>
            </w:r>
          </w:p>
          <w:p w:rsidR="00061B78" w:rsidRPr="00061B78" w:rsidRDefault="00061B78" w:rsidP="00785B9A">
            <w:pPr>
              <w:tabs>
                <w:tab w:val="left" w:pos="284"/>
              </w:tabs>
              <w:spacing w:before="120" w:after="120"/>
              <w:jc w:val="left"/>
              <w:rPr>
                <w:b/>
                <w:lang w:eastAsia="en-US"/>
              </w:rPr>
            </w:pPr>
            <w:r w:rsidRPr="00061B78">
              <w:rPr>
                <w:b/>
                <w:lang w:eastAsia="en-US"/>
              </w:rPr>
              <w:t>Zusammenfassung:</w:t>
            </w:r>
          </w:p>
        </w:tc>
        <w:tc>
          <w:tcPr>
            <w:tcW w:w="7309" w:type="dxa"/>
            <w:tcBorders>
              <w:bottom w:val="single" w:sz="4" w:space="0" w:color="auto"/>
            </w:tcBorders>
          </w:tcPr>
          <w:p w:rsidR="00061B78" w:rsidRPr="00061B78" w:rsidRDefault="00061B78" w:rsidP="004A1037">
            <w:pPr>
              <w:spacing w:before="120" w:after="120"/>
              <w:ind w:left="11" w:firstLine="0"/>
              <w:rPr>
                <w:rFonts w:cs="Arial"/>
              </w:rPr>
            </w:pPr>
            <w:r w:rsidRPr="00061B78">
              <w:rPr>
                <w:rFonts w:cs="Arial"/>
              </w:rPr>
              <w:t>Der zweite Satz von Absatz 7.2.</w:t>
            </w:r>
            <w:r w:rsidR="004A1037">
              <w:rPr>
                <w:rFonts w:cs="Arial"/>
              </w:rPr>
              <w:t>x</w:t>
            </w:r>
            <w:r w:rsidRPr="00061B78">
              <w:rPr>
                <w:rFonts w:cs="Arial"/>
              </w:rPr>
              <w:t>.29.1 ADN bestimmt, unter welchen Voraussetzungen das mitzuführende Beiboot im Bereich der Ladung aufgestellt werden darf. Das hierfür vorausgesetzte „Sammelrettungsmittel“ ist im ADN nicht definiert. Der Verweis auf die „Regelungen des Unterabschnittes 1.1.4.6“ ist nicht eindeutig, weil Sammelrettungsmittel dort nur für Fahrgastschiffe vorgesehen sind.</w:t>
            </w:r>
          </w:p>
        </w:tc>
      </w:tr>
      <w:tr w:rsidR="00061B78" w:rsidRPr="00061B78" w:rsidTr="00785B9A">
        <w:trPr>
          <w:jc w:val="center"/>
        </w:trPr>
        <w:tc>
          <w:tcPr>
            <w:tcW w:w="2330" w:type="dxa"/>
            <w:tcBorders>
              <w:bottom w:val="single" w:sz="4" w:space="0" w:color="auto"/>
            </w:tcBorders>
          </w:tcPr>
          <w:p w:rsidR="00061B78" w:rsidRPr="00061B78" w:rsidRDefault="00061B78" w:rsidP="00785B9A">
            <w:pPr>
              <w:spacing w:before="120" w:after="120"/>
              <w:ind w:left="0" w:firstLine="0"/>
              <w:jc w:val="left"/>
              <w:rPr>
                <w:b/>
                <w:lang w:eastAsia="en-US"/>
              </w:rPr>
            </w:pPr>
            <w:r w:rsidRPr="00061B78">
              <w:rPr>
                <w:b/>
                <w:lang w:eastAsia="en-US"/>
              </w:rPr>
              <w:t>Zu ergreifende Maßnahme:</w:t>
            </w:r>
          </w:p>
        </w:tc>
        <w:tc>
          <w:tcPr>
            <w:tcW w:w="7309" w:type="dxa"/>
            <w:tcBorders>
              <w:bottom w:val="single" w:sz="4" w:space="0" w:color="auto"/>
            </w:tcBorders>
          </w:tcPr>
          <w:p w:rsidR="00061B78" w:rsidRPr="00061B78" w:rsidRDefault="00061B78" w:rsidP="00785B9A">
            <w:pPr>
              <w:spacing w:before="120" w:after="120"/>
              <w:ind w:left="11" w:firstLine="0"/>
              <w:rPr>
                <w:rFonts w:cs="Arial"/>
              </w:rPr>
            </w:pPr>
            <w:r w:rsidRPr="00061B78">
              <w:rPr>
                <w:rFonts w:cs="Arial"/>
              </w:rPr>
              <w:t>Ergänzung von Anforderungen, denen das Sammelrettungsmittel genügen muss, um im Bereich der Wohnung ein Beiboot zu ersetzen.</w:t>
            </w:r>
          </w:p>
        </w:tc>
      </w:tr>
      <w:tr w:rsidR="00061B78" w:rsidRPr="00061B78" w:rsidTr="00785B9A">
        <w:trPr>
          <w:jc w:val="center"/>
        </w:trPr>
        <w:tc>
          <w:tcPr>
            <w:tcW w:w="2330" w:type="dxa"/>
            <w:tcBorders>
              <w:top w:val="single" w:sz="4" w:space="0" w:color="auto"/>
            </w:tcBorders>
          </w:tcPr>
          <w:p w:rsidR="00061B78" w:rsidRPr="00061B78" w:rsidRDefault="00061B78" w:rsidP="00785B9A">
            <w:pPr>
              <w:tabs>
                <w:tab w:val="left" w:pos="284"/>
              </w:tabs>
              <w:jc w:val="left"/>
              <w:rPr>
                <w:b/>
                <w:lang w:eastAsia="en-US"/>
              </w:rPr>
            </w:pPr>
            <w:r w:rsidRPr="00061B78">
              <w:rPr>
                <w:b/>
                <w:lang w:eastAsia="en-US"/>
              </w:rPr>
              <w:t>Verbundene Dokumente:</w:t>
            </w:r>
          </w:p>
        </w:tc>
        <w:tc>
          <w:tcPr>
            <w:tcW w:w="7309" w:type="dxa"/>
            <w:tcBorders>
              <w:top w:val="single" w:sz="4" w:space="0" w:color="auto"/>
            </w:tcBorders>
          </w:tcPr>
          <w:p w:rsidR="00061B78" w:rsidRPr="00061B78" w:rsidRDefault="00061B78" w:rsidP="00785B9A">
            <w:pPr>
              <w:ind w:left="11" w:firstLine="0"/>
            </w:pPr>
            <w:r w:rsidRPr="00061B78">
              <w:t>keine</w:t>
            </w:r>
          </w:p>
        </w:tc>
      </w:tr>
    </w:tbl>
    <w:p w:rsidR="00061B78" w:rsidRPr="00061B78" w:rsidRDefault="00061B78" w:rsidP="00061B78">
      <w:pPr>
        <w:tabs>
          <w:tab w:val="left" w:pos="1418"/>
        </w:tabs>
        <w:spacing w:before="180" w:line="360" w:lineRule="auto"/>
        <w:rPr>
          <w:rFonts w:ascii="Arial" w:hAnsi="Arial"/>
          <w:b/>
          <w:sz w:val="24"/>
          <w:szCs w:val="18"/>
        </w:rPr>
      </w:pPr>
    </w:p>
    <w:p w:rsidR="004F4F1E" w:rsidRDefault="004F4F1E">
      <w:pPr>
        <w:widowControl/>
        <w:overflowPunct/>
        <w:autoSpaceDE/>
        <w:autoSpaceDN/>
        <w:adjustRightInd/>
        <w:ind w:left="0" w:firstLine="0"/>
        <w:jc w:val="left"/>
        <w:textAlignment w:val="auto"/>
        <w:rPr>
          <w:b/>
          <w:sz w:val="24"/>
          <w:szCs w:val="18"/>
        </w:rPr>
      </w:pPr>
      <w:r>
        <w:rPr>
          <w:b/>
          <w:sz w:val="24"/>
          <w:szCs w:val="18"/>
        </w:rPr>
        <w:br w:type="page"/>
      </w:r>
    </w:p>
    <w:p w:rsidR="00061B78" w:rsidRPr="00061B78" w:rsidRDefault="00061B78" w:rsidP="00061B78">
      <w:pPr>
        <w:tabs>
          <w:tab w:val="left" w:pos="567"/>
        </w:tabs>
        <w:spacing w:line="240" w:lineRule="atLeast"/>
        <w:ind w:left="0" w:firstLine="0"/>
        <w:rPr>
          <w:b/>
          <w:sz w:val="24"/>
          <w:szCs w:val="18"/>
        </w:rPr>
      </w:pPr>
      <w:r w:rsidRPr="00061B78">
        <w:rPr>
          <w:b/>
          <w:sz w:val="24"/>
          <w:szCs w:val="18"/>
        </w:rPr>
        <w:lastRenderedPageBreak/>
        <w:t>I.</w:t>
      </w:r>
      <w:r w:rsidRPr="00061B78">
        <w:rPr>
          <w:b/>
          <w:sz w:val="24"/>
          <w:szCs w:val="18"/>
        </w:rPr>
        <w:tab/>
        <w:t>Einleitung</w:t>
      </w:r>
    </w:p>
    <w:p w:rsidR="00061B78" w:rsidRPr="00061B78" w:rsidRDefault="00061B78" w:rsidP="00061B78">
      <w:pPr>
        <w:tabs>
          <w:tab w:val="left" w:pos="567"/>
        </w:tabs>
        <w:spacing w:line="240" w:lineRule="atLeast"/>
        <w:ind w:left="0" w:firstLine="0"/>
        <w:rPr>
          <w:b/>
          <w:sz w:val="24"/>
          <w:szCs w:val="18"/>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1.</w:t>
      </w:r>
      <w:r w:rsidRPr="00061B78">
        <w:rPr>
          <w:rFonts w:cs="Arial"/>
        </w:rPr>
        <w:tab/>
        <w:t>Bei Kontrollen von Schiffen auf deutschen Binnenwasserstraßen wurde festgestellt, dass bei der Nutzung der in Absatz 7.2.3.29.1, 2. Satz ADN vorgesehenen Möglichkeit, im Bereich der Wohnung nur ein „Sammelrettungsmittel“ vorzuhalten, Rettungsmittel verwendet werden, die wegen ihrer Größe und Gestaltung auf keinen Fall ein Beiboot ersetzen können:</w:t>
      </w:r>
    </w:p>
    <w:p w:rsidR="00061B78" w:rsidRPr="00061B78" w:rsidRDefault="00061B78" w:rsidP="00061B78">
      <w:pPr>
        <w:spacing w:line="276" w:lineRule="auto"/>
        <w:rPr>
          <w:sz w:val="22"/>
        </w:rPr>
      </w:pPr>
      <w:r w:rsidRPr="00061B78">
        <w:rPr>
          <w:noProof/>
          <w:sz w:val="22"/>
          <w:lang w:eastAsia="de-DE"/>
        </w:rPr>
        <w:drawing>
          <wp:anchor distT="0" distB="0" distL="114300" distR="114300" simplePos="0" relativeHeight="251660288" behindDoc="1" locked="0" layoutInCell="1" allowOverlap="1" wp14:anchorId="42D47D28" wp14:editId="6CD23C6C">
            <wp:simplePos x="0" y="0"/>
            <wp:positionH relativeFrom="column">
              <wp:posOffset>2338705</wp:posOffset>
            </wp:positionH>
            <wp:positionV relativeFrom="paragraph">
              <wp:posOffset>44450</wp:posOffset>
            </wp:positionV>
            <wp:extent cx="1005840" cy="754380"/>
            <wp:effectExtent l="0" t="0" r="3810" b="7620"/>
            <wp:wrapTight wrapText="bothSides">
              <wp:wrapPolygon edited="0">
                <wp:start x="0" y="0"/>
                <wp:lineTo x="0" y="21273"/>
                <wp:lineTo x="21273" y="21273"/>
                <wp:lineTo x="21273" y="0"/>
                <wp:lineTo x="0" y="0"/>
              </wp:wrapPolygon>
            </wp:wrapTight>
            <wp:docPr id="2" name="Grafik 2" descr="E:\ADN\3644_20_ADN\3644_20_6\P224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N\3644_20_ADN\3644_20_6\P2240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B78" w:rsidRPr="00061B78" w:rsidRDefault="00061B78" w:rsidP="00061B78">
      <w:pPr>
        <w:spacing w:line="276" w:lineRule="auto"/>
        <w:rPr>
          <w:sz w:val="22"/>
        </w:rPr>
      </w:pPr>
    </w:p>
    <w:p w:rsidR="00061B78" w:rsidRPr="00061B78" w:rsidRDefault="00061B78" w:rsidP="00061B78">
      <w:pPr>
        <w:spacing w:line="276" w:lineRule="auto"/>
        <w:rPr>
          <w:sz w:val="22"/>
        </w:rPr>
      </w:pPr>
    </w:p>
    <w:p w:rsidR="00061B78" w:rsidRPr="00061B78" w:rsidRDefault="00061B78" w:rsidP="00061B78">
      <w:pPr>
        <w:spacing w:line="276" w:lineRule="auto"/>
        <w:rPr>
          <w:sz w:val="22"/>
        </w:rPr>
      </w:pPr>
    </w:p>
    <w:p w:rsidR="00061B78" w:rsidRPr="00061B78" w:rsidRDefault="00061B78" w:rsidP="00061B78">
      <w:pPr>
        <w:spacing w:line="276" w:lineRule="auto"/>
        <w:rPr>
          <w:sz w:val="22"/>
        </w:rPr>
      </w:pPr>
    </w:p>
    <w:p w:rsidR="00061B78" w:rsidRPr="00061B78" w:rsidRDefault="00061B78" w:rsidP="00683EFE">
      <w:pPr>
        <w:widowControl/>
        <w:overflowPunct/>
        <w:autoSpaceDE/>
        <w:autoSpaceDN/>
        <w:adjustRightInd/>
        <w:spacing w:line="240" w:lineRule="atLeast"/>
        <w:ind w:left="0" w:firstLine="0"/>
        <w:contextualSpacing/>
        <w:textAlignment w:val="auto"/>
        <w:rPr>
          <w:sz w:val="22"/>
        </w:rPr>
      </w:pPr>
      <w:r w:rsidRPr="00061B78">
        <w:rPr>
          <w:rFonts w:cs="Arial"/>
        </w:rPr>
        <w:t>2.</w:t>
      </w:r>
      <w:r w:rsidRPr="00061B78">
        <w:rPr>
          <w:rFonts w:cs="Arial"/>
        </w:rPr>
        <w:tab/>
        <w:t>In den Vorschriften, auf die Unterabschnitt 1.1.4.6 ADN verweist - das sind für die Vertragsparteien, die Rheinanlieger sind, die Rheinschiffsuntersuchungsordnung der Zentralkommission für die Rheinschifffahrt sowie für die Vertragsparteien, die Mitglieder der EU sind die Richtlinie 2006/87/EG vom 12. Dezember 2006 über die technischen Vorschriften für Binnenschiffe - sind im Zusammenhang mit Güterschiffen „Sammelrettungsmittel“ nicht bekannt. Diese werden dort jeweils nur für die Verwendung auf Fahrgastschiffen beschrieben.</w:t>
      </w:r>
    </w:p>
    <w:p w:rsidR="00194E0D" w:rsidRDefault="00194E0D">
      <w:pPr>
        <w:widowControl/>
        <w:overflowPunct/>
        <w:autoSpaceDE/>
        <w:autoSpaceDN/>
        <w:adjustRightInd/>
        <w:ind w:left="0" w:firstLine="0"/>
        <w:jc w:val="left"/>
        <w:textAlignment w:val="auto"/>
        <w:rPr>
          <w:b/>
          <w:sz w:val="24"/>
          <w:szCs w:val="18"/>
        </w:rPr>
      </w:pPr>
    </w:p>
    <w:p w:rsidR="004F4F1E" w:rsidRDefault="004F4F1E">
      <w:pPr>
        <w:widowControl/>
        <w:overflowPunct/>
        <w:autoSpaceDE/>
        <w:autoSpaceDN/>
        <w:adjustRightInd/>
        <w:ind w:left="0" w:firstLine="0"/>
        <w:jc w:val="left"/>
        <w:textAlignment w:val="auto"/>
        <w:rPr>
          <w:b/>
          <w:sz w:val="24"/>
          <w:szCs w:val="18"/>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II.</w:t>
      </w:r>
      <w:r w:rsidRPr="00061B78">
        <w:rPr>
          <w:b/>
          <w:sz w:val="24"/>
          <w:szCs w:val="18"/>
        </w:rPr>
        <w:tab/>
        <w:t>Antrag</w:t>
      </w:r>
    </w:p>
    <w:p w:rsidR="00061B78" w:rsidRPr="00061B78" w:rsidRDefault="00061B78" w:rsidP="00061B78">
      <w:pPr>
        <w:tabs>
          <w:tab w:val="left" w:pos="567"/>
        </w:tabs>
        <w:spacing w:line="240" w:lineRule="atLeast"/>
        <w:ind w:left="0" w:firstLine="0"/>
        <w:rPr>
          <w:b/>
          <w:sz w:val="24"/>
          <w:szCs w:val="18"/>
        </w:rPr>
      </w:pP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r w:rsidRPr="00061B78">
        <w:rPr>
          <w:rFonts w:cs="Arial"/>
        </w:rPr>
        <w:t>3.</w:t>
      </w:r>
      <w:r w:rsidRPr="00061B78">
        <w:rPr>
          <w:rFonts w:cs="Arial"/>
        </w:rPr>
        <w:tab/>
        <w:t>Der zweite Satz in Absatz 7.2.3.29.1 ADN wird wie folgt geändert:</w:t>
      </w:r>
    </w:p>
    <w:p w:rsidR="00061B78" w:rsidRDefault="00061B78" w:rsidP="004F4F1E">
      <w:pPr>
        <w:spacing w:before="180" w:line="240" w:lineRule="atLeast"/>
        <w:ind w:firstLine="0"/>
        <w:rPr>
          <w:szCs w:val="22"/>
        </w:rPr>
      </w:pPr>
      <w:r w:rsidRPr="00061B78">
        <w:rPr>
          <w:i/>
          <w:szCs w:val="22"/>
        </w:rPr>
        <w:t>„</w:t>
      </w:r>
      <w:r w:rsidRPr="00061B78">
        <w:rPr>
          <w:szCs w:val="22"/>
        </w:rPr>
        <w:t>Es darf jedoch im Bereich der Ladung aufgestellt werden, wenn sich im Bereich der Wohnung</w:t>
      </w:r>
      <w:r w:rsidR="004F4F1E">
        <w:rPr>
          <w:szCs w:val="22"/>
        </w:rPr>
        <w:t>en</w:t>
      </w:r>
      <w:r w:rsidRPr="00061B78">
        <w:rPr>
          <w:szCs w:val="22"/>
        </w:rPr>
        <w:t xml:space="preserve"> ein leicht erreichbares </w:t>
      </w:r>
      <w:r w:rsidRPr="00061B78">
        <w:rPr>
          <w:strike/>
          <w:szCs w:val="22"/>
        </w:rPr>
        <w:t xml:space="preserve">Sammelrettungsmittel gemäß den Regelungen des Unterabschnitts 1.1.4.6 </w:t>
      </w:r>
      <w:r w:rsidRPr="00061B78">
        <w:rPr>
          <w:szCs w:val="22"/>
          <w:u w:val="single"/>
        </w:rPr>
        <w:t xml:space="preserve">Rettungsfloß </w:t>
      </w:r>
      <w:r w:rsidRPr="00061B78">
        <w:rPr>
          <w:szCs w:val="22"/>
        </w:rPr>
        <w:t>befindet</w:t>
      </w:r>
      <w:r w:rsidRPr="00061B78">
        <w:rPr>
          <w:szCs w:val="22"/>
          <w:u w:val="single"/>
        </w:rPr>
        <w:t>, das den Anforderungen von Anhang II, Teil 15, Artikel 15.09, Absatz 5 der Europäischen Richtlinie 2006/87/EG</w:t>
      </w:r>
      <w:r w:rsidRPr="00061B78">
        <w:rPr>
          <w:szCs w:val="22"/>
          <w:u w:val="single"/>
          <w:vertAlign w:val="superscript"/>
        </w:rPr>
        <w:footnoteReference w:customMarkFollows="1" w:id="3"/>
        <w:t>4)</w:t>
      </w:r>
      <w:r w:rsidRPr="00061B78">
        <w:rPr>
          <w:szCs w:val="22"/>
          <w:u w:val="single"/>
        </w:rPr>
        <w:t xml:space="preserve"> in der jeweils geltenden Fassung entspricht (oder gleichwertig)</w:t>
      </w:r>
      <w:r w:rsidR="004F4F1E">
        <w:rPr>
          <w:szCs w:val="22"/>
        </w:rPr>
        <w:t>.</w:t>
      </w:r>
    </w:p>
    <w:p w:rsidR="004F4F1E" w:rsidRPr="00061B78" w:rsidRDefault="004F4F1E" w:rsidP="004F4F1E">
      <w:pPr>
        <w:spacing w:before="180" w:line="240" w:lineRule="atLeast"/>
        <w:ind w:firstLine="0"/>
        <w:rPr>
          <w:szCs w:val="22"/>
        </w:rPr>
      </w:pPr>
    </w:p>
    <w:p w:rsidR="00061B78" w:rsidRPr="00061B78" w:rsidRDefault="00061B78" w:rsidP="00683EFE">
      <w:pPr>
        <w:pStyle w:val="CommentText"/>
        <w:spacing w:line="240" w:lineRule="atLeast"/>
        <w:ind w:left="851" w:hanging="142"/>
        <w:contextualSpacing/>
        <w:rPr>
          <w:sz w:val="18"/>
          <w:lang w:val="en-US"/>
        </w:rPr>
      </w:pPr>
      <w:r w:rsidRPr="00061B78">
        <w:rPr>
          <w:sz w:val="18"/>
          <w:vertAlign w:val="superscript"/>
          <w:lang w:val="en-US"/>
        </w:rPr>
        <w:t xml:space="preserve">4) </w:t>
      </w:r>
      <w:r w:rsidRPr="00061B78">
        <w:rPr>
          <w:sz w:val="18"/>
          <w:lang w:val="en-US"/>
        </w:rPr>
        <w:t>Directive 2006/87/EC of the European Parliament and of the Council of 12 December 2006 laying down technical requirements for inland waterway vessels and repealing Council Directive 82/714/EEC (OJ L 389, 30.12.2006, pages 1 to 260).</w:t>
      </w:r>
      <w:r w:rsidR="004F4F1E">
        <w:rPr>
          <w:sz w:val="18"/>
          <w:lang w:val="en-US"/>
        </w:rPr>
        <w:t>”.</w:t>
      </w:r>
    </w:p>
    <w:p w:rsidR="00061B78" w:rsidRPr="00061B78" w:rsidRDefault="00061B78" w:rsidP="00061B78">
      <w:pPr>
        <w:tabs>
          <w:tab w:val="left" w:pos="567"/>
        </w:tabs>
        <w:spacing w:line="240" w:lineRule="atLeast"/>
        <w:contextualSpacing/>
        <w:rPr>
          <w:b/>
          <w:sz w:val="28"/>
          <w:szCs w:val="18"/>
          <w:lang w:val="en-US"/>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III.</w:t>
      </w:r>
      <w:r w:rsidRPr="00061B78">
        <w:rPr>
          <w:b/>
          <w:sz w:val="24"/>
          <w:szCs w:val="18"/>
        </w:rPr>
        <w:tab/>
        <w:t>Begründung</w:t>
      </w:r>
    </w:p>
    <w:p w:rsidR="00061B78" w:rsidRPr="00061B78" w:rsidRDefault="00061B78" w:rsidP="00061B78">
      <w:pPr>
        <w:tabs>
          <w:tab w:val="left" w:pos="567"/>
        </w:tabs>
        <w:spacing w:line="240" w:lineRule="atLeast"/>
        <w:contextualSpacing/>
        <w:rPr>
          <w:b/>
          <w:sz w:val="28"/>
          <w:szCs w:val="18"/>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4.</w:t>
      </w:r>
      <w:r w:rsidRPr="00061B78">
        <w:rPr>
          <w:rFonts w:cs="Arial"/>
        </w:rPr>
        <w:tab/>
        <w:t>Im ADN selbst gibt es keine Begriffsbestimmung für “Sammelrettungsmittel”. In den Vorschriften, auf die Unterabsatz 1.1.4.6 ADN verweist, sind „Sammelrettungsmittel“ nur für Fahrgastschiffe, aber nicht für Güterschiffe vorgesehen. Daher läuft dieser Verweis für Güterschiffe ins Leere. Es ist nicht klar, ob auf die für Fahrgastschiffe vorgesehenen Sammelrettungsmittel zurückgegriffen werden soll.</w:t>
      </w: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5.</w:t>
      </w:r>
      <w:r w:rsidRPr="00061B78">
        <w:rPr>
          <w:rFonts w:cs="Arial"/>
        </w:rPr>
        <w:tab/>
        <w:t>Mit der vorgeschlagenen Änderung soll eindeutig beschrieben werden, welche Sammelrettungsmittel als ausreichend angesehen werden, um ein Beiboot im Bereich der Wohnung zu ersetzen.</w:t>
      </w:r>
    </w:p>
    <w:p w:rsidR="00061B78" w:rsidRPr="00061B78" w:rsidRDefault="00061B78" w:rsidP="00061B78">
      <w:pPr>
        <w:tabs>
          <w:tab w:val="left" w:pos="1418"/>
        </w:tabs>
        <w:spacing w:line="240" w:lineRule="atLeast"/>
        <w:contextualSpacing/>
        <w:rPr>
          <w:rFonts w:cs="Arial"/>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6.</w:t>
      </w:r>
      <w:r w:rsidRPr="00061B78">
        <w:rPr>
          <w:rFonts w:cs="Arial"/>
        </w:rPr>
        <w:tab/>
        <w:t>In der Vorschrift, die jetzt zitiert wird, werden als Sammelrettungsmittel Beiboote und Rettungsflöße genannt. Da in 7.2.3.29.1 ADN der Standort des Beibootes geändert werden soll, kann es nur durch ein Rettungsfloß ersetzt werden. Dieses wird in der genannten Vorschrift detailliert beschrieben. Mit dem Zusatz „</w:t>
      </w:r>
      <w:r w:rsidRPr="00061B78">
        <w:rPr>
          <w:rFonts w:cs="Arial"/>
          <w:u w:val="single"/>
        </w:rPr>
        <w:t xml:space="preserve">(oder gleichwertig)“ </w:t>
      </w:r>
      <w:r w:rsidRPr="00061B78">
        <w:rPr>
          <w:rFonts w:cs="Arial"/>
        </w:rPr>
        <w:t>wird darauf Rücksicht genommen, dass es ADN-Vertragsparteien gibt, die nicht Rheinanlieger oder nicht Mitglied der europäischen Union sind.</w:t>
      </w: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4F4F1E" w:rsidRDefault="004F4F1E">
      <w:pPr>
        <w:widowControl/>
        <w:overflowPunct/>
        <w:autoSpaceDE/>
        <w:autoSpaceDN/>
        <w:adjustRightInd/>
        <w:ind w:left="0" w:firstLine="0"/>
        <w:jc w:val="left"/>
        <w:textAlignment w:val="auto"/>
      </w:pPr>
      <w:r>
        <w:br w:type="page"/>
      </w:r>
    </w:p>
    <w:p w:rsidR="00061B78" w:rsidRPr="00061B78" w:rsidRDefault="00061B78" w:rsidP="00194E0D">
      <w:pPr>
        <w:widowControl/>
        <w:overflowPunct/>
        <w:ind w:left="0" w:firstLine="0"/>
        <w:textAlignment w:val="auto"/>
      </w:pPr>
      <w:r w:rsidRPr="00061B78">
        <w:lastRenderedPageBreak/>
        <w:t>7.</w:t>
      </w:r>
      <w:r w:rsidRPr="00061B78">
        <w:tab/>
        <w:t>Das unter I. 1. abgebildete Rettungsmittel kann nur die Anforderungen eines „sonstigen Sammelrettungsmittels“ erfüllen, das in Artikel 15.09, Absatz 6 der Europäischen Richtlinie beschrieben wird: nämlich ein Ausrüstungsgegenstand, der den Auftrieb mehrerer sich im Wasser befindlicher Personen ermöglicht.</w:t>
      </w:r>
    </w:p>
    <w:p w:rsidR="00061B78" w:rsidRPr="00061B78" w:rsidRDefault="00061B78" w:rsidP="00061B78">
      <w:pPr>
        <w:widowControl/>
        <w:overflowPunct/>
        <w:ind w:left="0" w:firstLine="0"/>
        <w:jc w:val="left"/>
        <w:textAlignment w:val="auto"/>
        <w:rPr>
          <w:rFonts w:cs="Arial"/>
        </w:rPr>
      </w:pPr>
    </w:p>
    <w:p w:rsidR="00061B78" w:rsidRPr="00061B78" w:rsidRDefault="00061B78" w:rsidP="00683EFE">
      <w:pPr>
        <w:widowControl/>
        <w:overflowPunct/>
        <w:ind w:left="0" w:firstLine="0"/>
        <w:textAlignment w:val="auto"/>
        <w:rPr>
          <w:rFonts w:cs="Arial"/>
        </w:rPr>
      </w:pPr>
      <w:r w:rsidRPr="00061B78">
        <w:rPr>
          <w:rFonts w:cs="Arial"/>
        </w:rPr>
        <w:t>8.</w:t>
      </w:r>
      <w:r w:rsidRPr="00061B78">
        <w:rPr>
          <w:rFonts w:cs="Arial"/>
        </w:rPr>
        <w:tab/>
        <w:t>Diese Funktion ist aber nicht gleichwertig mit den Möglichkeiten, die ein Beiboot bietet, nämlich sich im Notfall aktiv vom Schiff wegbewegen zu können. Daher wird ein Ausrüstungsgegenstand nur zum Auftrieb von Personen nicht als gleichwertig angesehen.</w:t>
      </w:r>
    </w:p>
    <w:p w:rsidR="00194E0D" w:rsidRDefault="00194E0D">
      <w:pPr>
        <w:widowControl/>
        <w:overflowPunct/>
        <w:autoSpaceDE/>
        <w:autoSpaceDN/>
        <w:adjustRightInd/>
        <w:ind w:left="0" w:firstLine="0"/>
        <w:jc w:val="left"/>
        <w:textAlignment w:val="auto"/>
        <w:rPr>
          <w:b/>
          <w:sz w:val="24"/>
          <w:szCs w:val="18"/>
        </w:rPr>
      </w:pPr>
    </w:p>
    <w:p w:rsidR="0030165B" w:rsidRDefault="0030165B">
      <w:pPr>
        <w:widowControl/>
        <w:overflowPunct/>
        <w:autoSpaceDE/>
        <w:autoSpaceDN/>
        <w:adjustRightInd/>
        <w:ind w:left="0" w:firstLine="0"/>
        <w:jc w:val="left"/>
        <w:textAlignment w:val="auto"/>
        <w:rPr>
          <w:b/>
          <w:sz w:val="24"/>
          <w:szCs w:val="18"/>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IV.</w:t>
      </w:r>
      <w:r w:rsidRPr="00061B78">
        <w:rPr>
          <w:b/>
          <w:sz w:val="24"/>
          <w:szCs w:val="18"/>
        </w:rPr>
        <w:tab/>
        <w:t>Sicherheit</w:t>
      </w:r>
    </w:p>
    <w:p w:rsidR="00061B78" w:rsidRPr="00061B78" w:rsidRDefault="00061B78" w:rsidP="00061B78">
      <w:pPr>
        <w:tabs>
          <w:tab w:val="left" w:pos="1418"/>
        </w:tabs>
        <w:spacing w:line="240" w:lineRule="atLeast"/>
        <w:contextualSpacing/>
        <w:rPr>
          <w:rFonts w:cs="Arial"/>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9.</w:t>
      </w:r>
      <w:r w:rsidRPr="00061B78">
        <w:rPr>
          <w:rFonts w:cs="Arial"/>
        </w:rPr>
        <w:tab/>
        <w:t>Durch den eindeutigen Bezug und die damit verbundene tatsächliche Verwendung von Rettungsflößen wird die Sicherheit der Personen, die sich bei einem Unfall oder Zwischenfall an Bord im Bereich der Wohnung aufhalten erhöht. Sie können sich schneller vom Bereich der Gefahr fortbewegen.</w:t>
      </w: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V.</w:t>
      </w:r>
      <w:r w:rsidRPr="00061B78">
        <w:rPr>
          <w:b/>
          <w:sz w:val="24"/>
          <w:szCs w:val="18"/>
        </w:rPr>
        <w:tab/>
        <w:t>Umsetzbarkeit</w:t>
      </w:r>
    </w:p>
    <w:p w:rsidR="00061B78" w:rsidRPr="00061B78" w:rsidRDefault="00061B78" w:rsidP="00061B78">
      <w:pPr>
        <w:tabs>
          <w:tab w:val="left" w:pos="1418"/>
        </w:tabs>
        <w:spacing w:line="240" w:lineRule="atLeast"/>
        <w:contextualSpacing/>
      </w:pPr>
    </w:p>
    <w:p w:rsid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10.</w:t>
      </w:r>
      <w:r w:rsidRPr="00061B78">
        <w:rPr>
          <w:rFonts w:cs="Arial"/>
        </w:rPr>
        <w:tab/>
        <w:t>Der im Bereich der Wohnung zur Verfügung stehende Platz wird auch für die fraglichen Rettungsflöße ausreichend sein. Die Kosten für ein Rettungsfloß werden auf ca. 1000 € geschätzt und sind somit verhältnismäßig. Rettungsflöße sind auf dem Markt verfügbar und können kurzfristig angeschafft werden, sodass eine Übergangsfrist nicht erforderlich ist.</w:t>
      </w:r>
    </w:p>
    <w:p w:rsidR="00683EFE" w:rsidRDefault="00683EFE" w:rsidP="00194E0D">
      <w:pPr>
        <w:widowControl/>
        <w:overflowPunct/>
        <w:autoSpaceDE/>
        <w:autoSpaceDN/>
        <w:adjustRightInd/>
        <w:spacing w:line="240" w:lineRule="atLeast"/>
        <w:ind w:left="0" w:firstLine="0"/>
        <w:contextualSpacing/>
        <w:textAlignment w:val="auto"/>
        <w:rPr>
          <w:rFonts w:cs="Arial"/>
        </w:rPr>
      </w:pPr>
    </w:p>
    <w:p w:rsidR="00683EFE" w:rsidRPr="00061B78" w:rsidRDefault="00683EFE" w:rsidP="00194E0D">
      <w:pPr>
        <w:widowControl/>
        <w:overflowPunct/>
        <w:autoSpaceDE/>
        <w:autoSpaceDN/>
        <w:adjustRightInd/>
        <w:spacing w:line="240" w:lineRule="atLeast"/>
        <w:ind w:left="0" w:firstLine="0"/>
        <w:contextualSpacing/>
        <w:textAlignment w:val="auto"/>
        <w:rPr>
          <w:rFonts w:cs="Arial"/>
        </w:rPr>
      </w:pPr>
    </w:p>
    <w:p w:rsidR="00751575" w:rsidRPr="00061B78" w:rsidRDefault="00061B78" w:rsidP="00061B78">
      <w:pPr>
        <w:widowControl/>
        <w:overflowPunct/>
        <w:autoSpaceDE/>
        <w:autoSpaceDN/>
        <w:adjustRightInd/>
        <w:spacing w:line="240" w:lineRule="atLeast"/>
        <w:ind w:left="0" w:firstLine="0"/>
        <w:contextualSpacing/>
        <w:jc w:val="center"/>
        <w:textAlignment w:val="auto"/>
      </w:pPr>
      <w:r w:rsidRPr="00061B78">
        <w:t>***</w:t>
      </w:r>
    </w:p>
    <w:sectPr w:rsidR="00751575" w:rsidRPr="00061B78" w:rsidSect="00127B09">
      <w:headerReference w:type="even" r:id="rId10"/>
      <w:headerReference w:type="default" r:id="rId11"/>
      <w:footerReference w:type="default" r:id="rId12"/>
      <w:pgSz w:w="11906" w:h="16838"/>
      <w:pgMar w:top="184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81" w:rsidRDefault="008D4681" w:rsidP="0011702A">
      <w:r>
        <w:separator/>
      </w:r>
    </w:p>
  </w:endnote>
  <w:endnote w:type="continuationSeparator" w:id="0">
    <w:p w:rsidR="008D4681" w:rsidRDefault="008D468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061B78">
      <w:rPr>
        <w:rFonts w:ascii="Arial" w:hAnsi="Arial"/>
        <w:noProof/>
        <w:snapToGrid w:val="0"/>
        <w:sz w:val="12"/>
        <w:szCs w:val="24"/>
        <w:lang w:val="en-US"/>
      </w:rPr>
      <w:t>mm/adn_wp15_ac2_201</w:t>
    </w:r>
    <w:r w:rsidR="00683EFE">
      <w:rPr>
        <w:rFonts w:ascii="Arial" w:hAnsi="Arial"/>
        <w:noProof/>
        <w:snapToGrid w:val="0"/>
        <w:sz w:val="12"/>
        <w:szCs w:val="24"/>
        <w:lang w:val="en-US"/>
      </w:rPr>
      <w:t>8</w:t>
    </w:r>
    <w:r w:rsidRPr="00061B78">
      <w:rPr>
        <w:rFonts w:ascii="Arial" w:hAnsi="Arial"/>
        <w:noProof/>
        <w:snapToGrid w:val="0"/>
        <w:sz w:val="12"/>
        <w:szCs w:val="24"/>
        <w:lang w:val="en-US"/>
      </w:rPr>
      <w:t>_</w:t>
    </w:r>
    <w:r w:rsidR="004A1037">
      <w:rPr>
        <w:rFonts w:ascii="Arial" w:hAnsi="Arial"/>
        <w:noProof/>
        <w:snapToGrid w:val="0"/>
        <w:sz w:val="12"/>
        <w:szCs w:val="24"/>
        <w:lang w:val="en-US"/>
      </w:rPr>
      <w:t>31</w:t>
    </w:r>
    <w:r w:rsidRPr="00061B78">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81" w:rsidRDefault="008D4681" w:rsidP="0011702A">
      <w:r>
        <w:separator/>
      </w:r>
    </w:p>
  </w:footnote>
  <w:footnote w:type="continuationSeparator" w:id="0">
    <w:p w:rsidR="008D4681" w:rsidRDefault="008D4681" w:rsidP="0011702A">
      <w:r>
        <w:continuationSeparator/>
      </w:r>
    </w:p>
  </w:footnote>
  <w:footnote w:id="1">
    <w:p w:rsidR="00061B78" w:rsidRPr="00061B78" w:rsidRDefault="00061B78" w:rsidP="00061B78">
      <w:pPr>
        <w:pStyle w:val="FootnoteText"/>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Von der UN-ECE in Englisch, Französisch und Russisch unter dem Aktenzeichen ECE/TRANS/WP.15/AC.2/201</w:t>
      </w:r>
      <w:r w:rsidR="00683EFE">
        <w:rPr>
          <w:sz w:val="16"/>
          <w:szCs w:val="16"/>
        </w:rPr>
        <w:t>8</w:t>
      </w:r>
      <w:r w:rsidRPr="00061B78">
        <w:rPr>
          <w:sz w:val="16"/>
          <w:szCs w:val="16"/>
        </w:rPr>
        <w:t>/</w:t>
      </w:r>
      <w:r w:rsidR="004A1037">
        <w:rPr>
          <w:sz w:val="16"/>
          <w:szCs w:val="16"/>
        </w:rPr>
        <w:t>31</w:t>
      </w:r>
      <w:r w:rsidRPr="00061B78">
        <w:rPr>
          <w:sz w:val="16"/>
          <w:szCs w:val="16"/>
        </w:rPr>
        <w:t xml:space="preserve"> verteilt.</w:t>
      </w:r>
    </w:p>
  </w:footnote>
  <w:footnote w:id="2">
    <w:p w:rsidR="00061B78" w:rsidRPr="00061B78" w:rsidRDefault="00061B78" w:rsidP="00061B78">
      <w:pPr>
        <w:pStyle w:val="FootnoteText"/>
        <w:tabs>
          <w:tab w:val="left" w:pos="284"/>
        </w:tabs>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Entsprechend dem Arbeitsprogramm des Binnenverkehrsausschusses für 2016-2017 (ECE/TRANS/2016/28/Add.1 (9.3.)).</w:t>
      </w:r>
    </w:p>
  </w:footnote>
  <w:footnote w:id="3">
    <w:p w:rsidR="00061B78" w:rsidRPr="00061B78" w:rsidRDefault="00061B78" w:rsidP="00061B78">
      <w:pPr>
        <w:spacing w:line="312" w:lineRule="atLeast"/>
        <w:ind w:left="0" w:firstLine="0"/>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CCNR-ZKR/ADN/WP.15/AC.2/</w:t>
    </w:r>
    <w:r w:rsidR="0011545F" w:rsidRPr="00061B78">
      <w:rPr>
        <w:rFonts w:ascii="Arial" w:hAnsi="Arial"/>
        <w:snapToGrid w:val="0"/>
        <w:sz w:val="16"/>
        <w:szCs w:val="16"/>
      </w:rPr>
      <w:t>2018</w:t>
    </w:r>
    <w:r w:rsidRPr="00061B78">
      <w:rPr>
        <w:rFonts w:ascii="Arial" w:hAnsi="Arial"/>
        <w:snapToGrid w:val="0"/>
        <w:sz w:val="16"/>
        <w:szCs w:val="16"/>
      </w:rPr>
      <w:t>/</w:t>
    </w:r>
    <w:r w:rsidR="004A1037">
      <w:rPr>
        <w:rFonts w:ascii="Arial" w:hAnsi="Arial"/>
        <w:snapToGrid w:val="0"/>
        <w:sz w:val="16"/>
        <w:szCs w:val="16"/>
      </w:rPr>
      <w:t>31</w:t>
    </w:r>
  </w:p>
  <w:p w:rsidR="00D4056A" w:rsidRPr="00061B78" w:rsidRDefault="00D4056A"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1836B0">
      <w:rPr>
        <w:rFonts w:ascii="Arial" w:hAnsi="Arial"/>
        <w:noProof/>
        <w:snapToGrid w:val="0"/>
        <w:sz w:val="16"/>
        <w:szCs w:val="16"/>
      </w:rPr>
      <w:t>2</w:t>
    </w:r>
    <w:r w:rsidRPr="00061B7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CCNR-ZKR/ADN/WP.15/AC.2/201</w:t>
    </w:r>
    <w:r w:rsidR="00683EFE">
      <w:rPr>
        <w:rFonts w:ascii="Arial" w:hAnsi="Arial"/>
        <w:snapToGrid w:val="0"/>
        <w:sz w:val="16"/>
        <w:szCs w:val="16"/>
        <w:lang w:val="en-US"/>
      </w:rPr>
      <w:t>8/</w:t>
    </w:r>
    <w:r w:rsidR="004A1037">
      <w:rPr>
        <w:rFonts w:ascii="Arial" w:hAnsi="Arial"/>
        <w:snapToGrid w:val="0"/>
        <w:sz w:val="16"/>
        <w:szCs w:val="16"/>
        <w:lang w:val="en-US"/>
      </w:rPr>
      <w:t>31</w:t>
    </w:r>
  </w:p>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1836B0">
      <w:rPr>
        <w:rFonts w:ascii="Arial" w:hAnsi="Arial"/>
        <w:noProof/>
        <w:snapToGrid w:val="0"/>
        <w:sz w:val="16"/>
        <w:szCs w:val="16"/>
      </w:rPr>
      <w:t>3</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2ED8"/>
    <w:rsid w:val="00026176"/>
    <w:rsid w:val="0003284B"/>
    <w:rsid w:val="00034828"/>
    <w:rsid w:val="0004134B"/>
    <w:rsid w:val="00047E84"/>
    <w:rsid w:val="00052E7E"/>
    <w:rsid w:val="000563D5"/>
    <w:rsid w:val="00056B10"/>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6FC3"/>
    <w:rsid w:val="00113A60"/>
    <w:rsid w:val="00113FAC"/>
    <w:rsid w:val="00114102"/>
    <w:rsid w:val="0011545F"/>
    <w:rsid w:val="0011702A"/>
    <w:rsid w:val="0012236C"/>
    <w:rsid w:val="00126AA9"/>
    <w:rsid w:val="00127B09"/>
    <w:rsid w:val="00131CD7"/>
    <w:rsid w:val="00143354"/>
    <w:rsid w:val="00146BEF"/>
    <w:rsid w:val="001515D6"/>
    <w:rsid w:val="00156782"/>
    <w:rsid w:val="00156903"/>
    <w:rsid w:val="00156ACE"/>
    <w:rsid w:val="0016790C"/>
    <w:rsid w:val="001729A2"/>
    <w:rsid w:val="001739E9"/>
    <w:rsid w:val="00176072"/>
    <w:rsid w:val="0017767A"/>
    <w:rsid w:val="001836B0"/>
    <w:rsid w:val="001878DE"/>
    <w:rsid w:val="00190390"/>
    <w:rsid w:val="00194E0D"/>
    <w:rsid w:val="00197288"/>
    <w:rsid w:val="001A078E"/>
    <w:rsid w:val="001B4F22"/>
    <w:rsid w:val="001B7B3E"/>
    <w:rsid w:val="001C0E5C"/>
    <w:rsid w:val="001C1D1B"/>
    <w:rsid w:val="001C4ED8"/>
    <w:rsid w:val="001D1B0A"/>
    <w:rsid w:val="001E18B7"/>
    <w:rsid w:val="001E4D07"/>
    <w:rsid w:val="0020240A"/>
    <w:rsid w:val="00202E6D"/>
    <w:rsid w:val="0020337F"/>
    <w:rsid w:val="00205465"/>
    <w:rsid w:val="002132D2"/>
    <w:rsid w:val="00223DF9"/>
    <w:rsid w:val="00235B56"/>
    <w:rsid w:val="00240203"/>
    <w:rsid w:val="002431F2"/>
    <w:rsid w:val="00250FDB"/>
    <w:rsid w:val="00255192"/>
    <w:rsid w:val="0027414F"/>
    <w:rsid w:val="00283323"/>
    <w:rsid w:val="00291CB3"/>
    <w:rsid w:val="002A337E"/>
    <w:rsid w:val="002A53A6"/>
    <w:rsid w:val="002C0469"/>
    <w:rsid w:val="002D1BFB"/>
    <w:rsid w:val="002E3745"/>
    <w:rsid w:val="002E6A16"/>
    <w:rsid w:val="002E7227"/>
    <w:rsid w:val="002F4FC6"/>
    <w:rsid w:val="0030165B"/>
    <w:rsid w:val="003033DD"/>
    <w:rsid w:val="0030779A"/>
    <w:rsid w:val="00315A48"/>
    <w:rsid w:val="00316D5A"/>
    <w:rsid w:val="0032045B"/>
    <w:rsid w:val="003233C8"/>
    <w:rsid w:val="00325D76"/>
    <w:rsid w:val="00326B14"/>
    <w:rsid w:val="00337284"/>
    <w:rsid w:val="003439FC"/>
    <w:rsid w:val="00344C19"/>
    <w:rsid w:val="00357412"/>
    <w:rsid w:val="00361725"/>
    <w:rsid w:val="00364E68"/>
    <w:rsid w:val="003702C7"/>
    <w:rsid w:val="0037296A"/>
    <w:rsid w:val="0038428F"/>
    <w:rsid w:val="00387545"/>
    <w:rsid w:val="00397E52"/>
    <w:rsid w:val="003A2337"/>
    <w:rsid w:val="003B23DA"/>
    <w:rsid w:val="003C61C4"/>
    <w:rsid w:val="003D3605"/>
    <w:rsid w:val="003E6E61"/>
    <w:rsid w:val="00400ADD"/>
    <w:rsid w:val="00401179"/>
    <w:rsid w:val="00404D26"/>
    <w:rsid w:val="00406965"/>
    <w:rsid w:val="00410285"/>
    <w:rsid w:val="004176F9"/>
    <w:rsid w:val="00420837"/>
    <w:rsid w:val="00427609"/>
    <w:rsid w:val="00427804"/>
    <w:rsid w:val="00430CD0"/>
    <w:rsid w:val="00432779"/>
    <w:rsid w:val="00446085"/>
    <w:rsid w:val="00462722"/>
    <w:rsid w:val="00466FB5"/>
    <w:rsid w:val="00472198"/>
    <w:rsid w:val="004819A4"/>
    <w:rsid w:val="0048292C"/>
    <w:rsid w:val="00483272"/>
    <w:rsid w:val="004847DC"/>
    <w:rsid w:val="00492FA6"/>
    <w:rsid w:val="004A0752"/>
    <w:rsid w:val="004A1037"/>
    <w:rsid w:val="004A3FE7"/>
    <w:rsid w:val="004A46B8"/>
    <w:rsid w:val="004B0D93"/>
    <w:rsid w:val="004B7EA6"/>
    <w:rsid w:val="004C18DE"/>
    <w:rsid w:val="004E4EA8"/>
    <w:rsid w:val="004E5B77"/>
    <w:rsid w:val="004E622A"/>
    <w:rsid w:val="004F4DE3"/>
    <w:rsid w:val="004F4F1E"/>
    <w:rsid w:val="004F5608"/>
    <w:rsid w:val="0051476B"/>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5EF7"/>
    <w:rsid w:val="005F26AD"/>
    <w:rsid w:val="005F58DF"/>
    <w:rsid w:val="0060269E"/>
    <w:rsid w:val="006047AC"/>
    <w:rsid w:val="00607B11"/>
    <w:rsid w:val="00611C20"/>
    <w:rsid w:val="00620982"/>
    <w:rsid w:val="006256AF"/>
    <w:rsid w:val="00626C86"/>
    <w:rsid w:val="00630422"/>
    <w:rsid w:val="00642215"/>
    <w:rsid w:val="00643AEA"/>
    <w:rsid w:val="00651386"/>
    <w:rsid w:val="0066312D"/>
    <w:rsid w:val="00666284"/>
    <w:rsid w:val="00670028"/>
    <w:rsid w:val="00683EFE"/>
    <w:rsid w:val="0069164E"/>
    <w:rsid w:val="006918D7"/>
    <w:rsid w:val="006924C5"/>
    <w:rsid w:val="006970A1"/>
    <w:rsid w:val="006A0959"/>
    <w:rsid w:val="006A507B"/>
    <w:rsid w:val="006A73AD"/>
    <w:rsid w:val="006A7F94"/>
    <w:rsid w:val="006B57B7"/>
    <w:rsid w:val="006B7C55"/>
    <w:rsid w:val="006C31A2"/>
    <w:rsid w:val="006E0BE0"/>
    <w:rsid w:val="006F3C42"/>
    <w:rsid w:val="00702BE6"/>
    <w:rsid w:val="00706883"/>
    <w:rsid w:val="007210C7"/>
    <w:rsid w:val="007225A1"/>
    <w:rsid w:val="00742BD3"/>
    <w:rsid w:val="00751575"/>
    <w:rsid w:val="00753FD4"/>
    <w:rsid w:val="00754516"/>
    <w:rsid w:val="00760FB2"/>
    <w:rsid w:val="007615CE"/>
    <w:rsid w:val="007705CB"/>
    <w:rsid w:val="00773B7E"/>
    <w:rsid w:val="0079124E"/>
    <w:rsid w:val="00792E94"/>
    <w:rsid w:val="007A19A7"/>
    <w:rsid w:val="007A584D"/>
    <w:rsid w:val="007B5D5A"/>
    <w:rsid w:val="007C1AA7"/>
    <w:rsid w:val="007D1EF9"/>
    <w:rsid w:val="007D2FA0"/>
    <w:rsid w:val="007D6265"/>
    <w:rsid w:val="007E7F2A"/>
    <w:rsid w:val="00805AEB"/>
    <w:rsid w:val="00810504"/>
    <w:rsid w:val="0081450F"/>
    <w:rsid w:val="008224EF"/>
    <w:rsid w:val="00825074"/>
    <w:rsid w:val="00826787"/>
    <w:rsid w:val="00834438"/>
    <w:rsid w:val="00835551"/>
    <w:rsid w:val="00837FB8"/>
    <w:rsid w:val="00841328"/>
    <w:rsid w:val="00854209"/>
    <w:rsid w:val="0086477D"/>
    <w:rsid w:val="00876F50"/>
    <w:rsid w:val="00877000"/>
    <w:rsid w:val="008909B8"/>
    <w:rsid w:val="00894221"/>
    <w:rsid w:val="00896081"/>
    <w:rsid w:val="008967B7"/>
    <w:rsid w:val="008B3106"/>
    <w:rsid w:val="008B7C4B"/>
    <w:rsid w:val="008D3CEC"/>
    <w:rsid w:val="008D4681"/>
    <w:rsid w:val="008F4B57"/>
    <w:rsid w:val="00903D48"/>
    <w:rsid w:val="0090748A"/>
    <w:rsid w:val="00912A46"/>
    <w:rsid w:val="009422FA"/>
    <w:rsid w:val="00953866"/>
    <w:rsid w:val="009610B3"/>
    <w:rsid w:val="00962E31"/>
    <w:rsid w:val="00965DC5"/>
    <w:rsid w:val="00966CE6"/>
    <w:rsid w:val="00975B09"/>
    <w:rsid w:val="009771C0"/>
    <w:rsid w:val="009777E8"/>
    <w:rsid w:val="0098158C"/>
    <w:rsid w:val="0099031A"/>
    <w:rsid w:val="00991BA0"/>
    <w:rsid w:val="009A4FC8"/>
    <w:rsid w:val="009B3A04"/>
    <w:rsid w:val="009C79C4"/>
    <w:rsid w:val="009D17FC"/>
    <w:rsid w:val="009E281C"/>
    <w:rsid w:val="009E3EBD"/>
    <w:rsid w:val="009E795B"/>
    <w:rsid w:val="009F2DD9"/>
    <w:rsid w:val="00A005D6"/>
    <w:rsid w:val="00A0723D"/>
    <w:rsid w:val="00A1389E"/>
    <w:rsid w:val="00A21A7D"/>
    <w:rsid w:val="00A2645D"/>
    <w:rsid w:val="00A27409"/>
    <w:rsid w:val="00A34E0B"/>
    <w:rsid w:val="00A57CE8"/>
    <w:rsid w:val="00A62126"/>
    <w:rsid w:val="00A71FAE"/>
    <w:rsid w:val="00A7569B"/>
    <w:rsid w:val="00A77993"/>
    <w:rsid w:val="00A77C4E"/>
    <w:rsid w:val="00A81D2D"/>
    <w:rsid w:val="00A917C1"/>
    <w:rsid w:val="00A94B80"/>
    <w:rsid w:val="00A952F9"/>
    <w:rsid w:val="00AB23F2"/>
    <w:rsid w:val="00AB6055"/>
    <w:rsid w:val="00AC1577"/>
    <w:rsid w:val="00AC3059"/>
    <w:rsid w:val="00AD53AF"/>
    <w:rsid w:val="00AD68F2"/>
    <w:rsid w:val="00AD69C2"/>
    <w:rsid w:val="00AE50D2"/>
    <w:rsid w:val="00AE73A7"/>
    <w:rsid w:val="00AE7E9E"/>
    <w:rsid w:val="00B02145"/>
    <w:rsid w:val="00B041A6"/>
    <w:rsid w:val="00B17A75"/>
    <w:rsid w:val="00B2269A"/>
    <w:rsid w:val="00B26810"/>
    <w:rsid w:val="00B30626"/>
    <w:rsid w:val="00B40836"/>
    <w:rsid w:val="00B45122"/>
    <w:rsid w:val="00B4533C"/>
    <w:rsid w:val="00B71545"/>
    <w:rsid w:val="00B737F6"/>
    <w:rsid w:val="00B87AB9"/>
    <w:rsid w:val="00B92BF7"/>
    <w:rsid w:val="00B9368D"/>
    <w:rsid w:val="00B940F8"/>
    <w:rsid w:val="00BA358B"/>
    <w:rsid w:val="00BA6693"/>
    <w:rsid w:val="00BC224B"/>
    <w:rsid w:val="00BD6076"/>
    <w:rsid w:val="00BD77CE"/>
    <w:rsid w:val="00BF6A72"/>
    <w:rsid w:val="00BF7D16"/>
    <w:rsid w:val="00C0135E"/>
    <w:rsid w:val="00C01D3D"/>
    <w:rsid w:val="00C05CED"/>
    <w:rsid w:val="00C161A1"/>
    <w:rsid w:val="00C16233"/>
    <w:rsid w:val="00C24FA8"/>
    <w:rsid w:val="00C27690"/>
    <w:rsid w:val="00C4703A"/>
    <w:rsid w:val="00C509C1"/>
    <w:rsid w:val="00C532C5"/>
    <w:rsid w:val="00C64A71"/>
    <w:rsid w:val="00C7003A"/>
    <w:rsid w:val="00C70819"/>
    <w:rsid w:val="00C72A39"/>
    <w:rsid w:val="00C768FD"/>
    <w:rsid w:val="00C82985"/>
    <w:rsid w:val="00C90787"/>
    <w:rsid w:val="00C93A09"/>
    <w:rsid w:val="00C945EC"/>
    <w:rsid w:val="00C95218"/>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5991"/>
    <w:rsid w:val="00D7150D"/>
    <w:rsid w:val="00D80CB1"/>
    <w:rsid w:val="00D8467E"/>
    <w:rsid w:val="00D92E0F"/>
    <w:rsid w:val="00D9738B"/>
    <w:rsid w:val="00D97C9F"/>
    <w:rsid w:val="00DA1F54"/>
    <w:rsid w:val="00DA28E2"/>
    <w:rsid w:val="00DA312C"/>
    <w:rsid w:val="00DA3AF6"/>
    <w:rsid w:val="00DB57E7"/>
    <w:rsid w:val="00DC66D9"/>
    <w:rsid w:val="00DF426C"/>
    <w:rsid w:val="00E1103A"/>
    <w:rsid w:val="00E14568"/>
    <w:rsid w:val="00E22556"/>
    <w:rsid w:val="00E236E5"/>
    <w:rsid w:val="00E240AE"/>
    <w:rsid w:val="00E30C9D"/>
    <w:rsid w:val="00E36CEF"/>
    <w:rsid w:val="00E40062"/>
    <w:rsid w:val="00E45BA1"/>
    <w:rsid w:val="00E521C8"/>
    <w:rsid w:val="00E619C6"/>
    <w:rsid w:val="00E626D1"/>
    <w:rsid w:val="00E66171"/>
    <w:rsid w:val="00E82CF7"/>
    <w:rsid w:val="00E8770E"/>
    <w:rsid w:val="00E93819"/>
    <w:rsid w:val="00EA0422"/>
    <w:rsid w:val="00EA2C25"/>
    <w:rsid w:val="00EA7A70"/>
    <w:rsid w:val="00EB4ADF"/>
    <w:rsid w:val="00EB4D3D"/>
    <w:rsid w:val="00ED49D7"/>
    <w:rsid w:val="00ED557F"/>
    <w:rsid w:val="00EE4226"/>
    <w:rsid w:val="00EE457F"/>
    <w:rsid w:val="00EE5CAB"/>
    <w:rsid w:val="00EF00ED"/>
    <w:rsid w:val="00EF022A"/>
    <w:rsid w:val="00EF7231"/>
    <w:rsid w:val="00F07812"/>
    <w:rsid w:val="00F10D47"/>
    <w:rsid w:val="00F12E99"/>
    <w:rsid w:val="00F31FEF"/>
    <w:rsid w:val="00F330E1"/>
    <w:rsid w:val="00F42DC0"/>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712F"/>
    <w:rsid w:val="00FB305A"/>
    <w:rsid w:val="00FC032F"/>
    <w:rsid w:val="00FC2D7D"/>
    <w:rsid w:val="00FC5E77"/>
    <w:rsid w:val="00FD17D7"/>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2320C7C-737B-4695-982B-9FB85161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6DE8-6E20-481A-8994-F0BFA08A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4313</Characters>
  <Application>Microsoft Office Word</Application>
  <DocSecurity>4</DocSecurity>
  <Lines>35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ECE/ADN/45</cp:lastModifiedBy>
  <cp:revision>2</cp:revision>
  <cp:lastPrinted>2017-06-06T08:16:00Z</cp:lastPrinted>
  <dcterms:created xsi:type="dcterms:W3CDTF">2018-06-01T07:36:00Z</dcterms:created>
  <dcterms:modified xsi:type="dcterms:W3CDTF">2018-06-01T07:36:00Z</dcterms:modified>
</cp:coreProperties>
</file>