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00"/>
        <w:gridCol w:w="1820"/>
        <w:gridCol w:w="2819"/>
      </w:tblGrid>
      <w:tr w:rsidR="003D1D58" w:rsidRPr="00635870" w:rsidTr="00A2454C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3D1D58" w:rsidRPr="00635870" w:rsidRDefault="003D1D58" w:rsidP="003D1D58">
            <w:pPr>
              <w:spacing w:after="80" w:line="300" w:lineRule="exact"/>
              <w:rPr>
                <w:sz w:val="28"/>
                <w:lang w:val="en-GB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3D1D58" w:rsidRPr="00A360A2" w:rsidRDefault="003D1D58" w:rsidP="003D1D58">
            <w:pPr>
              <w:jc w:val="right"/>
              <w:rPr>
                <w:lang w:val="en-GB"/>
              </w:rPr>
            </w:pPr>
          </w:p>
        </w:tc>
        <w:tc>
          <w:tcPr>
            <w:tcW w:w="4639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D1D58" w:rsidRDefault="003D1D58" w:rsidP="003D1D58">
            <w:pPr>
              <w:jc w:val="right"/>
            </w:pPr>
            <w:r w:rsidRPr="004E0502">
              <w:rPr>
                <w:sz w:val="40"/>
              </w:rPr>
              <w:t>ECE</w:t>
            </w:r>
            <w:r>
              <w:t>/TRANS/WP.15/AC.2/2018/</w:t>
            </w:r>
            <w:r>
              <w:rPr>
                <w:lang w:val="fr-CH"/>
              </w:rPr>
              <w:t>2</w:t>
            </w:r>
            <w:r>
              <w:t>3</w:t>
            </w:r>
          </w:p>
        </w:tc>
      </w:tr>
      <w:tr w:rsidR="003D1D58" w:rsidRPr="00635870" w:rsidTr="00A2454C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3D1D58" w:rsidRPr="00635870" w:rsidRDefault="003D1D58" w:rsidP="003D1D58">
            <w:pPr>
              <w:spacing w:before="120"/>
              <w:jc w:val="center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63D8516" wp14:editId="41277E53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D1D58" w:rsidRPr="003B1275" w:rsidRDefault="003D1D58" w:rsidP="003D1D58">
            <w:pPr>
              <w:spacing w:before="120" w:line="460" w:lineRule="exact"/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3D1D58" w:rsidRDefault="003D1D58" w:rsidP="003D1D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3D1D58" w:rsidRDefault="003D1D58" w:rsidP="003D1D5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November 2017</w:t>
            </w:r>
          </w:p>
          <w:p w:rsidR="003D1D58" w:rsidRPr="00635870" w:rsidRDefault="003D1D58" w:rsidP="003D1D58">
            <w:pPr>
              <w:spacing w:before="240"/>
              <w:rPr>
                <w:lang w:val="en-GB"/>
              </w:rPr>
            </w:pPr>
            <w:r>
              <w:rPr>
                <w:lang w:val="en-US"/>
              </w:rPr>
              <w:t>Original: Russian</w:t>
            </w:r>
          </w:p>
        </w:tc>
      </w:tr>
    </w:tbl>
    <w:p w:rsidR="003D1D58" w:rsidRDefault="003D1D58" w:rsidP="003D1D5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3D1D58" w:rsidRPr="007A6CBF" w:rsidRDefault="003D1D58" w:rsidP="003D1D58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7A6CBF">
        <w:rPr>
          <w:sz w:val="28"/>
          <w:szCs w:val="28"/>
        </w:rPr>
        <w:t>Комитет по внутреннему транспорту</w:t>
      </w:r>
    </w:p>
    <w:p w:rsidR="003D1D58" w:rsidRPr="007A6CBF" w:rsidRDefault="003D1D58" w:rsidP="003D1D58">
      <w:pPr>
        <w:pStyle w:val="SingleTxtGR"/>
        <w:ind w:left="0"/>
        <w:jc w:val="left"/>
        <w:rPr>
          <w:b/>
          <w:sz w:val="24"/>
        </w:rPr>
      </w:pPr>
      <w:r w:rsidRPr="007A6CBF">
        <w:rPr>
          <w:b/>
          <w:bCs/>
          <w:sz w:val="24"/>
        </w:rPr>
        <w:t>Рабочая группа по перевозкам опасных грузов</w:t>
      </w:r>
    </w:p>
    <w:p w:rsidR="003D1D58" w:rsidRPr="00A70E27" w:rsidRDefault="003D1D58" w:rsidP="003D1D58">
      <w:pPr>
        <w:pStyle w:val="SingleTxtGR"/>
        <w:spacing w:after="0"/>
        <w:ind w:left="0"/>
        <w:jc w:val="left"/>
        <w:rPr>
          <w:b/>
        </w:rPr>
      </w:pPr>
      <w:r w:rsidRPr="00A70E27">
        <w:rPr>
          <w:b/>
          <w:bCs/>
        </w:rPr>
        <w:t xml:space="preserve">Совместное совещание экспертов по Правилам, </w:t>
      </w:r>
      <w:r w:rsidRPr="00A70E27">
        <w:rPr>
          <w:b/>
          <w:bCs/>
        </w:rPr>
        <w:br/>
        <w:t>прилагаемым к Европейскому соглашению</w:t>
      </w:r>
      <w:r w:rsidRPr="00A70E27"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</w:r>
      <w:r w:rsidRPr="00A70E27">
        <w:rPr>
          <w:b/>
          <w:bCs/>
        </w:rPr>
        <w:t>по внутренним водным путям (ВОПОГ)</w:t>
      </w:r>
      <w:r w:rsidRPr="00A70E27">
        <w:rPr>
          <w:b/>
          <w:bCs/>
        </w:rPr>
        <w:br/>
        <w:t>(Комитет по вопросам безопасности ВОПОГ)</w:t>
      </w:r>
    </w:p>
    <w:p w:rsidR="003D1D58" w:rsidRPr="00A70E27" w:rsidRDefault="003D1D58" w:rsidP="003D1D58">
      <w:pPr>
        <w:pStyle w:val="SingleTxtGR"/>
        <w:spacing w:before="120" w:after="0"/>
        <w:ind w:left="0"/>
        <w:jc w:val="left"/>
        <w:rPr>
          <w:b/>
        </w:rPr>
      </w:pPr>
      <w:r w:rsidRPr="00A70E27">
        <w:rPr>
          <w:b/>
          <w:bCs/>
        </w:rPr>
        <w:t>Тридцать вторая сессия</w:t>
      </w:r>
    </w:p>
    <w:p w:rsidR="003D1D58" w:rsidRPr="00A70E27" w:rsidRDefault="003D1D58" w:rsidP="003D1D58">
      <w:pPr>
        <w:pStyle w:val="SingleTxtGR"/>
        <w:spacing w:after="0"/>
        <w:ind w:left="0"/>
        <w:jc w:val="left"/>
      </w:pPr>
      <w:r w:rsidRPr="00A70E27">
        <w:t>Женева, 22–26 января 2018 года</w:t>
      </w:r>
    </w:p>
    <w:p w:rsidR="003D1D58" w:rsidRPr="00A70E27" w:rsidRDefault="003D1D58" w:rsidP="003D1D58">
      <w:pPr>
        <w:pStyle w:val="SingleTxtGR"/>
        <w:spacing w:after="0"/>
        <w:ind w:left="0"/>
        <w:jc w:val="left"/>
      </w:pPr>
      <w:r w:rsidRPr="00A70E27">
        <w:t xml:space="preserve">Пункт </w:t>
      </w:r>
      <w:r w:rsidR="001F6A53">
        <w:rPr>
          <w:lang w:val="fr-CH"/>
        </w:rPr>
        <w:t>4</w:t>
      </w:r>
      <w:r w:rsidRPr="00A70E27">
        <w:t xml:space="preserve"> </w:t>
      </w:r>
      <w:r w:rsidR="001F6A53">
        <w:rPr>
          <w:lang w:val="fr-CH"/>
        </w:rPr>
        <w:t>c</w:t>
      </w:r>
      <w:r w:rsidRPr="00A70E27">
        <w:t>) предварительной повестки дня</w:t>
      </w:r>
    </w:p>
    <w:p w:rsidR="001E65D9" w:rsidRPr="001F6A53" w:rsidRDefault="001F6A53" w:rsidP="003D1D58">
      <w:pPr>
        <w:rPr>
          <w:b/>
          <w:bCs/>
        </w:rPr>
      </w:pPr>
      <w:r w:rsidRPr="001F6A53">
        <w:rPr>
          <w:b/>
        </w:rPr>
        <w:t xml:space="preserve">Применение Европейского соглашения о международной перевозке </w:t>
      </w:r>
      <w:r w:rsidRPr="001F6A53">
        <w:rPr>
          <w:b/>
          <w:lang w:val="fr-CH"/>
        </w:rPr>
        <w:br/>
      </w:r>
      <w:r w:rsidRPr="001F6A53">
        <w:rPr>
          <w:b/>
        </w:rPr>
        <w:t>опасных грузов по внутренним водным путям (ВОПОГ):</w:t>
      </w:r>
      <w:r w:rsidR="003D1D58" w:rsidRPr="001F6A53">
        <w:rPr>
          <w:b/>
          <w:bCs/>
        </w:rPr>
        <w:t xml:space="preserve"> </w:t>
      </w:r>
      <w:r w:rsidRPr="001F6A53">
        <w:rPr>
          <w:b/>
          <w:bCs/>
          <w:lang w:val="fr-CH"/>
        </w:rPr>
        <w:br/>
      </w:r>
      <w:r w:rsidRPr="001F6A53">
        <w:rPr>
          <w:b/>
        </w:rPr>
        <w:t>толкование Правил, прилагаемых к ВОПОГ</w:t>
      </w:r>
      <w:r w:rsidR="003D1D58" w:rsidRPr="001F6A53">
        <w:rPr>
          <w:b/>
          <w:bCs/>
        </w:rPr>
        <w:br/>
      </w:r>
    </w:p>
    <w:p w:rsidR="00504BE0" w:rsidRPr="003D02D0" w:rsidRDefault="00A31A7D" w:rsidP="00A31A7D">
      <w:pPr>
        <w:pStyle w:val="HChGR"/>
        <w:rPr>
          <w:i/>
          <w:caps/>
        </w:rPr>
      </w:pPr>
      <w:r>
        <w:tab/>
      </w:r>
      <w:r>
        <w:tab/>
      </w:r>
      <w:r w:rsidR="00504BE0" w:rsidRPr="003D02D0">
        <w:t>Системы безопасности (</w:t>
      </w:r>
      <w:proofErr w:type="spellStart"/>
      <w:r w:rsidR="00504BE0" w:rsidRPr="003D02D0">
        <w:t>Security</w:t>
      </w:r>
      <w:proofErr w:type="spellEnd"/>
      <w:r w:rsidR="00504BE0" w:rsidRPr="003D02D0">
        <w:t>) внутреннего водного транспорта (система БВВТ) и ВОПОГ</w:t>
      </w:r>
    </w:p>
    <w:p w:rsidR="00504BE0" w:rsidRDefault="001F6A53" w:rsidP="00A31A7D">
      <w:pPr>
        <w:pStyle w:val="SingleTxtGR"/>
        <w:rPr>
          <w:i/>
        </w:rPr>
      </w:pPr>
      <w:r>
        <w:rPr>
          <w:lang w:val="fr-CH"/>
        </w:rPr>
        <w:t>1.</w:t>
      </w:r>
      <w:r>
        <w:rPr>
          <w:lang w:val="fr-CH"/>
        </w:rPr>
        <w:tab/>
      </w:r>
      <w:r w:rsidR="00504BE0">
        <w:t>Правилами перевозки опасных грузов (ВОПОГ), Глава 1.10 – "Положения, касающиеся обеспечения безопасности" предусматриваются определенные требования, а именно "</w:t>
      </w:r>
      <w:r w:rsidR="00504BE0">
        <w:rPr>
          <w:u w:val="single"/>
        </w:rPr>
        <w:t>меры предосторожности</w:t>
      </w:r>
      <w:r w:rsidR="00504BE0">
        <w:t>"</w:t>
      </w:r>
      <w:r w:rsidR="00504BE0">
        <w:rPr>
          <w:rStyle w:val="FootnoteReference"/>
          <w:sz w:val="24"/>
        </w:rPr>
        <w:footnoteReference w:id="1"/>
      </w:r>
      <w:r w:rsidR="00504BE0">
        <w:t xml:space="preserve"> в отношении безопасности при перевозке опасных грузов. </w:t>
      </w:r>
    </w:p>
    <w:p w:rsidR="00504BE0" w:rsidRDefault="00A31A7D" w:rsidP="00A31A7D">
      <w:pPr>
        <w:pStyle w:val="H1GR"/>
        <w:rPr>
          <w:i/>
          <w:caps/>
        </w:rPr>
      </w:pPr>
      <w:r>
        <w:tab/>
      </w:r>
      <w:r>
        <w:tab/>
      </w:r>
      <w:r w:rsidR="00504BE0">
        <w:t>В Примечании к пункту 1.10.3.2 Главы 1.10 ВОПОГ также указано:</w:t>
      </w:r>
    </w:p>
    <w:p w:rsidR="00504BE0" w:rsidRDefault="00504BE0" w:rsidP="00A31A7D">
      <w:pPr>
        <w:pStyle w:val="SingleTxtGR"/>
        <w:rPr>
          <w:caps/>
        </w:rPr>
      </w:pPr>
      <w:r>
        <w:t xml:space="preserve">"Перевозчики, грузоотправители и грузополучатели должны сотрудничать друг с другом и с компетентными органами в обмене информацией о возможных </w:t>
      </w:r>
      <w:r>
        <w:lastRenderedPageBreak/>
        <w:t>угрозах, применении соответствующих мер безопасности и реагировании на происшествия, ставящие под угрозу безопасность."</w:t>
      </w:r>
    </w:p>
    <w:p w:rsidR="00504BE0" w:rsidRDefault="001F6A53" w:rsidP="00A31A7D">
      <w:pPr>
        <w:pStyle w:val="SingleTxtGR"/>
        <w:rPr>
          <w:i/>
          <w:caps/>
        </w:rPr>
      </w:pPr>
      <w:r>
        <w:rPr>
          <w:lang w:val="fr-CH"/>
        </w:rPr>
        <w:t>2.</w:t>
      </w:r>
      <w:r>
        <w:rPr>
          <w:lang w:val="fr-CH"/>
        </w:rPr>
        <w:tab/>
      </w:r>
      <w:r w:rsidR="00504BE0">
        <w:t>При этом указанные участники транспортных операций обеспечивают выполнение своих обязанностей по охране за свой счет и под свою ответственность.</w:t>
      </w:r>
    </w:p>
    <w:p w:rsidR="00504BE0" w:rsidRDefault="001F6A53" w:rsidP="00A31A7D">
      <w:pPr>
        <w:pStyle w:val="SingleTxtGR"/>
        <w:rPr>
          <w:i/>
          <w:caps/>
        </w:rPr>
      </w:pPr>
      <w:r>
        <w:rPr>
          <w:lang w:val="fr-CH"/>
        </w:rPr>
        <w:t>3.</w:t>
      </w:r>
      <w:r>
        <w:rPr>
          <w:lang w:val="fr-CH"/>
        </w:rPr>
        <w:tab/>
      </w:r>
      <w:r w:rsidR="00504BE0">
        <w:t>В Главе 1.10 ВОПОГ предусматривается наличие:</w:t>
      </w:r>
    </w:p>
    <w:p w:rsidR="00504BE0" w:rsidRDefault="00504BE0" w:rsidP="00A31A7D">
      <w:pPr>
        <w:pStyle w:val="Bullet1GR"/>
        <w:rPr>
          <w:i/>
        </w:rPr>
      </w:pPr>
      <w:r>
        <w:t>планов обеспечения безопасности перевозки и перевалки грузов повышенной опасности;</w:t>
      </w:r>
    </w:p>
    <w:p w:rsidR="00504BE0" w:rsidRDefault="00504BE0" w:rsidP="00A31A7D">
      <w:pPr>
        <w:pStyle w:val="Bullet1GR"/>
        <w:rPr>
          <w:i/>
        </w:rPr>
      </w:pPr>
      <w:r>
        <w:t>процедуры обеспечения охраны судов и портов;</w:t>
      </w:r>
    </w:p>
    <w:p w:rsidR="00504BE0" w:rsidRDefault="00504BE0" w:rsidP="00A31A7D">
      <w:pPr>
        <w:pStyle w:val="Bullet1GR"/>
        <w:rPr>
          <w:i/>
        </w:rPr>
      </w:pPr>
      <w:r>
        <w:t>информирования об угрозах.</w:t>
      </w:r>
    </w:p>
    <w:p w:rsidR="003D1D58" w:rsidRDefault="00504BE0" w:rsidP="00A31A7D">
      <w:pPr>
        <w:pStyle w:val="SingleTxtGR"/>
      </w:pPr>
      <w:r>
        <w:rPr>
          <w:b/>
        </w:rPr>
        <w:t>Вывод по п. 3.1</w:t>
      </w:r>
      <w:r>
        <w:t>: Требования Главы 1.10 ВОПОГ в значительной степени соотносятся с целями системы БВВТ. Следовательно, в системе БВВТ необходимо учитывать выполнение этих требований.</w:t>
      </w:r>
    </w:p>
    <w:p w:rsidR="00A31A7D" w:rsidRPr="00A31A7D" w:rsidRDefault="00A31A7D" w:rsidP="00A31A7D">
      <w:pPr>
        <w:pStyle w:val="SingleTxtGR"/>
        <w:suppressAutoHyphens/>
        <w:spacing w:before="240" w:after="0"/>
        <w:jc w:val="center"/>
        <w:rPr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sectPr w:rsidR="00A31A7D" w:rsidRPr="00A31A7D" w:rsidSect="00B14E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79D" w:rsidRDefault="008C279D">
      <w:r>
        <w:rPr>
          <w:lang w:val="en-US"/>
        </w:rPr>
        <w:tab/>
      </w:r>
      <w:r>
        <w:separator/>
      </w:r>
    </w:p>
  </w:endnote>
  <w:endnote w:type="continuationSeparator" w:id="0">
    <w:p w:rsidR="008C279D" w:rsidRDefault="008C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A7D" w:rsidRPr="00BC3593" w:rsidRDefault="00BC3593">
    <w:pPr>
      <w:pStyle w:val="Footer"/>
      <w:rPr>
        <w:lang w:val="fr-CH"/>
      </w:rPr>
    </w:pPr>
    <w:r>
      <w:rPr>
        <w:lang w:val="fr-CH"/>
      </w:rPr>
      <w:t>2</w:t>
    </w:r>
    <w:bookmarkStart w:id="0" w:name="_GoBack"/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A7D" w:rsidRDefault="00A31A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E81" w:rsidRPr="00081485" w:rsidRDefault="00266E81" w:rsidP="000A2596">
    <w:pPr>
      <w:pStyle w:val="Footer"/>
      <w:tabs>
        <w:tab w:val="clear" w:pos="9639"/>
        <w:tab w:val="right" w:pos="9617"/>
      </w:tabs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79D" w:rsidRPr="00F5542C" w:rsidRDefault="008C279D" w:rsidP="00F5542C">
      <w:pPr>
        <w:tabs>
          <w:tab w:val="left" w:pos="2155"/>
        </w:tabs>
        <w:spacing w:after="80"/>
        <w:ind w:left="680"/>
        <w:rPr>
          <w:u w:val="single"/>
          <w:lang w:val="en-US"/>
        </w:rPr>
      </w:pPr>
      <w:r w:rsidRPr="00F5542C">
        <w:rPr>
          <w:u w:val="single"/>
          <w:lang w:val="en-US"/>
        </w:rPr>
        <w:tab/>
      </w:r>
    </w:p>
  </w:footnote>
  <w:footnote w:type="continuationSeparator" w:id="0">
    <w:p w:rsidR="008C279D" w:rsidRPr="00C960A3" w:rsidRDefault="008C279D" w:rsidP="00C960A3">
      <w:pPr>
        <w:tabs>
          <w:tab w:val="left" w:pos="2155"/>
        </w:tabs>
        <w:spacing w:after="80"/>
        <w:ind w:left="680"/>
        <w:rPr>
          <w:u w:val="single"/>
        </w:rPr>
      </w:pPr>
      <w:r w:rsidRPr="00C960A3">
        <w:rPr>
          <w:u w:val="single"/>
          <w:lang w:val="en-US"/>
        </w:rPr>
        <w:tab/>
      </w:r>
    </w:p>
  </w:footnote>
  <w:footnote w:id="1">
    <w:p w:rsidR="00504BE0" w:rsidRDefault="00A31A7D" w:rsidP="00A31A7D">
      <w:pPr>
        <w:pStyle w:val="FootnoteText"/>
        <w:rPr>
          <w:i/>
          <w:caps/>
        </w:rPr>
      </w:pPr>
      <w:r>
        <w:tab/>
      </w:r>
      <w:r w:rsidR="00504BE0">
        <w:rPr>
          <w:rStyle w:val="FootnoteReference"/>
        </w:rPr>
        <w:footnoteRef/>
      </w:r>
      <w:r w:rsidR="00504BE0">
        <w:t xml:space="preserve"> </w:t>
      </w:r>
      <w:r>
        <w:tab/>
      </w:r>
      <w:r w:rsidR="00504BE0">
        <w:t xml:space="preserve">Примечание к </w:t>
      </w:r>
      <w:r w:rsidR="00504BE0" w:rsidRPr="00A31A7D">
        <w:rPr>
          <w:rStyle w:val="FootnoteReference"/>
        </w:rPr>
        <w:t>разделу</w:t>
      </w:r>
      <w:r w:rsidR="00504BE0">
        <w:t xml:space="preserve"> 1.10.3 Главы 1.10 ВОПОГ: </w:t>
      </w:r>
    </w:p>
    <w:p w:rsidR="00504BE0" w:rsidRDefault="00A31A7D" w:rsidP="00A31A7D">
      <w:pPr>
        <w:pStyle w:val="FootnoteText"/>
      </w:pPr>
      <w:r>
        <w:tab/>
      </w:r>
      <w:r>
        <w:tab/>
      </w:r>
      <w:r w:rsidR="00504BE0">
        <w:t>Для целей настоящей главы "обеспечение безопасности" означает меры предосторожности, принимаемые с целью сведения к минимуму хищений или ненадлежащего применения опасных грузов, в результате чего может возникнуть угроза здоровью и жизни людей, имуществу или окружающей среде.</w:t>
      </w:r>
    </w:p>
    <w:p w:rsidR="00504BE0" w:rsidRDefault="00504BE0" w:rsidP="00504BE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A7D" w:rsidRPr="00A31A7D" w:rsidRDefault="00A31A7D">
    <w:pPr>
      <w:pStyle w:val="Header"/>
      <w:rPr>
        <w:lang w:val="fr-CH"/>
      </w:rPr>
    </w:pPr>
    <w:r>
      <w:rPr>
        <w:lang w:val="fr-CH"/>
      </w:rPr>
      <w:t>ECE/TRANS/WP.15/AC.2/2017/23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A7D" w:rsidRDefault="00A31A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A7D" w:rsidRDefault="00A31A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A2F2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3668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EE73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ACCA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2A49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F62B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EAD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82C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0CB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6A4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F1AE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7F2469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90228"/>
    <w:multiLevelType w:val="hybridMultilevel"/>
    <w:tmpl w:val="E5464F8E"/>
    <w:lvl w:ilvl="0" w:tplc="FD0C5992">
      <w:start w:val="1"/>
      <w:numFmt w:val="decimal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BE345D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D69AB"/>
    <w:multiLevelType w:val="hybridMultilevel"/>
    <w:tmpl w:val="1B503294"/>
    <w:lvl w:ilvl="0" w:tplc="8DE404F0">
      <w:start w:val="331"/>
      <w:numFmt w:val="bullet"/>
      <w:lvlText w:val="-"/>
      <w:lvlJc w:val="left"/>
      <w:pPr>
        <w:ind w:left="1468" w:hanging="360"/>
      </w:pPr>
    </w:lvl>
    <w:lvl w:ilvl="1" w:tplc="04190003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  <w:num w:numId="18">
    <w:abstractNumId w:val="12"/>
  </w:num>
  <w:num w:numId="19">
    <w:abstractNumId w:val="13"/>
  </w:num>
  <w:num w:numId="20">
    <w:abstractNumId w:val="10"/>
  </w:num>
  <w:num w:numId="21">
    <w:abstractNumId w:val="1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4"/>
  </w:num>
  <w:num w:numId="33">
    <w:abstractNumId w:val="15"/>
  </w:num>
  <w:num w:numId="34">
    <w:abstractNumId w:val="12"/>
  </w:num>
  <w:num w:numId="35">
    <w:abstractNumId w:val="13"/>
  </w:num>
  <w:num w:numId="36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567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9D"/>
    <w:rsid w:val="00005C1C"/>
    <w:rsid w:val="000233B3"/>
    <w:rsid w:val="00023DD0"/>
    <w:rsid w:val="0004010A"/>
    <w:rsid w:val="00043D88"/>
    <w:rsid w:val="0006401A"/>
    <w:rsid w:val="000748C1"/>
    <w:rsid w:val="00081485"/>
    <w:rsid w:val="000847BD"/>
    <w:rsid w:val="00085128"/>
    <w:rsid w:val="00090891"/>
    <w:rsid w:val="00097975"/>
    <w:rsid w:val="000A2596"/>
    <w:rsid w:val="000F5A53"/>
    <w:rsid w:val="001102B6"/>
    <w:rsid w:val="00117AEE"/>
    <w:rsid w:val="0012767C"/>
    <w:rsid w:val="0015769C"/>
    <w:rsid w:val="00190231"/>
    <w:rsid w:val="00192175"/>
    <w:rsid w:val="001A7D40"/>
    <w:rsid w:val="001B6807"/>
    <w:rsid w:val="001D07F7"/>
    <w:rsid w:val="001E60B9"/>
    <w:rsid w:val="001E65D9"/>
    <w:rsid w:val="001F6A53"/>
    <w:rsid w:val="002019BD"/>
    <w:rsid w:val="00266E81"/>
    <w:rsid w:val="0027199D"/>
    <w:rsid w:val="002739FB"/>
    <w:rsid w:val="00284644"/>
    <w:rsid w:val="0028492B"/>
    <w:rsid w:val="002A1D1D"/>
    <w:rsid w:val="002B329F"/>
    <w:rsid w:val="002C6A71"/>
    <w:rsid w:val="002D15EA"/>
    <w:rsid w:val="002E0CE6"/>
    <w:rsid w:val="00313F7D"/>
    <w:rsid w:val="0031437F"/>
    <w:rsid w:val="00332891"/>
    <w:rsid w:val="00360477"/>
    <w:rsid w:val="003951D3"/>
    <w:rsid w:val="003978C6"/>
    <w:rsid w:val="003B40A9"/>
    <w:rsid w:val="003C016E"/>
    <w:rsid w:val="003D1D58"/>
    <w:rsid w:val="004019C3"/>
    <w:rsid w:val="00403234"/>
    <w:rsid w:val="00446DCB"/>
    <w:rsid w:val="004525F5"/>
    <w:rsid w:val="0048244D"/>
    <w:rsid w:val="004878DB"/>
    <w:rsid w:val="004A0DE8"/>
    <w:rsid w:val="004D0734"/>
    <w:rsid w:val="004E6729"/>
    <w:rsid w:val="00504BE0"/>
    <w:rsid w:val="0051339C"/>
    <w:rsid w:val="0051412F"/>
    <w:rsid w:val="00515D05"/>
    <w:rsid w:val="005276AD"/>
    <w:rsid w:val="00530007"/>
    <w:rsid w:val="00584828"/>
    <w:rsid w:val="005B1B28"/>
    <w:rsid w:val="005C678A"/>
    <w:rsid w:val="005F3E04"/>
    <w:rsid w:val="006115AA"/>
    <w:rsid w:val="00611AFA"/>
    <w:rsid w:val="00632B65"/>
    <w:rsid w:val="00635E86"/>
    <w:rsid w:val="0065427C"/>
    <w:rsid w:val="00694C37"/>
    <w:rsid w:val="006C2F45"/>
    <w:rsid w:val="006E7183"/>
    <w:rsid w:val="006F1996"/>
    <w:rsid w:val="00735BA8"/>
    <w:rsid w:val="007442BE"/>
    <w:rsid w:val="0074530B"/>
    <w:rsid w:val="0075279B"/>
    <w:rsid w:val="00753748"/>
    <w:rsid w:val="007D493D"/>
    <w:rsid w:val="007E38C3"/>
    <w:rsid w:val="007E549E"/>
    <w:rsid w:val="007E71C9"/>
    <w:rsid w:val="0082208A"/>
    <w:rsid w:val="008305D7"/>
    <w:rsid w:val="008727A1"/>
    <w:rsid w:val="00891C08"/>
    <w:rsid w:val="008A5FA8"/>
    <w:rsid w:val="008A7E23"/>
    <w:rsid w:val="008C279D"/>
    <w:rsid w:val="008F1E55"/>
    <w:rsid w:val="00962CAE"/>
    <w:rsid w:val="00964EEA"/>
    <w:rsid w:val="00966A00"/>
    <w:rsid w:val="00993668"/>
    <w:rsid w:val="009A1446"/>
    <w:rsid w:val="009C30BB"/>
    <w:rsid w:val="009F00A6"/>
    <w:rsid w:val="00A05D51"/>
    <w:rsid w:val="00A2446A"/>
    <w:rsid w:val="00A2454C"/>
    <w:rsid w:val="00A31A7D"/>
    <w:rsid w:val="00A820BB"/>
    <w:rsid w:val="00AB5BF0"/>
    <w:rsid w:val="00AD52F7"/>
    <w:rsid w:val="00B14EF2"/>
    <w:rsid w:val="00B15891"/>
    <w:rsid w:val="00B55EEF"/>
    <w:rsid w:val="00B614FD"/>
    <w:rsid w:val="00BB1AF9"/>
    <w:rsid w:val="00BB55D7"/>
    <w:rsid w:val="00BC3593"/>
    <w:rsid w:val="00BD3CAE"/>
    <w:rsid w:val="00C037E9"/>
    <w:rsid w:val="00C03CA2"/>
    <w:rsid w:val="00C065D3"/>
    <w:rsid w:val="00C113AE"/>
    <w:rsid w:val="00C20D2F"/>
    <w:rsid w:val="00C27435"/>
    <w:rsid w:val="00C373B1"/>
    <w:rsid w:val="00C41BBC"/>
    <w:rsid w:val="00C67731"/>
    <w:rsid w:val="00C75CB2"/>
    <w:rsid w:val="00C807EC"/>
    <w:rsid w:val="00C92A84"/>
    <w:rsid w:val="00C960A3"/>
    <w:rsid w:val="00CA609E"/>
    <w:rsid w:val="00CC7ED4"/>
    <w:rsid w:val="00CE3D6F"/>
    <w:rsid w:val="00CF320B"/>
    <w:rsid w:val="00D01358"/>
    <w:rsid w:val="00D02797"/>
    <w:rsid w:val="00D800D0"/>
    <w:rsid w:val="00D802E3"/>
    <w:rsid w:val="00DA5686"/>
    <w:rsid w:val="00DF18FA"/>
    <w:rsid w:val="00DF49CA"/>
    <w:rsid w:val="00E007F3"/>
    <w:rsid w:val="00E03C1F"/>
    <w:rsid w:val="00E051CA"/>
    <w:rsid w:val="00E11679"/>
    <w:rsid w:val="00E37BFE"/>
    <w:rsid w:val="00E46A04"/>
    <w:rsid w:val="00E517EB"/>
    <w:rsid w:val="00EC6B9F"/>
    <w:rsid w:val="00F12C64"/>
    <w:rsid w:val="00F2792C"/>
    <w:rsid w:val="00F5542C"/>
    <w:rsid w:val="00F71F63"/>
    <w:rsid w:val="00F87506"/>
    <w:rsid w:val="00FB2B35"/>
    <w:rsid w:val="00FD78A3"/>
    <w:rsid w:val="00FE79D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610A65"/>
  <w15:docId w15:val="{1E431247-55D3-4537-8362-26FC4B95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44"/>
    <w:pPr>
      <w:spacing w:line="240" w:lineRule="atLeast"/>
    </w:pPr>
    <w:rPr>
      <w:spacing w:val="4"/>
      <w:w w:val="103"/>
      <w:kern w:val="14"/>
      <w:szCs w:val="2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BB55D7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2846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846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846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846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8464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84644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284644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2846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BB55D7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BB55D7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BB55D7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55D7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55D7"/>
    <w:pPr>
      <w:numPr>
        <w:numId w:val="33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55D7"/>
    <w:pPr>
      <w:numPr>
        <w:numId w:val="34"/>
      </w:numPr>
      <w:spacing w:after="120"/>
      <w:ind w:right="1134"/>
      <w:jc w:val="both"/>
    </w:pPr>
    <w:rPr>
      <w:lang w:eastAsia="ru-RU"/>
    </w:rPr>
  </w:style>
  <w:style w:type="paragraph" w:styleId="Header">
    <w:name w:val="header"/>
    <w:aliases w:val="6_GR"/>
    <w:basedOn w:val="Normal"/>
    <w:next w:val="Normal"/>
    <w:rsid w:val="00BB55D7"/>
    <w:pPr>
      <w:pBdr>
        <w:bottom w:val="single" w:sz="4" w:space="4" w:color="auto"/>
      </w:pBdr>
      <w:tabs>
        <w:tab w:val="right" w:pos="9639"/>
      </w:tabs>
      <w:spacing w:line="240" w:lineRule="auto"/>
    </w:pPr>
    <w:rPr>
      <w:b/>
      <w:sz w:val="18"/>
      <w:lang w:eastAsia="ru-RU"/>
    </w:rPr>
  </w:style>
  <w:style w:type="character" w:styleId="EndnoteReference">
    <w:name w:val="endnote reference"/>
    <w:aliases w:val="1_GR"/>
    <w:basedOn w:val="FootnoteReference"/>
    <w:rsid w:val="00BB55D7"/>
    <w:rPr>
      <w:rFonts w:ascii="Times New Roman" w:hAnsi="Times New Roman"/>
      <w:b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uiPriority w:val="99"/>
    <w:rsid w:val="00BB55D7"/>
    <w:rPr>
      <w:rFonts w:ascii="Times New Roman" w:hAnsi="Times New Roman"/>
      <w:b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BB55D7"/>
    <w:pPr>
      <w:tabs>
        <w:tab w:val="right" w:pos="9639"/>
      </w:tabs>
      <w:spacing w:line="240" w:lineRule="auto"/>
    </w:pPr>
    <w:rPr>
      <w:sz w:val="16"/>
      <w:lang w:eastAsia="ru-RU"/>
    </w:rPr>
  </w:style>
  <w:style w:type="character" w:styleId="PageNumber">
    <w:name w:val="page number"/>
    <w:aliases w:val="7_GR"/>
    <w:basedOn w:val="DefaultParagraphFont"/>
    <w:rsid w:val="00BB55D7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BB55D7"/>
  </w:style>
  <w:style w:type="paragraph" w:styleId="FootnoteText">
    <w:name w:val="footnote text"/>
    <w:aliases w:val="5_GR"/>
    <w:basedOn w:val="Normal"/>
    <w:link w:val="FootnoteTextChar"/>
    <w:uiPriority w:val="99"/>
    <w:rsid w:val="00BB55D7"/>
    <w:pPr>
      <w:tabs>
        <w:tab w:val="right" w:pos="1021"/>
      </w:tabs>
      <w:spacing w:line="220" w:lineRule="exact"/>
      <w:ind w:left="1134" w:right="1134" w:hanging="1134"/>
    </w:pPr>
    <w:rPr>
      <w:sz w:val="18"/>
      <w:szCs w:val="20"/>
      <w:lang w:eastAsia="ru-RU"/>
    </w:rPr>
  </w:style>
  <w:style w:type="paragraph" w:customStyle="1" w:styleId="H1GR">
    <w:name w:val="_ H_1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HChGR">
    <w:name w:val="_ H _Ch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SingleTxtGR">
    <w:name w:val="_ Single Txt_GR"/>
    <w:basedOn w:val="Normal"/>
    <w:qFormat/>
    <w:rsid w:val="00085128"/>
    <w:pPr>
      <w:spacing w:after="120"/>
      <w:ind w:left="1134" w:right="1134"/>
      <w:jc w:val="both"/>
    </w:pPr>
    <w:rPr>
      <w:lang w:eastAsia="ru-RU"/>
    </w:rPr>
  </w:style>
  <w:style w:type="table" w:styleId="TableGrid">
    <w:name w:val="Table Grid"/>
    <w:basedOn w:val="TableNormal"/>
    <w:semiHidden/>
    <w:rsid w:val="008A7E2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6F1996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6F1996"/>
    <w:rPr>
      <w:color w:val="auto"/>
      <w:u w:val="none"/>
    </w:rPr>
  </w:style>
  <w:style w:type="character" w:customStyle="1" w:styleId="FootnoteTextChar">
    <w:name w:val="Footnote Text Char"/>
    <w:aliases w:val="5_GR Char"/>
    <w:basedOn w:val="DefaultParagraphFont"/>
    <w:link w:val="FootnoteText"/>
    <w:uiPriority w:val="99"/>
    <w:rsid w:val="00504BE0"/>
    <w:rPr>
      <w:spacing w:val="4"/>
      <w:w w:val="103"/>
      <w:kern w:val="14"/>
      <w:sz w:val="18"/>
      <w:lang w:val="ru-RU" w:eastAsia="ru-RU"/>
    </w:rPr>
  </w:style>
  <w:style w:type="paragraph" w:styleId="BalloonText">
    <w:name w:val="Balloon Text"/>
    <w:basedOn w:val="Normal"/>
    <w:link w:val="BalloonTextChar"/>
    <w:semiHidden/>
    <w:unhideWhenUsed/>
    <w:rsid w:val="001F6A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F6A53"/>
    <w:rPr>
      <w:rFonts w:ascii="Tahoma" w:hAnsi="Tahoma" w:cs="Tahoma"/>
      <w:spacing w:val="4"/>
      <w:w w:val="103"/>
      <w:kern w:val="14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et\AppData\Roaming\Microsoft\Templates\ECE+PlainPage\ECE_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ECE_R</Template>
  <TotalTime>10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Marie-Claude Collet</dc:creator>
  <cp:lastModifiedBy>Marie-Claude Collet</cp:lastModifiedBy>
  <cp:revision>7</cp:revision>
  <cp:lastPrinted>2008-10-22T13:09:00Z</cp:lastPrinted>
  <dcterms:created xsi:type="dcterms:W3CDTF">2017-11-09T07:35:00Z</dcterms:created>
  <dcterms:modified xsi:type="dcterms:W3CDTF">2017-11-09T15:47:00Z</dcterms:modified>
</cp:coreProperties>
</file>