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440A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440A0" w:rsidP="002440A0">
            <w:pPr>
              <w:jc w:val="right"/>
            </w:pPr>
            <w:r w:rsidRPr="002440A0">
              <w:rPr>
                <w:sz w:val="40"/>
              </w:rPr>
              <w:t>ECE</w:t>
            </w:r>
            <w:r>
              <w:t>/TRANS/WP.15/AC.1/2018/6</w:t>
            </w:r>
          </w:p>
        </w:tc>
      </w:tr>
      <w:tr w:rsidR="002D5AAC" w:rsidRPr="00B0562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2440A0" w:rsidP="00387CD4">
            <w:pPr>
              <w:spacing w:before="240"/>
              <w:rPr>
                <w:lang w:val="en-US"/>
              </w:rPr>
            </w:pPr>
            <w:r>
              <w:rPr>
                <w:lang w:val="en-US"/>
              </w:rPr>
              <w:t>Distr.: General</w:t>
            </w:r>
          </w:p>
          <w:p w:rsidR="002440A0" w:rsidRDefault="002440A0" w:rsidP="002440A0">
            <w:pPr>
              <w:spacing w:line="240" w:lineRule="exact"/>
              <w:rPr>
                <w:lang w:val="en-US"/>
              </w:rPr>
            </w:pPr>
            <w:r>
              <w:rPr>
                <w:lang w:val="en-US"/>
              </w:rPr>
              <w:t>21 December 2017</w:t>
            </w:r>
          </w:p>
          <w:p w:rsidR="002440A0" w:rsidRDefault="002440A0" w:rsidP="002440A0">
            <w:pPr>
              <w:spacing w:line="240" w:lineRule="exact"/>
              <w:rPr>
                <w:lang w:val="en-US"/>
              </w:rPr>
            </w:pPr>
            <w:r>
              <w:rPr>
                <w:lang w:val="en-US"/>
              </w:rPr>
              <w:t>Russian</w:t>
            </w:r>
          </w:p>
          <w:p w:rsidR="002440A0" w:rsidRPr="008D53B6" w:rsidRDefault="002440A0" w:rsidP="002440A0">
            <w:pPr>
              <w:spacing w:line="240" w:lineRule="exact"/>
              <w:rPr>
                <w:lang w:val="en-US"/>
              </w:rPr>
            </w:pPr>
            <w:r>
              <w:rPr>
                <w:lang w:val="en-US"/>
              </w:rPr>
              <w:t>Original: English</w:t>
            </w:r>
          </w:p>
        </w:tc>
      </w:tr>
    </w:tbl>
    <w:p w:rsidR="008A37C8" w:rsidRDefault="008A37C8" w:rsidP="007A0FB5">
      <w:pPr>
        <w:spacing w:before="120" w:after="120"/>
        <w:rPr>
          <w:b/>
          <w:sz w:val="28"/>
          <w:szCs w:val="28"/>
        </w:rPr>
      </w:pPr>
      <w:r w:rsidRPr="00245892">
        <w:rPr>
          <w:b/>
          <w:sz w:val="28"/>
          <w:szCs w:val="28"/>
        </w:rPr>
        <w:t>Европейская экономическая комиссия</w:t>
      </w:r>
    </w:p>
    <w:p w:rsidR="009A745E" w:rsidRPr="007A0FB5" w:rsidRDefault="009A745E" w:rsidP="007A0FB5">
      <w:pPr>
        <w:spacing w:after="120"/>
        <w:rPr>
          <w:sz w:val="28"/>
          <w:szCs w:val="28"/>
        </w:rPr>
      </w:pPr>
      <w:bookmarkStart w:id="1" w:name="footnoteBookmark_19"/>
      <w:bookmarkStart w:id="2" w:name="bookmark_10"/>
      <w:bookmarkEnd w:id="1"/>
      <w:r w:rsidRPr="007A0FB5">
        <w:rPr>
          <w:sz w:val="28"/>
          <w:szCs w:val="28"/>
        </w:rPr>
        <w:t>Комитет по внутреннему транспорту</w:t>
      </w:r>
      <w:bookmarkEnd w:id="2"/>
    </w:p>
    <w:p w:rsidR="009A745E" w:rsidRPr="00A03A3A" w:rsidRDefault="009A745E" w:rsidP="007A0FB5">
      <w:pPr>
        <w:spacing w:after="120"/>
        <w:rPr>
          <w:b/>
          <w:bCs/>
          <w:sz w:val="24"/>
          <w:szCs w:val="24"/>
        </w:rPr>
      </w:pPr>
      <w:bookmarkStart w:id="3" w:name="bookmark_11"/>
      <w:r w:rsidRPr="00A03A3A">
        <w:rPr>
          <w:b/>
          <w:bCs/>
          <w:sz w:val="24"/>
          <w:szCs w:val="24"/>
        </w:rPr>
        <w:t>Рабочая группа по перевозкам опасных грузов</w:t>
      </w:r>
      <w:bookmarkEnd w:id="3"/>
    </w:p>
    <w:p w:rsidR="009A745E" w:rsidRPr="007A0FB5" w:rsidRDefault="009A745E" w:rsidP="007A0FB5">
      <w:pPr>
        <w:rPr>
          <w:b/>
          <w:bCs/>
          <w:szCs w:val="20"/>
        </w:rPr>
      </w:pPr>
      <w:bookmarkStart w:id="4" w:name="bookmark_12"/>
      <w:r w:rsidRPr="007A0FB5">
        <w:rPr>
          <w:b/>
          <w:bCs/>
          <w:szCs w:val="20"/>
        </w:rPr>
        <w:t xml:space="preserve">Совместное совещание Комиссии экспертов МПОГ </w:t>
      </w:r>
      <w:r w:rsidR="007A0FB5" w:rsidRPr="007A0FB5">
        <w:rPr>
          <w:b/>
          <w:bCs/>
          <w:szCs w:val="20"/>
        </w:rPr>
        <w:br/>
      </w:r>
      <w:r w:rsidRPr="007A0FB5">
        <w:rPr>
          <w:b/>
          <w:bCs/>
          <w:szCs w:val="20"/>
        </w:rPr>
        <w:t>и</w:t>
      </w:r>
      <w:bookmarkEnd w:id="4"/>
      <w:r w:rsidR="007A0FB5" w:rsidRPr="007A0FB5">
        <w:rPr>
          <w:b/>
          <w:bCs/>
          <w:szCs w:val="20"/>
        </w:rPr>
        <w:t xml:space="preserve"> </w:t>
      </w:r>
      <w:bookmarkStart w:id="5" w:name="bookmark_13"/>
      <w:r w:rsidRPr="007A0FB5">
        <w:rPr>
          <w:b/>
          <w:bCs/>
          <w:szCs w:val="20"/>
        </w:rPr>
        <w:t>Рабочей группы по перевозкам опасных грузов</w:t>
      </w:r>
      <w:bookmarkEnd w:id="5"/>
    </w:p>
    <w:p w:rsidR="009A745E" w:rsidRPr="009A745E" w:rsidRDefault="009A745E" w:rsidP="009A745E">
      <w:bookmarkStart w:id="6" w:name="bookmark_14"/>
      <w:r w:rsidRPr="009A745E">
        <w:t>Берн, 12–16 марта 2018 года</w:t>
      </w:r>
      <w:bookmarkEnd w:id="6"/>
    </w:p>
    <w:p w:rsidR="009A745E" w:rsidRPr="009A745E" w:rsidRDefault="009A745E" w:rsidP="009A745E">
      <w:bookmarkStart w:id="7" w:name="bookmark_15"/>
      <w:r w:rsidRPr="009A745E">
        <w:t>Пункт 2 предварительной повестки дня</w:t>
      </w:r>
      <w:bookmarkEnd w:id="7"/>
    </w:p>
    <w:p w:rsidR="009A745E" w:rsidRPr="0037374C" w:rsidRDefault="009A745E" w:rsidP="009A745E">
      <w:pPr>
        <w:rPr>
          <w:b/>
          <w:bCs/>
        </w:rPr>
      </w:pPr>
      <w:bookmarkStart w:id="8" w:name="bookmark_16"/>
      <w:r w:rsidRPr="0037374C">
        <w:rPr>
          <w:b/>
          <w:bCs/>
        </w:rPr>
        <w:t xml:space="preserve">Цистерны </w:t>
      </w:r>
      <w:bookmarkEnd w:id="8"/>
    </w:p>
    <w:p w:rsidR="009A745E" w:rsidRPr="009A745E" w:rsidRDefault="009A745E" w:rsidP="007A0FB5">
      <w:pPr>
        <w:pStyle w:val="HChGR"/>
      </w:pPr>
      <w:bookmarkStart w:id="9" w:name="bookmark_17"/>
      <w:r w:rsidRPr="009A745E">
        <w:tab/>
      </w:r>
      <w:r w:rsidRPr="009A745E">
        <w:tab/>
        <w:t>Квалификационная оценка сварочных процедур – сварка согласно пункту 6.8.2.1.23</w:t>
      </w:r>
      <w:bookmarkEnd w:id="9"/>
    </w:p>
    <w:p w:rsidR="009A745E" w:rsidRDefault="009A745E" w:rsidP="007A0FB5">
      <w:pPr>
        <w:pStyle w:val="H1GR"/>
        <w:rPr>
          <w:lang w:val="en-US"/>
        </w:rPr>
      </w:pPr>
      <w:bookmarkStart w:id="10" w:name="bookmark_18"/>
      <w:r w:rsidRPr="009A745E">
        <w:tab/>
      </w:r>
      <w:r w:rsidRPr="009A745E">
        <w:tab/>
        <w:t>Передано правительством Польши</w:t>
      </w:r>
      <w:r w:rsidRPr="00B05626">
        <w:rPr>
          <w:b w:val="0"/>
          <w:bCs/>
          <w:sz w:val="20"/>
        </w:rPr>
        <w:footnoteReference w:id="1"/>
      </w:r>
      <w:bookmarkEnd w:id="10"/>
    </w:p>
    <w:tbl>
      <w:tblPr>
        <w:tblStyle w:val="TableGrid"/>
        <w:tblW w:w="0" w:type="auto"/>
        <w:jc w:val="center"/>
        <w:tblCellMar>
          <w:left w:w="0" w:type="dxa"/>
          <w:right w:w="0" w:type="dxa"/>
        </w:tblCellMar>
        <w:tblLook w:val="05E0" w:firstRow="1" w:lastRow="1" w:firstColumn="1" w:lastColumn="1" w:noHBand="0" w:noVBand="1"/>
      </w:tblPr>
      <w:tblGrid>
        <w:gridCol w:w="9637"/>
      </w:tblGrid>
      <w:tr w:rsidR="005F4668" w:rsidRPr="005F4668" w:rsidTr="00850215">
        <w:trPr>
          <w:jc w:val="center"/>
        </w:trPr>
        <w:tc>
          <w:tcPr>
            <w:tcW w:w="9637" w:type="dxa"/>
            <w:tcBorders>
              <w:bottom w:val="nil"/>
            </w:tcBorders>
          </w:tcPr>
          <w:p w:rsidR="005F4668" w:rsidRPr="005F4668" w:rsidRDefault="005F4668" w:rsidP="00850215">
            <w:pPr>
              <w:tabs>
                <w:tab w:val="left" w:pos="255"/>
              </w:tabs>
              <w:spacing w:before="240" w:after="120"/>
              <w:rPr>
                <w:rFonts w:cs="Times New Roman"/>
                <w:sz w:val="24"/>
              </w:rPr>
            </w:pPr>
            <w:r w:rsidRPr="005F4668">
              <w:rPr>
                <w:rFonts w:cs="Times New Roman"/>
              </w:rPr>
              <w:tab/>
            </w:r>
            <w:r w:rsidRPr="005F4668">
              <w:rPr>
                <w:rFonts w:cs="Times New Roman"/>
                <w:i/>
                <w:sz w:val="24"/>
              </w:rPr>
              <w:t>Резюме</w:t>
            </w:r>
          </w:p>
        </w:tc>
      </w:tr>
      <w:tr w:rsidR="005F4668" w:rsidRPr="005F4668" w:rsidTr="00850215">
        <w:trPr>
          <w:jc w:val="center"/>
        </w:trPr>
        <w:tc>
          <w:tcPr>
            <w:tcW w:w="9637" w:type="dxa"/>
            <w:tcBorders>
              <w:top w:val="nil"/>
              <w:bottom w:val="nil"/>
            </w:tcBorders>
            <w:shd w:val="clear" w:color="auto" w:fill="auto"/>
          </w:tcPr>
          <w:p w:rsidR="005F4668" w:rsidRPr="005F4668" w:rsidRDefault="005F4668" w:rsidP="004D11D4">
            <w:pPr>
              <w:pStyle w:val="SingleTxtGR"/>
              <w:tabs>
                <w:tab w:val="clear" w:pos="3402"/>
                <w:tab w:val="clear" w:pos="3969"/>
              </w:tabs>
              <w:ind w:left="3584" w:hanging="2450"/>
            </w:pPr>
            <w:r w:rsidRPr="005F4668">
              <w:rPr>
                <w:b/>
                <w:bCs/>
              </w:rPr>
              <w:t>Существо предложения:</w:t>
            </w:r>
            <w:r w:rsidRPr="009A745E">
              <w:tab/>
              <w:t>Цель настоящего предложения состоит в том, чтобы уточнить, какой уровень испытаний сварочных процедур, описанных в стандарте EN ISO 15614</w:t>
            </w:r>
            <w:r w:rsidR="0037374C">
              <w:t>-</w:t>
            </w:r>
            <w:r w:rsidRPr="009A745E">
              <w:t xml:space="preserve">1:2017, следует использовать. Этот стандарт содержит отсылки на стандарты </w:t>
            </w:r>
            <w:r>
              <w:t>EN 14025:2013 и EN 14025:2013 +</w:t>
            </w:r>
            <w:r>
              <w:rPr>
                <w:lang w:val="en-US"/>
              </w:rPr>
              <w:t> </w:t>
            </w:r>
            <w:r w:rsidR="0037374C">
              <w:t>А</w:t>
            </w:r>
            <w:r w:rsidRPr="009A745E">
              <w:t>1:2016, котор</w:t>
            </w:r>
            <w:r w:rsidR="002953BD">
              <w:t>ые включены в таблицу в пункте </w:t>
            </w:r>
            <w:r w:rsidRPr="009A745E">
              <w:t>6.8.2.6.1.</w:t>
            </w:r>
          </w:p>
        </w:tc>
      </w:tr>
      <w:tr w:rsidR="005F4668" w:rsidRPr="005F4668" w:rsidTr="00850215">
        <w:trPr>
          <w:jc w:val="center"/>
        </w:trPr>
        <w:tc>
          <w:tcPr>
            <w:tcW w:w="9637" w:type="dxa"/>
            <w:tcBorders>
              <w:top w:val="nil"/>
              <w:bottom w:val="nil"/>
            </w:tcBorders>
            <w:shd w:val="clear" w:color="auto" w:fill="auto"/>
          </w:tcPr>
          <w:p w:rsidR="005F4668" w:rsidRPr="009A745E" w:rsidRDefault="005F4668" w:rsidP="004D11D4">
            <w:pPr>
              <w:pStyle w:val="SingleTxtGR"/>
              <w:tabs>
                <w:tab w:val="clear" w:pos="3402"/>
                <w:tab w:val="clear" w:pos="3969"/>
              </w:tabs>
              <w:ind w:left="3584" w:hanging="2450"/>
            </w:pPr>
            <w:bookmarkStart w:id="11" w:name="bookmark_22"/>
            <w:r w:rsidRPr="005F4668">
              <w:rPr>
                <w:b/>
                <w:bCs/>
              </w:rPr>
              <w:t>Предлагаемое решение:</w:t>
            </w:r>
            <w:r w:rsidRPr="009A745E">
              <w:tab/>
              <w:t>Изменить соответствующие правила, с тем чтобы указать применяемый уровень испытаний сварочных процедур, если в этом возникнет необходимость.</w:t>
            </w:r>
            <w:bookmarkEnd w:id="11"/>
          </w:p>
        </w:tc>
      </w:tr>
      <w:tr w:rsidR="005F4668" w:rsidRPr="005F4668" w:rsidTr="00850215">
        <w:trPr>
          <w:jc w:val="center"/>
        </w:trPr>
        <w:tc>
          <w:tcPr>
            <w:tcW w:w="9637" w:type="dxa"/>
            <w:tcBorders>
              <w:top w:val="nil"/>
            </w:tcBorders>
          </w:tcPr>
          <w:p w:rsidR="005F4668" w:rsidRPr="005F4668" w:rsidRDefault="005F4668" w:rsidP="00850215">
            <w:pPr>
              <w:rPr>
                <w:rFonts w:cs="Times New Roman"/>
              </w:rPr>
            </w:pPr>
          </w:p>
        </w:tc>
      </w:tr>
    </w:tbl>
    <w:p w:rsidR="005F4668" w:rsidRPr="005F4668" w:rsidRDefault="005F4668" w:rsidP="005F4668">
      <w:pPr>
        <w:rPr>
          <w:lang w:eastAsia="ru-RU"/>
        </w:rPr>
      </w:pPr>
    </w:p>
    <w:p w:rsidR="005F4668" w:rsidRPr="005F4668" w:rsidRDefault="005F4668" w:rsidP="005F4668">
      <w:pPr>
        <w:rPr>
          <w:lang w:eastAsia="ru-RU"/>
        </w:rPr>
      </w:pPr>
    </w:p>
    <w:p w:rsidR="005F4668" w:rsidRPr="005F4668" w:rsidRDefault="005F4668" w:rsidP="005F4668">
      <w:pPr>
        <w:rPr>
          <w:lang w:eastAsia="ru-RU"/>
        </w:rPr>
      </w:pPr>
    </w:p>
    <w:p w:rsidR="009A745E" w:rsidRPr="009A745E" w:rsidRDefault="005F4668" w:rsidP="005F4668">
      <w:pPr>
        <w:pStyle w:val="HChGR"/>
      </w:pPr>
      <w:bookmarkStart w:id="12" w:name="bookmark_23"/>
      <w:r>
        <w:br w:type="page"/>
      </w:r>
      <w:r w:rsidR="00814FCF">
        <w:lastRenderedPageBreak/>
        <w:tab/>
      </w:r>
      <w:r w:rsidR="00814FCF">
        <w:tab/>
      </w:r>
      <w:r w:rsidR="009A745E" w:rsidRPr="009A745E">
        <w:t>Введение</w:t>
      </w:r>
      <w:bookmarkEnd w:id="12"/>
    </w:p>
    <w:p w:rsidR="009A745E" w:rsidRPr="009C1E6B" w:rsidRDefault="009C1E6B" w:rsidP="009C1E6B">
      <w:pPr>
        <w:pStyle w:val="SingleTxtGR"/>
      </w:pPr>
      <w:bookmarkStart w:id="13" w:name="bookmark_24"/>
      <w:r>
        <w:t>1.</w:t>
      </w:r>
      <w:r>
        <w:tab/>
        <w:t>Согласно пункту 6.8.2.1.4 «</w:t>
      </w:r>
      <w:r w:rsidR="009A745E" w:rsidRPr="009A745E">
        <w:t>Корпуса должны конструироваться и изготавливаться в соответствии с требованиями ста</w:t>
      </w:r>
      <w:r>
        <w:t>ндартов, указанных в подразделе </w:t>
      </w:r>
      <w:r w:rsidR="009A745E" w:rsidRPr="009A745E">
        <w:t>6.8.2.6, или признанных компетентным органом технических правил в соответствии с подразделом 6.8.2.7 (...)</w:t>
      </w:r>
      <w:r>
        <w:t>»</w:t>
      </w:r>
      <w:r w:rsidR="009A745E" w:rsidRPr="009A745E">
        <w:t xml:space="preserve">. В таблице в пункте 6.8.2.6.1 под заголовком </w:t>
      </w:r>
      <w:r>
        <w:t>«</w:t>
      </w:r>
      <w:r w:rsidR="009A745E" w:rsidRPr="009A745E">
        <w:t>Для конструкции и изготовления</w:t>
      </w:r>
      <w:r>
        <w:t>»</w:t>
      </w:r>
      <w:r w:rsidR="009A745E" w:rsidRPr="009A745E">
        <w:t xml:space="preserve"> включены два стандарта EN 14025 </w:t>
      </w:r>
      <w:r>
        <w:t>«</w:t>
      </w:r>
      <w:r w:rsidR="009A745E" w:rsidRPr="009A745E">
        <w:t>Цистерны для перевозки опасных грузов – Металлические цистерны под давлением – Конструкция и изготовление</w:t>
      </w:r>
      <w:r>
        <w:t>»</w:t>
      </w:r>
      <w:r w:rsidR="009A745E" w:rsidRPr="009A745E">
        <w:t>, которые до сих пор имеют силу. Одним из них является стандарт EN 14025:2013, применяемый для новых официальных утверждений типа или продлений на период с 1 января 2015 года по 31 декабря 2018 года, а другим – EN 14025:2013 + A1:2016 (за исключением приложения</w:t>
      </w:r>
      <w:r>
        <w:t> </w:t>
      </w:r>
      <w:r w:rsidR="009A745E" w:rsidRPr="009A745E">
        <w:t>B). Соответствующая часть таблицы с перечнем стандартов приводится ниже.</w:t>
      </w:r>
      <w:bookmarkEnd w:id="13"/>
    </w:p>
    <w:tbl>
      <w:tblPr>
        <w:tblStyle w:val="TableGrid"/>
        <w:tblW w:w="0" w:type="auto"/>
        <w:jc w:val="center"/>
        <w:tblLayout w:type="fixed"/>
        <w:tblCellMar>
          <w:top w:w="28" w:type="dxa"/>
          <w:bottom w:w="28" w:type="dxa"/>
        </w:tblCellMar>
        <w:tblLook w:val="04A0" w:firstRow="1" w:lastRow="0" w:firstColumn="1" w:lastColumn="0" w:noHBand="0" w:noVBand="1"/>
      </w:tblPr>
      <w:tblGrid>
        <w:gridCol w:w="1639"/>
        <w:gridCol w:w="1750"/>
        <w:gridCol w:w="1273"/>
        <w:gridCol w:w="1428"/>
        <w:gridCol w:w="1365"/>
      </w:tblGrid>
      <w:tr w:rsidR="002953BD" w:rsidRPr="00D40100" w:rsidTr="002953BD">
        <w:trPr>
          <w:jc w:val="center"/>
        </w:trPr>
        <w:tc>
          <w:tcPr>
            <w:tcW w:w="1639" w:type="dxa"/>
          </w:tcPr>
          <w:p w:rsidR="009A745E" w:rsidRPr="00D40100" w:rsidRDefault="009A745E" w:rsidP="009C1E6B">
            <w:pPr>
              <w:jc w:val="center"/>
              <w:rPr>
                <w:b/>
                <w:bCs/>
                <w:sz w:val="18"/>
                <w:szCs w:val="18"/>
                <w:lang w:val="en-GB"/>
              </w:rPr>
            </w:pPr>
            <w:bookmarkStart w:id="14" w:name="bookmark_25"/>
            <w:r w:rsidRPr="00D40100">
              <w:rPr>
                <w:b/>
                <w:bCs/>
                <w:sz w:val="18"/>
                <w:szCs w:val="18"/>
              </w:rPr>
              <w:t>Ссылка</w:t>
            </w:r>
            <w:bookmarkEnd w:id="14"/>
          </w:p>
        </w:tc>
        <w:tc>
          <w:tcPr>
            <w:tcW w:w="1750" w:type="dxa"/>
          </w:tcPr>
          <w:p w:rsidR="009A745E" w:rsidRPr="00D40100" w:rsidRDefault="009A745E" w:rsidP="009C1E6B">
            <w:pPr>
              <w:jc w:val="center"/>
              <w:rPr>
                <w:b/>
                <w:bCs/>
                <w:sz w:val="18"/>
                <w:szCs w:val="18"/>
              </w:rPr>
            </w:pPr>
            <w:bookmarkStart w:id="15" w:name="bookmark_26"/>
            <w:r w:rsidRPr="00D40100">
              <w:rPr>
                <w:b/>
                <w:bCs/>
                <w:sz w:val="18"/>
                <w:szCs w:val="18"/>
              </w:rPr>
              <w:t xml:space="preserve">Название </w:t>
            </w:r>
            <w:r w:rsidR="009C1E6B" w:rsidRPr="00D40100">
              <w:rPr>
                <w:b/>
                <w:bCs/>
                <w:sz w:val="18"/>
                <w:szCs w:val="18"/>
              </w:rPr>
              <w:br/>
            </w:r>
            <w:r w:rsidRPr="00D40100">
              <w:rPr>
                <w:b/>
                <w:bCs/>
                <w:sz w:val="18"/>
                <w:szCs w:val="18"/>
              </w:rPr>
              <w:t>документа</w:t>
            </w:r>
            <w:bookmarkEnd w:id="15"/>
          </w:p>
        </w:tc>
        <w:tc>
          <w:tcPr>
            <w:tcW w:w="1273" w:type="dxa"/>
          </w:tcPr>
          <w:p w:rsidR="009A745E" w:rsidRPr="00D40100" w:rsidRDefault="009A745E" w:rsidP="009C1E6B">
            <w:pPr>
              <w:jc w:val="center"/>
              <w:rPr>
                <w:b/>
                <w:bCs/>
                <w:sz w:val="18"/>
                <w:szCs w:val="18"/>
              </w:rPr>
            </w:pPr>
            <w:bookmarkStart w:id="16" w:name="bookmark_27"/>
            <w:r w:rsidRPr="00D40100">
              <w:rPr>
                <w:b/>
                <w:bCs/>
                <w:sz w:val="18"/>
                <w:szCs w:val="18"/>
              </w:rPr>
              <w:t xml:space="preserve">Применимые подразделы </w:t>
            </w:r>
            <w:r w:rsidR="0094719D" w:rsidRPr="00D40100">
              <w:rPr>
                <w:b/>
                <w:bCs/>
                <w:sz w:val="18"/>
                <w:szCs w:val="18"/>
              </w:rPr>
              <w:br/>
            </w:r>
            <w:r w:rsidRPr="00D40100">
              <w:rPr>
                <w:b/>
                <w:bCs/>
                <w:sz w:val="18"/>
                <w:szCs w:val="18"/>
              </w:rPr>
              <w:t>и пункты</w:t>
            </w:r>
            <w:bookmarkEnd w:id="16"/>
          </w:p>
        </w:tc>
        <w:tc>
          <w:tcPr>
            <w:tcW w:w="1428" w:type="dxa"/>
          </w:tcPr>
          <w:p w:rsidR="009A745E" w:rsidRPr="00D40100" w:rsidRDefault="009A745E" w:rsidP="009C1E6B">
            <w:pPr>
              <w:jc w:val="center"/>
              <w:rPr>
                <w:b/>
                <w:bCs/>
                <w:sz w:val="18"/>
                <w:szCs w:val="18"/>
              </w:rPr>
            </w:pPr>
            <w:bookmarkStart w:id="17" w:name="bookmark_28"/>
            <w:r w:rsidRPr="00D40100">
              <w:rPr>
                <w:b/>
                <w:bCs/>
                <w:sz w:val="18"/>
                <w:szCs w:val="18"/>
              </w:rPr>
              <w:t>Применяется в отношении новых официальных утверждений типа или продлений</w:t>
            </w:r>
            <w:bookmarkEnd w:id="17"/>
          </w:p>
        </w:tc>
        <w:tc>
          <w:tcPr>
            <w:tcW w:w="1365" w:type="dxa"/>
          </w:tcPr>
          <w:p w:rsidR="009A745E" w:rsidRPr="00D40100" w:rsidRDefault="009A745E" w:rsidP="009C1E6B">
            <w:pPr>
              <w:jc w:val="center"/>
              <w:rPr>
                <w:b/>
                <w:bCs/>
                <w:sz w:val="18"/>
                <w:szCs w:val="18"/>
              </w:rPr>
            </w:pPr>
            <w:bookmarkStart w:id="18" w:name="bookmark_29"/>
            <w:r w:rsidRPr="00D40100">
              <w:rPr>
                <w:b/>
                <w:bCs/>
                <w:sz w:val="18"/>
                <w:szCs w:val="18"/>
              </w:rPr>
              <w:t>Крайняя дата отзыва существующих официальных утверждений типа</w:t>
            </w:r>
            <w:bookmarkEnd w:id="18"/>
          </w:p>
        </w:tc>
      </w:tr>
      <w:tr w:rsidR="002953BD" w:rsidRPr="00D40100" w:rsidTr="002953BD">
        <w:trPr>
          <w:jc w:val="center"/>
        </w:trPr>
        <w:tc>
          <w:tcPr>
            <w:tcW w:w="1639" w:type="dxa"/>
          </w:tcPr>
          <w:p w:rsidR="009A745E" w:rsidRPr="00D40100" w:rsidRDefault="009A745E" w:rsidP="009C1E6B">
            <w:pPr>
              <w:jc w:val="center"/>
              <w:rPr>
                <w:sz w:val="18"/>
                <w:szCs w:val="18"/>
                <w:lang w:val="en-GB"/>
              </w:rPr>
            </w:pPr>
            <w:bookmarkStart w:id="19" w:name="bookmark_30"/>
            <w:r w:rsidRPr="00D40100">
              <w:rPr>
                <w:sz w:val="18"/>
                <w:szCs w:val="18"/>
              </w:rPr>
              <w:t>(1)</w:t>
            </w:r>
            <w:bookmarkEnd w:id="19"/>
          </w:p>
        </w:tc>
        <w:tc>
          <w:tcPr>
            <w:tcW w:w="1750" w:type="dxa"/>
          </w:tcPr>
          <w:p w:rsidR="009A745E" w:rsidRPr="00D40100" w:rsidRDefault="009A745E" w:rsidP="009C1E6B">
            <w:pPr>
              <w:jc w:val="center"/>
              <w:rPr>
                <w:sz w:val="18"/>
                <w:szCs w:val="18"/>
                <w:lang w:val="en-GB"/>
              </w:rPr>
            </w:pPr>
            <w:bookmarkStart w:id="20" w:name="bookmark_31"/>
            <w:r w:rsidRPr="00D40100">
              <w:rPr>
                <w:sz w:val="18"/>
                <w:szCs w:val="18"/>
              </w:rPr>
              <w:t>(2)</w:t>
            </w:r>
            <w:bookmarkEnd w:id="20"/>
          </w:p>
        </w:tc>
        <w:tc>
          <w:tcPr>
            <w:tcW w:w="1273" w:type="dxa"/>
          </w:tcPr>
          <w:p w:rsidR="009A745E" w:rsidRPr="00D40100" w:rsidRDefault="009A745E" w:rsidP="009C1E6B">
            <w:pPr>
              <w:jc w:val="center"/>
              <w:rPr>
                <w:sz w:val="18"/>
                <w:szCs w:val="18"/>
                <w:lang w:val="en-GB"/>
              </w:rPr>
            </w:pPr>
            <w:bookmarkStart w:id="21" w:name="bookmark_32"/>
            <w:r w:rsidRPr="00D40100">
              <w:rPr>
                <w:sz w:val="18"/>
                <w:szCs w:val="18"/>
              </w:rPr>
              <w:t>(3)</w:t>
            </w:r>
            <w:bookmarkEnd w:id="21"/>
          </w:p>
        </w:tc>
        <w:tc>
          <w:tcPr>
            <w:tcW w:w="1428" w:type="dxa"/>
          </w:tcPr>
          <w:p w:rsidR="009A745E" w:rsidRPr="00D40100" w:rsidRDefault="009A745E" w:rsidP="009C1E6B">
            <w:pPr>
              <w:jc w:val="center"/>
              <w:rPr>
                <w:sz w:val="18"/>
                <w:szCs w:val="18"/>
                <w:lang w:val="en-GB"/>
              </w:rPr>
            </w:pPr>
            <w:bookmarkStart w:id="22" w:name="bookmark_33"/>
            <w:r w:rsidRPr="00D40100">
              <w:rPr>
                <w:sz w:val="18"/>
                <w:szCs w:val="18"/>
              </w:rPr>
              <w:t>(4)</w:t>
            </w:r>
            <w:bookmarkEnd w:id="22"/>
          </w:p>
        </w:tc>
        <w:tc>
          <w:tcPr>
            <w:tcW w:w="1365" w:type="dxa"/>
          </w:tcPr>
          <w:p w:rsidR="009A745E" w:rsidRPr="00D40100" w:rsidRDefault="009A745E" w:rsidP="009C1E6B">
            <w:pPr>
              <w:jc w:val="center"/>
              <w:rPr>
                <w:sz w:val="18"/>
                <w:szCs w:val="18"/>
                <w:lang w:val="en-GB"/>
              </w:rPr>
            </w:pPr>
            <w:bookmarkStart w:id="23" w:name="bookmark_34"/>
            <w:r w:rsidRPr="00D40100">
              <w:rPr>
                <w:sz w:val="18"/>
                <w:szCs w:val="18"/>
              </w:rPr>
              <w:t>(5)</w:t>
            </w:r>
            <w:bookmarkEnd w:id="23"/>
          </w:p>
        </w:tc>
      </w:tr>
      <w:tr w:rsidR="009A745E" w:rsidRPr="00D40100" w:rsidTr="009C1E6B">
        <w:trPr>
          <w:jc w:val="center"/>
        </w:trPr>
        <w:tc>
          <w:tcPr>
            <w:tcW w:w="7455" w:type="dxa"/>
            <w:gridSpan w:val="5"/>
          </w:tcPr>
          <w:p w:rsidR="009A745E" w:rsidRPr="00D40100" w:rsidRDefault="009A745E" w:rsidP="009A745E">
            <w:pPr>
              <w:rPr>
                <w:b/>
                <w:bCs/>
                <w:i/>
                <w:iCs/>
                <w:sz w:val="18"/>
                <w:szCs w:val="18"/>
              </w:rPr>
            </w:pPr>
            <w:bookmarkStart w:id="24" w:name="bookmark_35"/>
            <w:r w:rsidRPr="00D40100">
              <w:rPr>
                <w:b/>
                <w:bCs/>
                <w:i/>
                <w:iCs/>
                <w:sz w:val="18"/>
                <w:szCs w:val="18"/>
              </w:rPr>
              <w:t xml:space="preserve">Для конструкции и изготовления цистерн </w:t>
            </w:r>
            <w:bookmarkEnd w:id="24"/>
          </w:p>
        </w:tc>
      </w:tr>
      <w:tr w:rsidR="009A745E" w:rsidRPr="00D40100" w:rsidTr="009C1E6B">
        <w:trPr>
          <w:jc w:val="center"/>
        </w:trPr>
        <w:tc>
          <w:tcPr>
            <w:tcW w:w="7455" w:type="dxa"/>
            <w:gridSpan w:val="5"/>
          </w:tcPr>
          <w:p w:rsidR="009A745E" w:rsidRPr="00D40100" w:rsidRDefault="009A745E" w:rsidP="009A745E">
            <w:pPr>
              <w:rPr>
                <w:sz w:val="18"/>
                <w:szCs w:val="18"/>
                <w:lang w:val="en-GB"/>
              </w:rPr>
            </w:pPr>
            <w:bookmarkStart w:id="25" w:name="bookmark_36"/>
            <w:r w:rsidRPr="00D40100">
              <w:rPr>
                <w:sz w:val="18"/>
                <w:szCs w:val="18"/>
              </w:rPr>
              <w:t>(...)</w:t>
            </w:r>
            <w:bookmarkEnd w:id="25"/>
          </w:p>
        </w:tc>
      </w:tr>
      <w:tr w:rsidR="002953BD" w:rsidRPr="00D40100" w:rsidTr="002953BD">
        <w:trPr>
          <w:jc w:val="center"/>
        </w:trPr>
        <w:tc>
          <w:tcPr>
            <w:tcW w:w="1639" w:type="dxa"/>
          </w:tcPr>
          <w:p w:rsidR="009A745E" w:rsidRPr="00D40100" w:rsidRDefault="009A745E" w:rsidP="009A745E">
            <w:pPr>
              <w:rPr>
                <w:sz w:val="18"/>
                <w:szCs w:val="18"/>
                <w:lang w:val="en-GB"/>
              </w:rPr>
            </w:pPr>
            <w:bookmarkStart w:id="26" w:name="bookmark_37"/>
            <w:r w:rsidRPr="00D40100">
              <w:rPr>
                <w:sz w:val="18"/>
                <w:szCs w:val="18"/>
              </w:rPr>
              <w:t>EN 14025:2013</w:t>
            </w:r>
            <w:bookmarkEnd w:id="26"/>
          </w:p>
        </w:tc>
        <w:tc>
          <w:tcPr>
            <w:tcW w:w="1750" w:type="dxa"/>
          </w:tcPr>
          <w:p w:rsidR="009A745E" w:rsidRPr="00D40100" w:rsidRDefault="009A745E" w:rsidP="009A745E">
            <w:pPr>
              <w:rPr>
                <w:sz w:val="18"/>
                <w:szCs w:val="18"/>
              </w:rPr>
            </w:pPr>
            <w:bookmarkStart w:id="27" w:name="bookmark_38"/>
            <w:r w:rsidRPr="00D40100">
              <w:rPr>
                <w:sz w:val="18"/>
                <w:szCs w:val="18"/>
              </w:rPr>
              <w:t xml:space="preserve">Цистерны для перевозки опасных грузов – Металлические цистерны под давлением – Конструкция и изготовление </w:t>
            </w:r>
            <w:bookmarkEnd w:id="27"/>
          </w:p>
        </w:tc>
        <w:tc>
          <w:tcPr>
            <w:tcW w:w="1273" w:type="dxa"/>
          </w:tcPr>
          <w:p w:rsidR="009A745E" w:rsidRPr="00D40100" w:rsidRDefault="009A745E" w:rsidP="009A745E">
            <w:pPr>
              <w:rPr>
                <w:sz w:val="18"/>
                <w:szCs w:val="18"/>
                <w:lang w:val="en-GB"/>
              </w:rPr>
            </w:pPr>
            <w:bookmarkStart w:id="28" w:name="bookmark_39"/>
            <w:r w:rsidRPr="00D40100">
              <w:rPr>
                <w:sz w:val="18"/>
                <w:szCs w:val="18"/>
              </w:rPr>
              <w:t xml:space="preserve">6.8.2.1 и 6.8.3.1 </w:t>
            </w:r>
            <w:bookmarkEnd w:id="28"/>
          </w:p>
        </w:tc>
        <w:tc>
          <w:tcPr>
            <w:tcW w:w="1428" w:type="dxa"/>
          </w:tcPr>
          <w:p w:rsidR="009A745E" w:rsidRPr="00D40100" w:rsidRDefault="009A745E" w:rsidP="00814FCF">
            <w:pPr>
              <w:jc w:val="center"/>
              <w:rPr>
                <w:sz w:val="18"/>
                <w:szCs w:val="18"/>
              </w:rPr>
            </w:pPr>
            <w:bookmarkStart w:id="29" w:name="bookmark_40"/>
            <w:r w:rsidRPr="00D40100">
              <w:rPr>
                <w:sz w:val="18"/>
                <w:szCs w:val="18"/>
              </w:rPr>
              <w:t>С</w:t>
            </w:r>
            <w:bookmarkEnd w:id="29"/>
            <w:r w:rsidR="00814FCF" w:rsidRPr="00D40100">
              <w:rPr>
                <w:sz w:val="18"/>
                <w:szCs w:val="18"/>
              </w:rPr>
              <w:t xml:space="preserve"> </w:t>
            </w:r>
            <w:bookmarkStart w:id="30" w:name="bookmark_41"/>
            <w:r w:rsidRPr="00D40100">
              <w:rPr>
                <w:sz w:val="18"/>
                <w:szCs w:val="18"/>
              </w:rPr>
              <w:t>1 января 2015 года до 31 декабря 2018 года</w:t>
            </w:r>
            <w:bookmarkEnd w:id="30"/>
          </w:p>
        </w:tc>
        <w:tc>
          <w:tcPr>
            <w:tcW w:w="1365" w:type="dxa"/>
          </w:tcPr>
          <w:p w:rsidR="009A745E" w:rsidRPr="00D40100" w:rsidRDefault="009A745E" w:rsidP="009A745E">
            <w:pPr>
              <w:rPr>
                <w:sz w:val="18"/>
                <w:szCs w:val="18"/>
              </w:rPr>
            </w:pPr>
          </w:p>
        </w:tc>
      </w:tr>
      <w:tr w:rsidR="002953BD" w:rsidRPr="00D40100" w:rsidTr="002953BD">
        <w:trPr>
          <w:jc w:val="center"/>
        </w:trPr>
        <w:tc>
          <w:tcPr>
            <w:tcW w:w="1639" w:type="dxa"/>
          </w:tcPr>
          <w:p w:rsidR="009A745E" w:rsidRPr="00D40100" w:rsidRDefault="009C1E6B" w:rsidP="002953BD">
            <w:pPr>
              <w:rPr>
                <w:sz w:val="18"/>
                <w:szCs w:val="18"/>
              </w:rPr>
            </w:pPr>
            <w:bookmarkStart w:id="31" w:name="bookmark_42"/>
            <w:r w:rsidRPr="00D40100">
              <w:rPr>
                <w:sz w:val="18"/>
                <w:szCs w:val="18"/>
              </w:rPr>
              <w:t>EN 14025:2013</w:t>
            </w:r>
            <w:r w:rsidR="002953BD" w:rsidRPr="00D40100">
              <w:rPr>
                <w:sz w:val="18"/>
                <w:szCs w:val="18"/>
              </w:rPr>
              <w:br/>
            </w:r>
            <w:r w:rsidRPr="00D40100">
              <w:rPr>
                <w:sz w:val="18"/>
                <w:szCs w:val="18"/>
              </w:rPr>
              <w:t>+ A1:2016 (за </w:t>
            </w:r>
            <w:r w:rsidR="009A745E" w:rsidRPr="00D40100">
              <w:rPr>
                <w:sz w:val="18"/>
                <w:szCs w:val="18"/>
              </w:rPr>
              <w:t>исключением приложения</w:t>
            </w:r>
            <w:r w:rsidR="002953BD" w:rsidRPr="00D40100">
              <w:rPr>
                <w:sz w:val="18"/>
                <w:szCs w:val="18"/>
              </w:rPr>
              <w:t> </w:t>
            </w:r>
            <w:r w:rsidR="009A745E" w:rsidRPr="00D40100">
              <w:rPr>
                <w:sz w:val="18"/>
                <w:szCs w:val="18"/>
              </w:rPr>
              <w:t xml:space="preserve">B) </w:t>
            </w:r>
            <w:bookmarkEnd w:id="31"/>
          </w:p>
        </w:tc>
        <w:tc>
          <w:tcPr>
            <w:tcW w:w="1750" w:type="dxa"/>
          </w:tcPr>
          <w:p w:rsidR="009A745E" w:rsidRPr="00D40100" w:rsidRDefault="009A745E" w:rsidP="009A745E">
            <w:pPr>
              <w:rPr>
                <w:sz w:val="18"/>
                <w:szCs w:val="18"/>
              </w:rPr>
            </w:pPr>
            <w:bookmarkStart w:id="32" w:name="bookmark_43"/>
            <w:r w:rsidRPr="00D40100">
              <w:rPr>
                <w:sz w:val="18"/>
                <w:szCs w:val="18"/>
              </w:rPr>
              <w:t xml:space="preserve">Цистерны для перевозки опасных грузов – Металлические цистерны под давлением – Конструкция и изготовление </w:t>
            </w:r>
            <w:bookmarkEnd w:id="32"/>
          </w:p>
        </w:tc>
        <w:tc>
          <w:tcPr>
            <w:tcW w:w="1273" w:type="dxa"/>
          </w:tcPr>
          <w:p w:rsidR="009A745E" w:rsidRPr="00D40100" w:rsidRDefault="009A745E" w:rsidP="009A745E">
            <w:pPr>
              <w:rPr>
                <w:sz w:val="18"/>
                <w:szCs w:val="18"/>
                <w:lang w:val="en-GB"/>
              </w:rPr>
            </w:pPr>
            <w:bookmarkStart w:id="33" w:name="bookmark_44"/>
            <w:r w:rsidRPr="00D40100">
              <w:rPr>
                <w:sz w:val="18"/>
                <w:szCs w:val="18"/>
              </w:rPr>
              <w:t xml:space="preserve">6.8.2.1 и 6.8.3.1 </w:t>
            </w:r>
            <w:bookmarkEnd w:id="33"/>
          </w:p>
        </w:tc>
        <w:tc>
          <w:tcPr>
            <w:tcW w:w="1428" w:type="dxa"/>
          </w:tcPr>
          <w:p w:rsidR="009A745E" w:rsidRPr="00D40100" w:rsidRDefault="009A745E" w:rsidP="00814FCF">
            <w:pPr>
              <w:jc w:val="center"/>
              <w:rPr>
                <w:sz w:val="18"/>
                <w:szCs w:val="18"/>
                <w:lang w:val="en-GB"/>
              </w:rPr>
            </w:pPr>
            <w:bookmarkStart w:id="34" w:name="bookmark_45"/>
            <w:r w:rsidRPr="00D40100">
              <w:rPr>
                <w:sz w:val="18"/>
                <w:szCs w:val="18"/>
              </w:rPr>
              <w:t>До дальнейшего указания</w:t>
            </w:r>
            <w:bookmarkEnd w:id="34"/>
          </w:p>
        </w:tc>
        <w:tc>
          <w:tcPr>
            <w:tcW w:w="1365" w:type="dxa"/>
          </w:tcPr>
          <w:p w:rsidR="009A745E" w:rsidRPr="00D40100" w:rsidRDefault="009A745E" w:rsidP="009A745E">
            <w:pPr>
              <w:rPr>
                <w:sz w:val="18"/>
                <w:szCs w:val="18"/>
                <w:lang w:val="en-GB"/>
              </w:rPr>
            </w:pPr>
          </w:p>
        </w:tc>
      </w:tr>
    </w:tbl>
    <w:p w:rsidR="009A745E" w:rsidRPr="009A745E" w:rsidRDefault="009A745E" w:rsidP="00D40100">
      <w:pPr>
        <w:pStyle w:val="SingleTxtGR"/>
        <w:spacing w:before="120"/>
      </w:pPr>
      <w:bookmarkStart w:id="35" w:name="bookmark_46"/>
      <w:r w:rsidRPr="009A745E">
        <w:t>2.</w:t>
      </w:r>
      <w:r w:rsidRPr="009A745E">
        <w:tab/>
        <w:t xml:space="preserve">Оба стандарта EN 14025 содержат ссылки на стандарт EN ISO 15614-1 </w:t>
      </w:r>
      <w:r w:rsidRPr="002953BD">
        <w:rPr>
          <w:i/>
          <w:iCs/>
        </w:rPr>
        <w:t>Технические требования и аттестация процедур сварки металлических материалов – Проверка процедуры сварки – Часть 1</w:t>
      </w:r>
      <w:r w:rsidR="00D40100" w:rsidRPr="00D40100">
        <w:rPr>
          <w:i/>
          <w:iCs/>
        </w:rPr>
        <w:t>:</w:t>
      </w:r>
      <w:r w:rsidRPr="002953BD">
        <w:rPr>
          <w:i/>
          <w:iCs/>
        </w:rPr>
        <w:t xml:space="preserve"> Дуговая и газовая сварка сталей и дуговая сварка никеля и никелевых сплавов</w:t>
      </w:r>
      <w:r w:rsidRPr="009A745E">
        <w:t xml:space="preserve"> (ISO 15614-1). В главе 7.4 стандарта EN 14025 указано, что процедуры сварки должны утверждаться, среди прочего, в соответствии со стандартом EN ISO 15614-1. В главе 8, посвященной ремонту, предусматривается, что работы по ремонту, в том числе наложение сварного шва, должны проводиться в соответствии с процедурой, прошедшей аттестацию, в частности в соответствии со стандартом EN ISO 15614-1.</w:t>
      </w:r>
      <w:bookmarkEnd w:id="35"/>
    </w:p>
    <w:p w:rsidR="009A745E" w:rsidRPr="009A745E" w:rsidRDefault="009A745E" w:rsidP="002953BD">
      <w:pPr>
        <w:pStyle w:val="SingleTxtGR"/>
      </w:pPr>
      <w:bookmarkStart w:id="36" w:name="bookmark_47"/>
      <w:r w:rsidRPr="009A745E">
        <w:t>3.</w:t>
      </w:r>
      <w:r w:rsidRPr="009A745E">
        <w:tab/>
        <w:t>Ссылка на стандарт EN ISO 15614-1 включена в стандарты EN 14025 без указания даты. Таким образом, исходя из общего правила, в соответствии с которым регулируются ссылки на стандарты, можно предположить, что применяться должно последнее издание упомянутого документа (в том числе любые поправки).</w:t>
      </w:r>
      <w:bookmarkEnd w:id="36"/>
    </w:p>
    <w:p w:rsidR="009A745E" w:rsidRPr="009A745E" w:rsidRDefault="00092627" w:rsidP="002953BD">
      <w:pPr>
        <w:pStyle w:val="SingleTxtGR"/>
      </w:pPr>
      <w:bookmarkStart w:id="37" w:name="bookmark_48"/>
      <w:r>
        <w:lastRenderedPageBreak/>
        <w:t>4.</w:t>
      </w:r>
      <w:r>
        <w:tab/>
        <w:t>Стандарт ISO 15614</w:t>
      </w:r>
      <w:r w:rsidRPr="00092627">
        <w:t>-</w:t>
      </w:r>
      <w:r w:rsidR="009A745E" w:rsidRPr="009A745E">
        <w:t xml:space="preserve">1 был недавно пересмотрен Техническим комитетом ISO/TC44 </w:t>
      </w:r>
      <w:r w:rsidR="009C1E6B">
        <w:t>«</w:t>
      </w:r>
      <w:r w:rsidR="009A745E" w:rsidRPr="009A745E">
        <w:t>Сварка и смежные процессы</w:t>
      </w:r>
      <w:r w:rsidR="009C1E6B">
        <w:t>»</w:t>
      </w:r>
      <w:r w:rsidR="009A745E" w:rsidRPr="009A745E">
        <w:t xml:space="preserve"> и Техническим комитетом CEN/TC121 </w:t>
      </w:r>
      <w:r w:rsidR="009C1E6B">
        <w:t>«</w:t>
      </w:r>
      <w:r w:rsidR="009A745E" w:rsidRPr="009A745E">
        <w:t>Сварка и смежные процессы</w:t>
      </w:r>
      <w:r w:rsidR="009C1E6B">
        <w:t>»</w:t>
      </w:r>
      <w:r w:rsidR="009A745E" w:rsidRPr="009A745E">
        <w:t>. Этот новый вариант был опубликован в июне 2017 года в качестве стандарта EN ISO 15614-1:2017. Как предусмотрено в указанном стандарте, ему должен быть придан статус национального стандарта не позднее декабря 2017 года (членами ЕКС).</w:t>
      </w:r>
      <w:bookmarkEnd w:id="37"/>
    </w:p>
    <w:p w:rsidR="009A745E" w:rsidRPr="009A745E" w:rsidRDefault="009A745E" w:rsidP="002953BD">
      <w:pPr>
        <w:pStyle w:val="SingleTxtGR"/>
      </w:pPr>
      <w:bookmarkStart w:id="38" w:name="bookmark_49"/>
      <w:r w:rsidRPr="009A745E">
        <w:t>5.</w:t>
      </w:r>
      <w:r w:rsidRPr="009A745E">
        <w:tab/>
        <w:t xml:space="preserve">В качестве основного изменения в стандарте EN ISO 15614-1 предусматривается введение двух уровней испытаний сварочных процедур, обозначаемых уровень 1 и уровень 2. Уровень 1 основывается на требованиях раздела IX </w:t>
      </w:r>
      <w:r w:rsidR="004F15BE">
        <w:br/>
      </w:r>
      <w:r w:rsidR="009C1E6B">
        <w:t>«</w:t>
      </w:r>
      <w:r w:rsidRPr="009A745E">
        <w:t>Кодекса по эксплуатации нагревательных установок и емкостей высокого давления</w:t>
      </w:r>
      <w:r w:rsidR="009C1E6B">
        <w:t>»</w:t>
      </w:r>
      <w:r w:rsidRPr="009A745E">
        <w:t xml:space="preserve"> Американского общества инженеров-механиков (ASME) (ASME IX), а уровень 2 – на предыдущих вариантах ISO 15614-1.</w:t>
      </w:r>
      <w:bookmarkEnd w:id="38"/>
    </w:p>
    <w:p w:rsidR="009A745E" w:rsidRPr="009A745E" w:rsidRDefault="009A745E" w:rsidP="002953BD">
      <w:pPr>
        <w:pStyle w:val="SingleTxtGR"/>
      </w:pPr>
      <w:bookmarkStart w:id="39" w:name="bookmark_50"/>
      <w:r w:rsidRPr="009A745E">
        <w:t>6.</w:t>
      </w:r>
      <w:r w:rsidRPr="009A745E">
        <w:tab/>
        <w:t>Польша придерживается того мнения, что во избежание различных видов практики при применении требований стандарта EN ISO 15614-1 к сварочным процедурам было бы целесообразно уточнить, какой уровень испытаний сварочных процедур, описанных в стандарте EN ISO 15614</w:t>
      </w:r>
      <w:r w:rsidR="00CD0249" w:rsidRPr="00CD0249">
        <w:t>-</w:t>
      </w:r>
      <w:r w:rsidRPr="009A745E">
        <w:t xml:space="preserve">1:2017, следует использовать. </w:t>
      </w:r>
      <w:bookmarkEnd w:id="39"/>
    </w:p>
    <w:p w:rsidR="009A745E" w:rsidRPr="009A745E" w:rsidRDefault="009A745E" w:rsidP="002953BD">
      <w:pPr>
        <w:pStyle w:val="SingleTxtGR"/>
      </w:pPr>
      <w:bookmarkStart w:id="40" w:name="bookmark_51"/>
      <w:r w:rsidRPr="009A745E">
        <w:t>7.</w:t>
      </w:r>
      <w:r w:rsidRPr="009A745E">
        <w:tab/>
        <w:t>По мнению Польши</w:t>
      </w:r>
      <w:r w:rsidR="00CD0249">
        <w:t>,</w:t>
      </w:r>
      <w:r w:rsidRPr="009A745E">
        <w:t xml:space="preserve"> следует применять уровень 2. Во-первых, поскольку он основан на предыдущем варианте EN ISO 15614-1. Как следует из этого стандарта, в случае отсутствия конкретных требований следует применять уровень 2, при этом не в последнюю очередь важно то, что уровень 2 обеспечивает более высокий уровень безопасности, чем уровень 1. Во-вторых, в информационном приложении ZA директивы Европейского союза 2014/68/EC (PED) указан уровень 2.</w:t>
      </w:r>
      <w:bookmarkEnd w:id="40"/>
    </w:p>
    <w:p w:rsidR="009A745E" w:rsidRPr="009A745E" w:rsidRDefault="009A745E" w:rsidP="002953BD">
      <w:pPr>
        <w:pStyle w:val="SingleTxtGR"/>
      </w:pPr>
      <w:bookmarkStart w:id="41" w:name="bookmark_52"/>
      <w:r w:rsidRPr="009A745E">
        <w:t>8.</w:t>
      </w:r>
      <w:r w:rsidRPr="009A745E">
        <w:tab/>
        <w:t>Данный вопрос уже поднимался на восьмой сессии постоянной рабочей группы Коми</w:t>
      </w:r>
      <w:r w:rsidR="00901A74">
        <w:t>ссии экспертов МПОГ (Утрехт, 20–</w:t>
      </w:r>
      <w:r w:rsidRPr="009A745E">
        <w:t>24 ноября 2017 года). Поскольку этот вопрос имеет важное значение как для МПОГ, так и для ДОПОГ, постоянная рабочая группа просила представителя Польша представить свой документ для Рабочей группы по цистернам Совместного совещания. Постоянная рабочая группа также предложила, чтобы Рабочая группа по стандартам Совместного совещания проверила, целесообразно ли включать прямые ссылки на стандарт EN ISO 15614</w:t>
      </w:r>
      <w:r w:rsidR="00901A74">
        <w:t>-</w:t>
      </w:r>
      <w:r w:rsidRPr="009A745E">
        <w:t>1:2017 с указанием уровня испытаний.</w:t>
      </w:r>
      <w:bookmarkEnd w:id="41"/>
    </w:p>
    <w:p w:rsidR="00E12C5F" w:rsidRDefault="009A745E" w:rsidP="002953BD">
      <w:pPr>
        <w:pStyle w:val="SingleTxtGR"/>
      </w:pPr>
      <w:bookmarkStart w:id="42" w:name="bookmark_53"/>
      <w:r w:rsidRPr="009A745E">
        <w:t>9.</w:t>
      </w:r>
      <w:r w:rsidRPr="009A745E">
        <w:tab/>
      </w:r>
      <w:proofErr w:type="gramStart"/>
      <w:r w:rsidRPr="009A745E">
        <w:t>С</w:t>
      </w:r>
      <w:proofErr w:type="gramEnd"/>
      <w:r w:rsidRPr="009A745E">
        <w:t xml:space="preserve"> учетом вышеизложенного Польша хотела бы обратиться к Совместному совещанию с просьбой передать этот документ Рабочей группе по цистернам для рассмотрения и, возможно, Рабочей группе по стандартам, как это было предложено постоянной рабочей группой Комиссии экспертов МПОГ.</w:t>
      </w:r>
      <w:bookmarkEnd w:id="42"/>
    </w:p>
    <w:p w:rsidR="002953BD" w:rsidRPr="002953BD" w:rsidRDefault="002953BD" w:rsidP="002953BD">
      <w:pPr>
        <w:pStyle w:val="SingleTxtGR"/>
        <w:spacing w:before="240" w:after="0"/>
        <w:jc w:val="center"/>
        <w:rPr>
          <w:u w:val="single"/>
        </w:rPr>
      </w:pPr>
      <w:r>
        <w:rPr>
          <w:u w:val="single"/>
        </w:rPr>
        <w:tab/>
      </w:r>
      <w:r>
        <w:rPr>
          <w:u w:val="single"/>
        </w:rPr>
        <w:tab/>
      </w:r>
      <w:r>
        <w:rPr>
          <w:u w:val="single"/>
        </w:rPr>
        <w:tab/>
      </w:r>
    </w:p>
    <w:sectPr w:rsidR="002953BD" w:rsidRPr="002953BD" w:rsidSect="002440A0">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98" w:rsidRPr="00A312BC" w:rsidRDefault="00694C98" w:rsidP="00A312BC"/>
  </w:endnote>
  <w:endnote w:type="continuationSeparator" w:id="0">
    <w:p w:rsidR="00694C98" w:rsidRPr="00A312BC" w:rsidRDefault="00694C9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A0" w:rsidRPr="002440A0" w:rsidRDefault="002440A0">
    <w:pPr>
      <w:pStyle w:val="Footer"/>
    </w:pPr>
    <w:r w:rsidRPr="002440A0">
      <w:rPr>
        <w:b/>
        <w:sz w:val="18"/>
      </w:rPr>
      <w:fldChar w:fldCharType="begin"/>
    </w:r>
    <w:r w:rsidRPr="002440A0">
      <w:rPr>
        <w:b/>
        <w:sz w:val="18"/>
      </w:rPr>
      <w:instrText xml:space="preserve"> PAGE  \* MERGEFORMAT </w:instrText>
    </w:r>
    <w:r w:rsidRPr="002440A0">
      <w:rPr>
        <w:b/>
        <w:sz w:val="18"/>
      </w:rPr>
      <w:fldChar w:fldCharType="separate"/>
    </w:r>
    <w:r w:rsidR="00D87AA7">
      <w:rPr>
        <w:b/>
        <w:noProof/>
        <w:sz w:val="18"/>
      </w:rPr>
      <w:t>2</w:t>
    </w:r>
    <w:r w:rsidRPr="002440A0">
      <w:rPr>
        <w:b/>
        <w:sz w:val="18"/>
      </w:rPr>
      <w:fldChar w:fldCharType="end"/>
    </w:r>
    <w:r>
      <w:rPr>
        <w:b/>
        <w:sz w:val="18"/>
      </w:rPr>
      <w:tab/>
    </w:r>
    <w:r>
      <w:t>GE.17-23059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A0" w:rsidRPr="002440A0" w:rsidRDefault="002440A0" w:rsidP="002440A0">
    <w:pPr>
      <w:pStyle w:val="Footer"/>
      <w:tabs>
        <w:tab w:val="clear" w:pos="9639"/>
        <w:tab w:val="right" w:pos="9638"/>
      </w:tabs>
      <w:rPr>
        <w:b/>
        <w:sz w:val="18"/>
      </w:rPr>
    </w:pPr>
    <w:r>
      <w:t>GE.17-23059</w:t>
    </w:r>
    <w:r>
      <w:tab/>
    </w:r>
    <w:r w:rsidRPr="002440A0">
      <w:rPr>
        <w:b/>
        <w:sz w:val="18"/>
      </w:rPr>
      <w:fldChar w:fldCharType="begin"/>
    </w:r>
    <w:r w:rsidRPr="002440A0">
      <w:rPr>
        <w:b/>
        <w:sz w:val="18"/>
      </w:rPr>
      <w:instrText xml:space="preserve"> PAGE  \* MERGEFORMAT </w:instrText>
    </w:r>
    <w:r w:rsidRPr="002440A0">
      <w:rPr>
        <w:b/>
        <w:sz w:val="18"/>
      </w:rPr>
      <w:fldChar w:fldCharType="separate"/>
    </w:r>
    <w:r w:rsidR="00D87AA7">
      <w:rPr>
        <w:b/>
        <w:noProof/>
        <w:sz w:val="18"/>
      </w:rPr>
      <w:t>3</w:t>
    </w:r>
    <w:r w:rsidRPr="002440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440A0" w:rsidRDefault="002440A0" w:rsidP="002440A0">
    <w:pPr>
      <w:spacing w:before="120" w:line="240" w:lineRule="auto"/>
    </w:pPr>
    <w:r>
      <w:t>GE.</w:t>
    </w:r>
    <w:r w:rsidR="00DF71B9">
      <w:rPr>
        <w:b/>
        <w:noProof/>
      </w:rPr>
      <w:drawing>
        <wp:anchor distT="0" distB="0" distL="114300" distR="114300" simplePos="0" relativeHeight="251658240" behindDoc="0" locked="0" layoutInCell="1" allowOverlap="1" wp14:anchorId="73FBA3D0" wp14:editId="17C8597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17-23059  (R)</w:t>
    </w:r>
    <w:r>
      <w:rPr>
        <w:lang w:val="en-US"/>
      </w:rPr>
      <w:t xml:space="preserve">  090118  100118</w:t>
    </w:r>
    <w:r>
      <w:br/>
    </w:r>
    <w:r w:rsidRPr="002440A0">
      <w:rPr>
        <w:rFonts w:ascii="C39T30Lfz" w:hAnsi="C39T30Lfz"/>
        <w:spacing w:val="0"/>
        <w:w w:val="100"/>
        <w:sz w:val="56"/>
      </w:rPr>
      <w:t></w:t>
    </w:r>
    <w:r w:rsidRPr="002440A0">
      <w:rPr>
        <w:rFonts w:ascii="C39T30Lfz" w:hAnsi="C39T30Lfz"/>
        <w:spacing w:val="0"/>
        <w:w w:val="100"/>
        <w:sz w:val="56"/>
      </w:rPr>
      <w:t></w:t>
    </w:r>
    <w:r w:rsidRPr="002440A0">
      <w:rPr>
        <w:rFonts w:ascii="C39T30Lfz" w:hAnsi="C39T30Lfz"/>
        <w:spacing w:val="0"/>
        <w:w w:val="100"/>
        <w:sz w:val="56"/>
      </w:rPr>
      <w:t></w:t>
    </w:r>
    <w:r w:rsidRPr="002440A0">
      <w:rPr>
        <w:rFonts w:ascii="C39T30Lfz" w:hAnsi="C39T30Lfz"/>
        <w:spacing w:val="0"/>
        <w:w w:val="100"/>
        <w:sz w:val="56"/>
      </w:rPr>
      <w:t></w:t>
    </w:r>
    <w:r w:rsidRPr="002440A0">
      <w:rPr>
        <w:rFonts w:ascii="C39T30Lfz" w:hAnsi="C39T30Lfz"/>
        <w:spacing w:val="0"/>
        <w:w w:val="100"/>
        <w:sz w:val="56"/>
      </w:rPr>
      <w:t></w:t>
    </w:r>
    <w:r w:rsidRPr="002440A0">
      <w:rPr>
        <w:rFonts w:ascii="C39T30Lfz" w:hAnsi="C39T30Lfz"/>
        <w:spacing w:val="0"/>
        <w:w w:val="100"/>
        <w:sz w:val="56"/>
      </w:rPr>
      <w:t></w:t>
    </w:r>
    <w:r w:rsidRPr="002440A0">
      <w:rPr>
        <w:rFonts w:ascii="C39T30Lfz" w:hAnsi="C39T30Lfz"/>
        <w:spacing w:val="0"/>
        <w:w w:val="100"/>
        <w:sz w:val="56"/>
      </w:rPr>
      <w:t></w:t>
    </w:r>
    <w:r w:rsidRPr="002440A0">
      <w:rPr>
        <w:rFonts w:ascii="C39T30Lfz" w:hAnsi="C39T30Lfz"/>
        <w:spacing w:val="0"/>
        <w:w w:val="100"/>
        <w:sz w:val="56"/>
      </w:rPr>
      <w:t></w:t>
    </w:r>
    <w:r w:rsidRPr="002440A0">
      <w:rPr>
        <w:rFonts w:ascii="C39T30Lfz" w:hAnsi="C39T30Lfz"/>
        <w:spacing w:val="0"/>
        <w:w w:val="100"/>
        <w:sz w:val="56"/>
      </w:rPr>
      <w:t></w:t>
    </w:r>
    <w:r>
      <w:rPr>
        <w:noProof/>
        <w:w w:val="100"/>
      </w:rPr>
      <w:drawing>
        <wp:anchor distT="0" distB="0" distL="114300" distR="114300" simplePos="0" relativeHeight="251659264" behindDoc="0" locked="0" layoutInCell="1" allowOverlap="1" wp14:anchorId="7C1D5AFC" wp14:editId="0D386232">
          <wp:simplePos x="0" y="0"/>
          <wp:positionH relativeFrom="margin">
            <wp:posOffset>5489575</wp:posOffset>
          </wp:positionH>
          <wp:positionV relativeFrom="margin">
            <wp:posOffset>8855710</wp:posOffset>
          </wp:positionV>
          <wp:extent cx="642174" cy="642174"/>
          <wp:effectExtent l="0" t="0" r="5715" b="5715"/>
          <wp:wrapNone/>
          <wp:docPr id="1" name="Рисунок 1" descr="https://undocs.org/m2/QRCode.ashx?DS=ECE/TRANS/WP.15/AC.1/2018/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174" cy="6421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98" w:rsidRPr="001075E9" w:rsidRDefault="00694C98" w:rsidP="001075E9">
      <w:pPr>
        <w:tabs>
          <w:tab w:val="right" w:pos="2155"/>
        </w:tabs>
        <w:spacing w:after="80" w:line="240" w:lineRule="auto"/>
        <w:ind w:left="680"/>
        <w:rPr>
          <w:u w:val="single"/>
        </w:rPr>
      </w:pPr>
      <w:r>
        <w:rPr>
          <w:u w:val="single"/>
        </w:rPr>
        <w:tab/>
      </w:r>
    </w:p>
  </w:footnote>
  <w:footnote w:type="continuationSeparator" w:id="0">
    <w:p w:rsidR="00694C98" w:rsidRDefault="00694C98" w:rsidP="00407B78">
      <w:pPr>
        <w:tabs>
          <w:tab w:val="right" w:pos="2155"/>
        </w:tabs>
        <w:spacing w:after="80"/>
        <w:ind w:left="680"/>
        <w:rPr>
          <w:u w:val="single"/>
        </w:rPr>
      </w:pPr>
      <w:r>
        <w:rPr>
          <w:u w:val="single"/>
        </w:rPr>
        <w:tab/>
      </w:r>
    </w:p>
  </w:footnote>
  <w:footnote w:id="1">
    <w:p w:rsidR="009A745E" w:rsidRPr="00A7126E" w:rsidRDefault="009A745E" w:rsidP="002953BD">
      <w:pPr>
        <w:pStyle w:val="FootnoteText"/>
        <w:rPr>
          <w:lang w:val="ru-RU"/>
        </w:rPr>
      </w:pPr>
      <w:r>
        <w:rPr>
          <w:lang w:val="ru-RU"/>
        </w:rPr>
        <w:tab/>
      </w:r>
      <w:r w:rsidRPr="00B05626">
        <w:rPr>
          <w:rStyle w:val="FootnoteReference"/>
          <w:sz w:val="20"/>
          <w:vertAlign w:val="baseline"/>
          <w:lang w:val="ru-RU"/>
        </w:rPr>
        <w:footnoteRef/>
      </w:r>
      <w:r>
        <w:rPr>
          <w:lang w:val="ru-RU"/>
        </w:rPr>
        <w:tab/>
        <w:t>В соответствии с проектом программы работы Комитета по внутреннему транспорту на 2018–2019 годы (ECE/TRANS/WP.15/237, приложение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A0" w:rsidRPr="002440A0" w:rsidRDefault="001800F8">
    <w:pPr>
      <w:pStyle w:val="Header"/>
    </w:pPr>
    <w:fldSimple w:instr=" TITLE  \* MERGEFORMAT ">
      <w:r w:rsidR="00DB70E1">
        <w:t>ECE/TRANS/WP.15/AC.1/2018/6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A0" w:rsidRPr="002440A0" w:rsidRDefault="001800F8" w:rsidP="002440A0">
    <w:pPr>
      <w:pStyle w:val="Header"/>
      <w:jc w:val="right"/>
    </w:pPr>
    <w:fldSimple w:instr=" TITLE  \* MERGEFORMAT ">
      <w:r w:rsidR="00DB70E1">
        <w:t>ECE/TRANS/WP.15/AC.1/2018/6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46"/>
    <w:rsid w:val="00033EE1"/>
    <w:rsid w:val="00042B72"/>
    <w:rsid w:val="000558BD"/>
    <w:rsid w:val="00082412"/>
    <w:rsid w:val="00092627"/>
    <w:rsid w:val="000B57E7"/>
    <w:rsid w:val="000B6373"/>
    <w:rsid w:val="000E4E5B"/>
    <w:rsid w:val="000F09DF"/>
    <w:rsid w:val="000F61B2"/>
    <w:rsid w:val="001075E9"/>
    <w:rsid w:val="0014152F"/>
    <w:rsid w:val="001658C6"/>
    <w:rsid w:val="001800F8"/>
    <w:rsid w:val="00180183"/>
    <w:rsid w:val="0018024D"/>
    <w:rsid w:val="0018649F"/>
    <w:rsid w:val="00196389"/>
    <w:rsid w:val="001B3EF6"/>
    <w:rsid w:val="001C7A89"/>
    <w:rsid w:val="00215672"/>
    <w:rsid w:val="002440A0"/>
    <w:rsid w:val="00255343"/>
    <w:rsid w:val="0027151D"/>
    <w:rsid w:val="002953B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374C"/>
    <w:rsid w:val="00381C24"/>
    <w:rsid w:val="00387CD4"/>
    <w:rsid w:val="003958D0"/>
    <w:rsid w:val="003A0D43"/>
    <w:rsid w:val="003A48CE"/>
    <w:rsid w:val="003B00E5"/>
    <w:rsid w:val="00407B78"/>
    <w:rsid w:val="00424203"/>
    <w:rsid w:val="00452493"/>
    <w:rsid w:val="00453318"/>
    <w:rsid w:val="00454AF2"/>
    <w:rsid w:val="00454E07"/>
    <w:rsid w:val="00472C5C"/>
    <w:rsid w:val="004D11D4"/>
    <w:rsid w:val="004E05B7"/>
    <w:rsid w:val="004F15BE"/>
    <w:rsid w:val="0050108D"/>
    <w:rsid w:val="00513081"/>
    <w:rsid w:val="00517901"/>
    <w:rsid w:val="00526683"/>
    <w:rsid w:val="005639C1"/>
    <w:rsid w:val="005709E0"/>
    <w:rsid w:val="00572E19"/>
    <w:rsid w:val="005961C8"/>
    <w:rsid w:val="005966F1"/>
    <w:rsid w:val="005D7914"/>
    <w:rsid w:val="005E2B41"/>
    <w:rsid w:val="005F0B42"/>
    <w:rsid w:val="005F4668"/>
    <w:rsid w:val="006345DB"/>
    <w:rsid w:val="00640F49"/>
    <w:rsid w:val="00680D03"/>
    <w:rsid w:val="00681A10"/>
    <w:rsid w:val="00694C98"/>
    <w:rsid w:val="006A1ED8"/>
    <w:rsid w:val="006C2031"/>
    <w:rsid w:val="006D461A"/>
    <w:rsid w:val="006F35EE"/>
    <w:rsid w:val="007021FF"/>
    <w:rsid w:val="00712895"/>
    <w:rsid w:val="00734ACB"/>
    <w:rsid w:val="00757357"/>
    <w:rsid w:val="00792497"/>
    <w:rsid w:val="007A0FB5"/>
    <w:rsid w:val="00806737"/>
    <w:rsid w:val="00814FCF"/>
    <w:rsid w:val="00825F8D"/>
    <w:rsid w:val="00834B71"/>
    <w:rsid w:val="0086445C"/>
    <w:rsid w:val="00894693"/>
    <w:rsid w:val="00895B90"/>
    <w:rsid w:val="008A08D7"/>
    <w:rsid w:val="008A37C8"/>
    <w:rsid w:val="008B6909"/>
    <w:rsid w:val="008D53B6"/>
    <w:rsid w:val="008F7609"/>
    <w:rsid w:val="00901A74"/>
    <w:rsid w:val="00906890"/>
    <w:rsid w:val="00911BE4"/>
    <w:rsid w:val="0094719D"/>
    <w:rsid w:val="00951972"/>
    <w:rsid w:val="009608F3"/>
    <w:rsid w:val="009A24AC"/>
    <w:rsid w:val="009A745E"/>
    <w:rsid w:val="009C1E6B"/>
    <w:rsid w:val="009C6FE6"/>
    <w:rsid w:val="009D7E7D"/>
    <w:rsid w:val="00A03A3A"/>
    <w:rsid w:val="00A14DA8"/>
    <w:rsid w:val="00A312BC"/>
    <w:rsid w:val="00A84021"/>
    <w:rsid w:val="00A84D35"/>
    <w:rsid w:val="00A917B3"/>
    <w:rsid w:val="00A94B32"/>
    <w:rsid w:val="00AB4B51"/>
    <w:rsid w:val="00AC3246"/>
    <w:rsid w:val="00B05626"/>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D0249"/>
    <w:rsid w:val="00CE5A1A"/>
    <w:rsid w:val="00CF55F6"/>
    <w:rsid w:val="00D33D63"/>
    <w:rsid w:val="00D40100"/>
    <w:rsid w:val="00D5253A"/>
    <w:rsid w:val="00D87AA7"/>
    <w:rsid w:val="00D90028"/>
    <w:rsid w:val="00D90138"/>
    <w:rsid w:val="00DB70E1"/>
    <w:rsid w:val="00DD78D1"/>
    <w:rsid w:val="00DE32CD"/>
    <w:rsid w:val="00DF5767"/>
    <w:rsid w:val="00DF71B9"/>
    <w:rsid w:val="00E12C5F"/>
    <w:rsid w:val="00E73F76"/>
    <w:rsid w:val="00EA2C9F"/>
    <w:rsid w:val="00EA420E"/>
    <w:rsid w:val="00ED0BDA"/>
    <w:rsid w:val="00EE142A"/>
    <w:rsid w:val="00EE2D58"/>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95C7BF-7601-402C-9894-97A0157B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30C6-56BE-4815-91FB-812B5044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5004</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ECE/TRANS/WP.15/AC.1/2018/6</vt:lpstr>
      <vt:lpstr>ECE/TRANS/WP.15/AC.1/2018/6</vt:lpstr>
      <vt:lpstr>A/</vt:lpstr>
    </vt:vector>
  </TitlesOfParts>
  <Company>DCM</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ECE/TRANS/WP.15/AC.1/2018/6</dc:title>
  <dc:creator>Ekaterina SALYNSKAYA</dc:creator>
  <cp:lastModifiedBy>Christine Barrio-Champeau</cp:lastModifiedBy>
  <cp:revision>2</cp:revision>
  <cp:lastPrinted>2018-01-10T10:05:00Z</cp:lastPrinted>
  <dcterms:created xsi:type="dcterms:W3CDTF">2018-01-10T13:34:00Z</dcterms:created>
  <dcterms:modified xsi:type="dcterms:W3CDTF">2018-01-10T13:34:00Z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