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76B6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76B69" w:rsidRDefault="00E76B69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76B69" w:rsidRPr="00B11BB4" w:rsidRDefault="00E76B69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76B69" w:rsidRPr="00507993" w:rsidRDefault="00E76B69" w:rsidP="0031737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</w:t>
            </w:r>
            <w:r>
              <w:rPr>
                <w:b/>
                <w:sz w:val="24"/>
                <w:szCs w:val="24"/>
              </w:rPr>
              <w:t>.</w:t>
            </w:r>
            <w:r w:rsidR="00C4340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76B69" w:rsidRDefault="00E76B69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76B69" w:rsidRDefault="00E76B69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76B69" w:rsidRDefault="00E76B69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7454">
        <w:rPr>
          <w:b/>
          <w:sz w:val="24"/>
          <w:szCs w:val="24"/>
        </w:rPr>
        <w:t>8</w:t>
      </w:r>
      <w:bookmarkStart w:id="0" w:name="_GoBack"/>
      <w:bookmarkEnd w:id="0"/>
      <w:r w:rsidR="00C43404">
        <w:rPr>
          <w:b/>
          <w:sz w:val="24"/>
          <w:szCs w:val="24"/>
        </w:rPr>
        <w:t xml:space="preserve"> </w:t>
      </w:r>
      <w:r w:rsidRPr="00C474F9">
        <w:rPr>
          <w:b/>
          <w:bCs/>
        </w:rPr>
        <w:t>February</w:t>
      </w:r>
      <w:r w:rsidRPr="003D18C0">
        <w:rPr>
          <w:b/>
          <w:bCs/>
        </w:rPr>
        <w:t xml:space="preserve"> 201</w:t>
      </w:r>
      <w:r>
        <w:rPr>
          <w:b/>
          <w:bCs/>
        </w:rPr>
        <w:t>8</w:t>
      </w:r>
    </w:p>
    <w:p w:rsidR="00E76B69" w:rsidRDefault="00E76B69" w:rsidP="00BB20C7">
      <w:pPr>
        <w:rPr>
          <w:b/>
        </w:rPr>
      </w:pPr>
      <w:r>
        <w:rPr>
          <w:b/>
        </w:rPr>
        <w:t>Joint Meeting of the RID Committee of Experts and the</w:t>
      </w:r>
    </w:p>
    <w:p w:rsidR="00E76B69" w:rsidRDefault="00E76B69" w:rsidP="00BB20C7">
      <w:pPr>
        <w:rPr>
          <w:b/>
        </w:rPr>
      </w:pPr>
      <w:r>
        <w:rPr>
          <w:b/>
        </w:rPr>
        <w:t>Working Party on the Transport of Dangerous Goods</w:t>
      </w:r>
    </w:p>
    <w:p w:rsidR="00E76B69" w:rsidRPr="003D18C0" w:rsidRDefault="00E76B69" w:rsidP="00C43404">
      <w:pPr>
        <w:spacing w:before="120"/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057793">
            <w:t>Bern</w:t>
          </w:r>
        </w:smartTag>
      </w:smartTag>
      <w:r w:rsidRPr="00057793">
        <w:t>, 12-16 March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B69" w:rsidRPr="00057793" w:rsidRDefault="00E76B69" w:rsidP="00BB20C7">
      <w:r w:rsidRPr="00057793">
        <w:t xml:space="preserve">Item </w:t>
      </w:r>
      <w:r>
        <w:t>2</w:t>
      </w:r>
      <w:r w:rsidRPr="00057793">
        <w:t xml:space="preserve"> of the provisional agenda</w:t>
      </w:r>
    </w:p>
    <w:p w:rsidR="00E76B69" w:rsidRPr="00317376" w:rsidRDefault="00E76B69" w:rsidP="00BB20C7">
      <w:pPr>
        <w:rPr>
          <w:b/>
        </w:rPr>
      </w:pPr>
      <w:r w:rsidRPr="00317376">
        <w:rPr>
          <w:b/>
        </w:rPr>
        <w:t>Tanks</w:t>
      </w:r>
    </w:p>
    <w:p w:rsidR="00E76B69" w:rsidRPr="002E3B88" w:rsidRDefault="00E76B69" w:rsidP="00BB20C7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>Correction of the English version of the proposal in document ECE/TRANS/WP.15/AC.1/2018/12</w:t>
      </w:r>
    </w:p>
    <w:p w:rsidR="00E76B69" w:rsidRDefault="00E76B69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E76B69" w:rsidRPr="00C474F9" w:rsidRDefault="00E76B69" w:rsidP="00C249A2">
      <w:pPr>
        <w:pStyle w:val="SingleTxtG"/>
        <w:rPr>
          <w:lang w:val="en-GB"/>
        </w:rPr>
      </w:pP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English and French versions of EN </w:t>
      </w:r>
      <w:proofErr w:type="gramStart"/>
      <w:r>
        <w:t>13094:</w:t>
      </w:r>
      <w:proofErr w:type="gramEnd"/>
      <w:r>
        <w:t xml:space="preserve">2015 are not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aligned</w:t>
      </w:r>
      <w:proofErr w:type="spellEnd"/>
      <w:r>
        <w:t xml:space="preserve">, the </w:t>
      </w:r>
      <w:proofErr w:type="spellStart"/>
      <w:r>
        <w:t>proposal</w:t>
      </w:r>
      <w:proofErr w:type="spellEnd"/>
      <w:r>
        <w:t xml:space="preserve"> in document </w:t>
      </w:r>
      <w:r w:rsidR="00C43404">
        <w:t>ECE/</w:t>
      </w:r>
      <w:r>
        <w:t xml:space="preserve">TRANS/WP.15/AC.1/2018/12 in English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unfortunately</w:t>
      </w:r>
      <w:proofErr w:type="spellEnd"/>
      <w:r>
        <w:t xml:space="preserve"> not correct; </w:t>
      </w:r>
      <w:proofErr w:type="spellStart"/>
      <w:r>
        <w:t>it</w:t>
      </w:r>
      <w:proofErr w:type="spellEnd"/>
      <w:r>
        <w:t xml:space="preserve"> can not </w:t>
      </w:r>
      <w:proofErr w:type="spellStart"/>
      <w:r>
        <w:t>be</w:t>
      </w:r>
      <w:proofErr w:type="spellEnd"/>
      <w:r>
        <w:t xml:space="preserve"> a simple translation of the </w:t>
      </w:r>
      <w:proofErr w:type="spellStart"/>
      <w:r>
        <w:t>proposal</w:t>
      </w:r>
      <w:proofErr w:type="spellEnd"/>
      <w:r>
        <w:t xml:space="preserve"> in French but must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original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modified</w:t>
      </w:r>
      <w:proofErr w:type="spellEnd"/>
      <w:r>
        <w:t>.</w:t>
      </w:r>
    </w:p>
    <w:p w:rsidR="00E76B69" w:rsidRDefault="00E76B69" w:rsidP="00C249A2">
      <w:pPr>
        <w:pStyle w:val="SingleTxtG"/>
        <w:rPr>
          <w:lang w:val="en-GB"/>
        </w:rPr>
      </w:pPr>
      <w:r>
        <w:rPr>
          <w:lang w:val="en-GB"/>
        </w:rPr>
        <w:t>The proposal should be replaced by the following:</w:t>
      </w:r>
    </w:p>
    <w:p w:rsidR="00E76B69" w:rsidRPr="006F73B6" w:rsidRDefault="00C43404" w:rsidP="00C43404">
      <w:pPr>
        <w:pStyle w:val="HCh"/>
        <w:tabs>
          <w:tab w:val="clear" w:pos="1022"/>
          <w:tab w:val="clear" w:pos="1267"/>
          <w:tab w:val="left" w:pos="1134"/>
        </w:tabs>
        <w:spacing w:before="120" w:after="120"/>
      </w:pPr>
      <w:r>
        <w:tab/>
      </w:r>
      <w:r w:rsidR="00E76B69" w:rsidRPr="006F73B6">
        <w:t>Proposal</w:t>
      </w:r>
    </w:p>
    <w:p w:rsidR="00E76B69" w:rsidRPr="006F73B6" w:rsidRDefault="00E76B69" w:rsidP="00C43404">
      <w:pPr>
        <w:pStyle w:val="SingleTxtG"/>
        <w:rPr>
          <w:lang w:val="en-GB"/>
        </w:rPr>
      </w:pPr>
      <w:r w:rsidRPr="006F73B6">
        <w:rPr>
          <w:lang w:val="en-GB"/>
        </w:rPr>
        <w:t xml:space="preserve">The European standard EN 13094 specifies requirements </w:t>
      </w:r>
      <w:r>
        <w:rPr>
          <w:lang w:val="en-GB"/>
        </w:rPr>
        <w:t xml:space="preserve">for </w:t>
      </w:r>
      <w:r w:rsidRPr="006F73B6">
        <w:rPr>
          <w:lang w:val="en-GB"/>
        </w:rPr>
        <w:t xml:space="preserve">the design and construction of metallic gravity-discharge tanks </w:t>
      </w:r>
      <w:r>
        <w:rPr>
          <w:lang w:val="en-GB"/>
        </w:rPr>
        <w:t xml:space="preserve">intended </w:t>
      </w:r>
      <w:r w:rsidRPr="006F73B6">
        <w:rPr>
          <w:lang w:val="en-GB"/>
        </w:rPr>
        <w:t xml:space="preserve">for the </w:t>
      </w:r>
      <w:r>
        <w:rPr>
          <w:lang w:val="en-GB"/>
        </w:rPr>
        <w:t>carriage</w:t>
      </w:r>
      <w:r w:rsidRPr="006F73B6">
        <w:rPr>
          <w:lang w:val="en-GB"/>
        </w:rPr>
        <w:t xml:space="preserve"> of substances </w:t>
      </w:r>
      <w:r>
        <w:rPr>
          <w:lang w:val="en-GB"/>
        </w:rPr>
        <w:t>having</w:t>
      </w:r>
      <w:r w:rsidRPr="006F73B6">
        <w:rPr>
          <w:lang w:val="en-GB"/>
        </w:rPr>
        <w:t xml:space="preserve"> a vapour pressure not exceeding 110 kPa (absolute pressure) for which a tank code with letter “G” is given in Chapter 3.2 of RID/ADR. </w:t>
      </w:r>
    </w:p>
    <w:p w:rsidR="00E76B69" w:rsidRPr="006F73B6" w:rsidRDefault="00E76B69" w:rsidP="006F73B6">
      <w:pPr>
        <w:pStyle w:val="SingleTxtG"/>
        <w:rPr>
          <w:lang w:val="en-GB"/>
        </w:rPr>
      </w:pPr>
      <w:proofErr w:type="gramStart"/>
      <w:r w:rsidRPr="006F73B6">
        <w:rPr>
          <w:lang w:val="en-GB"/>
        </w:rPr>
        <w:t>In order to</w:t>
      </w:r>
      <w:proofErr w:type="gramEnd"/>
      <w:r w:rsidRPr="006F73B6">
        <w:rPr>
          <w:lang w:val="en-GB"/>
        </w:rPr>
        <w:t xml:space="preserve"> comply with the requirements of RID/ADR, the following amendments to EN 13094:2015 must be made.</w:t>
      </w:r>
    </w:p>
    <w:p w:rsidR="00E76B69" w:rsidRPr="006F73B6" w:rsidRDefault="00E76B69" w:rsidP="006F73B6">
      <w:pPr>
        <w:pStyle w:val="SingleTxtG"/>
        <w:rPr>
          <w:b/>
          <w:bCs/>
          <w:lang w:val="en-GB"/>
        </w:rPr>
      </w:pPr>
      <w:r w:rsidRPr="006F73B6">
        <w:rPr>
          <w:b/>
          <w:bCs/>
          <w:lang w:val="en-GB"/>
        </w:rPr>
        <w:t>1.</w:t>
      </w:r>
      <w:r w:rsidRPr="006F73B6">
        <w:rPr>
          <w:b/>
          <w:bCs/>
          <w:lang w:val="en-GB"/>
        </w:rPr>
        <w:tab/>
        <w:t>Amendment of 3.1, Terms and definitions</w:t>
      </w:r>
    </w:p>
    <w:p w:rsidR="00E76B69" w:rsidRPr="006F73B6" w:rsidRDefault="00E76B69" w:rsidP="006F73B6">
      <w:pPr>
        <w:pStyle w:val="SingleTxtG"/>
        <w:rPr>
          <w:i/>
          <w:iCs/>
          <w:lang w:val="en-GB"/>
        </w:rPr>
      </w:pPr>
      <w:r w:rsidRPr="006F73B6">
        <w:rPr>
          <w:i/>
          <w:iCs/>
          <w:lang w:val="en-GB"/>
        </w:rPr>
        <w:t>Delete the definition of maximum working pressure in 3.1.4.</w:t>
      </w:r>
    </w:p>
    <w:p w:rsidR="00E76B69" w:rsidRPr="006F73B6" w:rsidRDefault="00E76B69" w:rsidP="006F73B6">
      <w:pPr>
        <w:pStyle w:val="SingleTxtG"/>
        <w:rPr>
          <w:b/>
          <w:bCs/>
          <w:lang w:val="en-GB"/>
        </w:rPr>
      </w:pPr>
      <w:r w:rsidRPr="006F73B6">
        <w:rPr>
          <w:b/>
          <w:bCs/>
          <w:lang w:val="en-GB"/>
        </w:rPr>
        <w:t>2.</w:t>
      </w:r>
      <w:r w:rsidRPr="006F73B6">
        <w:rPr>
          <w:b/>
          <w:bCs/>
          <w:lang w:val="en-GB"/>
        </w:rPr>
        <w:tab/>
        <w:t>Amendment of 6.4, Dynamic conditions</w:t>
      </w:r>
    </w:p>
    <w:p w:rsidR="00E76B69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t>In the first paragraph of 6.4.2, replace</w:t>
      </w:r>
      <w:r w:rsidRPr="006F73B6">
        <w:rPr>
          <w:lang w:val="en-GB"/>
        </w:rPr>
        <w:t xml:space="preserve"> “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v</w:t>
      </w:r>
      <w:proofErr w:type="spellEnd"/>
      <w:r w:rsidRPr="006F73B6">
        <w:rPr>
          <w:lang w:val="en-GB"/>
        </w:rPr>
        <w:t xml:space="preserve">” </w:t>
      </w:r>
      <w:r w:rsidRPr="006F73B6">
        <w:rPr>
          <w:i/>
          <w:iCs/>
          <w:lang w:val="en-GB"/>
        </w:rPr>
        <w:t>with</w:t>
      </w:r>
      <w:r w:rsidRPr="006F73B6">
        <w:rPr>
          <w:lang w:val="en-GB"/>
        </w:rPr>
        <w:t xml:space="preserve"> “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ta</w:t>
      </w:r>
      <w:proofErr w:type="spellEnd"/>
      <w:r w:rsidRPr="006F73B6">
        <w:rPr>
          <w:lang w:val="en-GB"/>
        </w:rPr>
        <w:t>”</w:t>
      </w:r>
      <w:r>
        <w:rPr>
          <w:lang w:val="en-GB"/>
        </w:rPr>
        <w:t>,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lang w:val="en-GB"/>
        </w:rPr>
        <w:t>where</w:t>
      </w:r>
      <w:r w:rsidRPr="006F73B6">
        <w:rPr>
          <w:lang w:val="en-GB"/>
        </w:rPr>
        <w:t xml:space="preserve">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ta</w:t>
      </w:r>
      <w:proofErr w:type="spellEnd"/>
      <w:r w:rsidRPr="006F73B6">
        <w:rPr>
          <w:lang w:val="en-GB"/>
        </w:rPr>
        <w:t xml:space="preserve"> </w:t>
      </w:r>
      <w:r>
        <w:rPr>
          <w:lang w:val="en-GB"/>
        </w:rPr>
        <w:t>=</w:t>
      </w:r>
      <w:r w:rsidRPr="006F73B6">
        <w:rPr>
          <w:lang w:val="en-GB"/>
        </w:rPr>
        <w:t xml:space="preserve"> </w:t>
      </w:r>
      <w:r w:rsidRPr="00D41FF6">
        <w:rPr>
          <w:i/>
          <w:lang w:val="en-GB"/>
        </w:rPr>
        <w:t xml:space="preserve">static pressure (gauge pressure) in </w:t>
      </w:r>
      <w:proofErr w:type="spellStart"/>
      <w:r w:rsidRPr="00D41FF6">
        <w:rPr>
          <w:i/>
          <w:lang w:val="en-GB"/>
        </w:rPr>
        <w:t>MegaPascals</w:t>
      </w:r>
      <w:proofErr w:type="spellEnd"/>
      <w:r w:rsidRPr="00D41FF6">
        <w:rPr>
          <w:i/>
          <w:lang w:val="en-GB"/>
        </w:rPr>
        <w:t xml:space="preserve"> (</w:t>
      </w:r>
      <w:proofErr w:type="spellStart"/>
      <w:r w:rsidRPr="00D41FF6">
        <w:rPr>
          <w:i/>
          <w:lang w:val="en-GB"/>
        </w:rPr>
        <w:t>MPa</w:t>
      </w:r>
      <w:proofErr w:type="spellEnd"/>
      <w:r w:rsidRPr="00D41FF6">
        <w:rPr>
          <w:i/>
          <w:lang w:val="en-GB"/>
        </w:rPr>
        <w:t>)</w:t>
      </w:r>
      <w:r w:rsidRPr="006F73B6">
        <w:rPr>
          <w:lang w:val="en-GB"/>
        </w:rPr>
        <w:t>.</w:t>
      </w:r>
    </w:p>
    <w:p w:rsidR="00E76B69" w:rsidRPr="006F73B6" w:rsidRDefault="00E76B69" w:rsidP="006F73B6">
      <w:pPr>
        <w:pStyle w:val="SingleTxtG"/>
        <w:rPr>
          <w:b/>
          <w:bCs/>
          <w:lang w:val="en-GB"/>
        </w:rPr>
      </w:pPr>
      <w:r w:rsidRPr="006F73B6">
        <w:rPr>
          <w:b/>
          <w:bCs/>
          <w:lang w:val="en-GB"/>
        </w:rPr>
        <w:t>3.</w:t>
      </w:r>
      <w:r w:rsidRPr="006F73B6">
        <w:rPr>
          <w:b/>
          <w:bCs/>
          <w:lang w:val="en-GB"/>
        </w:rPr>
        <w:tab/>
        <w:t>Amendment of 6.5, Pressure conditions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b/>
          <w:bCs/>
          <w:lang w:val="en-GB"/>
        </w:rPr>
        <w:t>3.1</w:t>
      </w:r>
      <w:r w:rsidRPr="006F73B6">
        <w:rPr>
          <w:lang w:val="en-GB"/>
        </w:rPr>
        <w:tab/>
        <w:t>Amendment of 6.5.1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t>Delete</w:t>
      </w:r>
      <w:r w:rsidRPr="006F73B6">
        <w:rPr>
          <w:lang w:val="en-GB"/>
        </w:rPr>
        <w:t xml:space="preserve"> “</w:t>
      </w:r>
      <w:r>
        <w:rPr>
          <w:lang w:val="en-GB"/>
        </w:rPr>
        <w:t>c) 1,</w:t>
      </w:r>
      <w:r w:rsidRPr="006F73B6">
        <w:rPr>
          <w:lang w:val="en-GB"/>
        </w:rPr>
        <w:t>3 times the maximum working pressure”.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b/>
          <w:bCs/>
          <w:lang w:val="en-GB"/>
        </w:rPr>
        <w:t>3.2</w:t>
      </w:r>
      <w:r w:rsidRPr="006F73B6">
        <w:rPr>
          <w:lang w:val="en-GB"/>
        </w:rPr>
        <w:tab/>
        <w:t>Amendment of 6.5.2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t>Replace</w:t>
      </w:r>
      <w:r w:rsidRPr="006F73B6">
        <w:rPr>
          <w:lang w:val="en-GB"/>
        </w:rPr>
        <w:t xml:space="preserve"> “</w:t>
      </w:r>
      <w:r>
        <w:rPr>
          <w:lang w:val="en-GB"/>
        </w:rPr>
        <w:t>1,</w:t>
      </w:r>
      <w:r w:rsidRPr="006F73B6">
        <w:rPr>
          <w:lang w:val="en-GB"/>
        </w:rPr>
        <w:t>3 × (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ta</w:t>
      </w:r>
      <w:proofErr w:type="spellEnd"/>
      <w:r w:rsidRPr="006F73B6">
        <w:rPr>
          <w:lang w:val="en-GB"/>
        </w:rPr>
        <w:t xml:space="preserve"> + </w:t>
      </w:r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ts</w:t>
      </w:r>
      <w:r w:rsidRPr="006F73B6">
        <w:rPr>
          <w:lang w:val="en-GB"/>
        </w:rPr>
        <w:t xml:space="preserve">)” </w:t>
      </w:r>
      <w:r w:rsidRPr="006F73B6">
        <w:rPr>
          <w:i/>
          <w:iCs/>
          <w:lang w:val="en-GB"/>
        </w:rPr>
        <w:t>with</w:t>
      </w:r>
      <w:r w:rsidRPr="006F73B6">
        <w:rPr>
          <w:lang w:val="en-GB"/>
        </w:rPr>
        <w:t xml:space="preserve"> “max (0</w:t>
      </w:r>
      <w:r>
        <w:rPr>
          <w:lang w:val="en-GB"/>
        </w:rPr>
        <w:t>,</w:t>
      </w:r>
      <w:r w:rsidRPr="006F73B6">
        <w:rPr>
          <w:lang w:val="en-GB"/>
        </w:rPr>
        <w:t>2; 1</w:t>
      </w:r>
      <w:r>
        <w:rPr>
          <w:lang w:val="en-GB"/>
        </w:rPr>
        <w:t>,</w:t>
      </w:r>
      <w:r w:rsidRPr="006F73B6">
        <w:rPr>
          <w:lang w:val="en-GB"/>
        </w:rPr>
        <w:t xml:space="preserve">3 ×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ta</w:t>
      </w:r>
      <w:proofErr w:type="spellEnd"/>
      <w:r w:rsidRPr="006F73B6">
        <w:rPr>
          <w:vertAlign w:val="subscript"/>
          <w:lang w:val="en-GB"/>
        </w:rPr>
        <w:t xml:space="preserve"> water</w:t>
      </w:r>
      <w:r w:rsidRPr="006F73B6">
        <w:rPr>
          <w:lang w:val="en-GB"/>
        </w:rPr>
        <w:t>; 1</w:t>
      </w:r>
      <w:r>
        <w:rPr>
          <w:lang w:val="en-GB"/>
        </w:rPr>
        <w:t>,</w:t>
      </w:r>
      <w:r w:rsidRPr="006F73B6">
        <w:rPr>
          <w:lang w:val="en-GB"/>
        </w:rPr>
        <w:t xml:space="preserve">3 ×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ta</w:t>
      </w:r>
      <w:proofErr w:type="spellEnd"/>
      <w:r w:rsidRPr="006F73B6">
        <w:rPr>
          <w:lang w:val="en-GB"/>
        </w:rPr>
        <w:t>)”.</w:t>
      </w:r>
    </w:p>
    <w:p w:rsidR="00E76B69" w:rsidRPr="006F73B6" w:rsidRDefault="00E76B69" w:rsidP="006F73B6">
      <w:pPr>
        <w:pStyle w:val="SingleTxtG"/>
        <w:rPr>
          <w:b/>
          <w:b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  <w:t>Amendment of A</w:t>
      </w:r>
      <w:r w:rsidRPr="006F73B6">
        <w:rPr>
          <w:b/>
          <w:bCs/>
          <w:lang w:val="en-GB"/>
        </w:rPr>
        <w:t>nnex A, A.5 Calculation method — Worksheet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b/>
          <w:bCs/>
          <w:lang w:val="en-GB"/>
        </w:rPr>
        <w:t>4.1</w:t>
      </w:r>
      <w:r w:rsidRPr="006F73B6">
        <w:rPr>
          <w:lang w:val="en-GB"/>
        </w:rPr>
        <w:tab/>
        <w:t>Amendment of A.5.2.2.1, Table A.2, Pressures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t>Repla</w:t>
      </w:r>
      <w:r>
        <w:rPr>
          <w:i/>
          <w:iCs/>
          <w:lang w:val="en-GB"/>
        </w:rPr>
        <w:t>ce N°</w:t>
      </w:r>
      <w:r w:rsidRPr="006F73B6">
        <w:rPr>
          <w:i/>
          <w:iCs/>
          <w:lang w:val="en-GB"/>
        </w:rPr>
        <w:t xml:space="preserve"> 2</w:t>
      </w:r>
      <w:r w:rsidRPr="006F73B6">
        <w:rPr>
          <w:lang w:val="en-GB"/>
        </w:rPr>
        <w:t xml:space="preserve"> “Maximum working pressure </w:t>
      </w:r>
      <w:r w:rsidRPr="006F73B6">
        <w:rPr>
          <w:vertAlign w:val="superscript"/>
          <w:lang w:val="en-GB"/>
        </w:rPr>
        <w:t>b</w:t>
      </w:r>
      <w:r w:rsidRPr="006F73B6">
        <w:rPr>
          <w:lang w:val="en-GB"/>
        </w:rPr>
        <w:t xml:space="preserve">,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ms</w:t>
      </w:r>
      <w:proofErr w:type="spellEnd"/>
      <w:r w:rsidRPr="006F73B6">
        <w:rPr>
          <w:lang w:val="en-GB"/>
        </w:rPr>
        <w:t xml:space="preserve">” </w:t>
      </w:r>
      <w:r w:rsidRPr="006F73B6">
        <w:rPr>
          <w:i/>
          <w:iCs/>
          <w:lang w:val="en-GB"/>
        </w:rPr>
        <w:t>with</w:t>
      </w:r>
      <w:r w:rsidRPr="006F73B6">
        <w:rPr>
          <w:lang w:val="en-GB"/>
        </w:rPr>
        <w:t xml:space="preserve"> “Opening pressure of the breather device, </w:t>
      </w:r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ts</w:t>
      </w:r>
      <w:r w:rsidRPr="006F73B6">
        <w:rPr>
          <w:lang w:val="en-GB"/>
        </w:rPr>
        <w:t>”.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lastRenderedPageBreak/>
        <w:t>Delete</w:t>
      </w:r>
      <w:r w:rsidRPr="006F73B6">
        <w:rPr>
          <w:lang w:val="en-GB"/>
        </w:rPr>
        <w:t xml:space="preserve"> “</w:t>
      </w:r>
      <w:r w:rsidRPr="006F73B6">
        <w:rPr>
          <w:vertAlign w:val="superscript"/>
          <w:lang w:val="en-GB"/>
        </w:rPr>
        <w:t>b</w:t>
      </w:r>
      <w:r w:rsidRPr="006F73B6">
        <w:rPr>
          <w:vertAlign w:val="superscript"/>
          <w:lang w:val="en-GB"/>
        </w:rPr>
        <w:tab/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ms</w:t>
      </w:r>
      <w:proofErr w:type="spellEnd"/>
      <w:r w:rsidRPr="006F73B6">
        <w:rPr>
          <w:lang w:val="en-GB"/>
        </w:rPr>
        <w:t xml:space="preserve"> is the maximum of </w:t>
      </w:r>
      <w:proofErr w:type="spellStart"/>
      <w:r w:rsidRPr="006F73B6">
        <w:rPr>
          <w:lang w:val="en-GB"/>
        </w:rPr>
        <w:t>P</w:t>
      </w:r>
      <w:r w:rsidRPr="006F73B6">
        <w:rPr>
          <w:vertAlign w:val="subscript"/>
          <w:lang w:val="en-GB"/>
        </w:rPr>
        <w:t>vd</w:t>
      </w:r>
      <w:proofErr w:type="spellEnd"/>
      <w:r w:rsidRPr="006F73B6">
        <w:rPr>
          <w:lang w:val="en-GB"/>
        </w:rPr>
        <w:t>, P</w:t>
      </w:r>
      <w:r w:rsidRPr="006F73B6">
        <w:rPr>
          <w:vertAlign w:val="subscript"/>
          <w:lang w:val="en-GB"/>
        </w:rPr>
        <w:t>ts</w:t>
      </w:r>
      <w:r w:rsidRPr="006F73B6">
        <w:rPr>
          <w:lang w:val="en-GB"/>
        </w:rPr>
        <w:t xml:space="preserve">,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d</w:t>
      </w:r>
      <w:proofErr w:type="spellEnd"/>
      <w:r w:rsidRPr="006F73B6">
        <w:rPr>
          <w:lang w:val="en-GB"/>
        </w:rPr>
        <w:t xml:space="preserve"> and 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r</w:t>
      </w:r>
      <w:proofErr w:type="spellEnd"/>
      <w:r w:rsidRPr="006F73B6">
        <w:rPr>
          <w:lang w:val="en-GB"/>
        </w:rPr>
        <w:t>”.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b/>
          <w:bCs/>
          <w:lang w:val="en-GB"/>
        </w:rPr>
        <w:t>4.2</w:t>
      </w:r>
      <w:r w:rsidRPr="006F73B6">
        <w:rPr>
          <w:lang w:val="en-GB"/>
        </w:rPr>
        <w:tab/>
        <w:t xml:space="preserve">Amendment of A.5.2.2.2, Table A.3, Calculation pressure in service conditions 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i/>
          <w:iCs/>
          <w:lang w:val="en-GB"/>
        </w:rPr>
        <w:t>In 4, 5, 6 and 7, replace</w:t>
      </w:r>
      <w:r w:rsidRPr="006F73B6">
        <w:rPr>
          <w:lang w:val="en-GB"/>
        </w:rPr>
        <w:t xml:space="preserve"> “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ms</w:t>
      </w:r>
      <w:proofErr w:type="spellEnd"/>
      <w:r w:rsidRPr="006F73B6">
        <w:rPr>
          <w:lang w:val="en-GB"/>
        </w:rPr>
        <w:t xml:space="preserve">” </w:t>
      </w:r>
      <w:r w:rsidRPr="006F73B6">
        <w:rPr>
          <w:i/>
          <w:iCs/>
          <w:lang w:val="en-GB"/>
        </w:rPr>
        <w:t>with</w:t>
      </w:r>
      <w:r w:rsidRPr="006F73B6">
        <w:rPr>
          <w:lang w:val="en-GB"/>
        </w:rPr>
        <w:t xml:space="preserve"> “</w:t>
      </w:r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ts</w:t>
      </w:r>
      <w:r w:rsidRPr="006F73B6">
        <w:rPr>
          <w:lang w:val="en-GB"/>
        </w:rPr>
        <w:t>”.</w:t>
      </w:r>
    </w:p>
    <w:p w:rsidR="00E76B69" w:rsidRPr="006F73B6" w:rsidRDefault="00E76B69" w:rsidP="006F73B6">
      <w:pPr>
        <w:pStyle w:val="SingleTxtG"/>
        <w:rPr>
          <w:lang w:val="en-GB"/>
        </w:rPr>
      </w:pPr>
      <w:r w:rsidRPr="006F73B6">
        <w:rPr>
          <w:b/>
          <w:bCs/>
          <w:lang w:val="en-GB"/>
        </w:rPr>
        <w:t>4.3</w:t>
      </w:r>
      <w:r w:rsidRPr="006F73B6">
        <w:rPr>
          <w:lang w:val="en-GB"/>
        </w:rPr>
        <w:tab/>
        <w:t>Amendment of 5.6.2.1.2, Tensile stress due to pressure during transport</w:t>
      </w:r>
    </w:p>
    <w:p w:rsidR="00E76B69" w:rsidRPr="006F73B6" w:rsidRDefault="00E76B69" w:rsidP="006F73B6">
      <w:pPr>
        <w:pStyle w:val="SingleTxtG"/>
        <w:rPr>
          <w:lang w:val="en-GB"/>
        </w:rPr>
      </w:pPr>
      <w:r>
        <w:rPr>
          <w:i/>
          <w:iCs/>
          <w:lang w:val="en-GB"/>
        </w:rPr>
        <w:t xml:space="preserve">In </w:t>
      </w:r>
      <w:r w:rsidRPr="006F73B6">
        <w:rPr>
          <w:i/>
          <w:iCs/>
          <w:lang w:val="en-GB"/>
        </w:rPr>
        <w:t>a) Force, replace</w:t>
      </w:r>
      <w:r w:rsidRPr="006F73B6">
        <w:rPr>
          <w:lang w:val="en-GB"/>
        </w:rPr>
        <w:t xml:space="preserve"> “</w:t>
      </w:r>
      <w:proofErr w:type="spellStart"/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ms</w:t>
      </w:r>
      <w:proofErr w:type="spellEnd"/>
      <w:r w:rsidRPr="006F73B6">
        <w:rPr>
          <w:lang w:val="en-GB"/>
        </w:rPr>
        <w:t xml:space="preserve">” </w:t>
      </w:r>
      <w:r w:rsidRPr="006F73B6">
        <w:rPr>
          <w:i/>
          <w:iCs/>
          <w:lang w:val="en-GB"/>
        </w:rPr>
        <w:t>with</w:t>
      </w:r>
      <w:r w:rsidRPr="006F73B6">
        <w:rPr>
          <w:lang w:val="en-GB"/>
        </w:rPr>
        <w:t xml:space="preserve"> “</w:t>
      </w:r>
      <w:r w:rsidRPr="006F73B6">
        <w:rPr>
          <w:i/>
          <w:iCs/>
          <w:lang w:val="en-GB"/>
        </w:rPr>
        <w:t>P</w:t>
      </w:r>
      <w:r w:rsidRPr="006F73B6">
        <w:rPr>
          <w:vertAlign w:val="subscript"/>
          <w:lang w:val="en-GB"/>
        </w:rPr>
        <w:t>ts</w:t>
      </w:r>
      <w:r w:rsidRPr="006F73B6">
        <w:rPr>
          <w:lang w:val="en-GB"/>
        </w:rPr>
        <w:t>”.</w:t>
      </w:r>
    </w:p>
    <w:p w:rsidR="00E76B69" w:rsidRDefault="00E76B69" w:rsidP="006F73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B69" w:rsidRPr="009F0036" w:rsidRDefault="00E76B69" w:rsidP="00C249A2">
      <w:pPr>
        <w:pStyle w:val="SingleTxtG"/>
        <w:rPr>
          <w:lang w:val="en-GB"/>
        </w:rPr>
      </w:pPr>
      <w:r w:rsidRPr="006F73B6">
        <w:rPr>
          <w:rFonts w:eastAsia="SimSun"/>
          <w:lang w:val="en-GB"/>
        </w:rPr>
        <w:t xml:space="preserve"> </w:t>
      </w:r>
    </w:p>
    <w:sectPr w:rsidR="00E76B69" w:rsidRPr="009F0036" w:rsidSect="0030620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69" w:rsidRDefault="00E76B69"/>
  </w:endnote>
  <w:endnote w:type="continuationSeparator" w:id="0">
    <w:p w:rsidR="00E76B69" w:rsidRDefault="00E76B69"/>
  </w:endnote>
  <w:endnote w:type="continuationNotice" w:id="1">
    <w:p w:rsidR="00E76B69" w:rsidRDefault="00E76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69" w:rsidRPr="00E762DB" w:rsidRDefault="00E76B69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647454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69" w:rsidRPr="00E762DB" w:rsidRDefault="00E76B69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69" w:rsidRPr="000B175B" w:rsidRDefault="00E76B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6B69" w:rsidRPr="00FC68B7" w:rsidRDefault="00E76B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6B69" w:rsidRDefault="00E76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69" w:rsidRPr="0040519E" w:rsidRDefault="00E76B69" w:rsidP="0040519E">
    <w:pPr>
      <w:pStyle w:val="Header"/>
      <w:rPr>
        <w:szCs w:val="18"/>
      </w:rPr>
    </w:pPr>
    <w:r>
      <w:rPr>
        <w:szCs w:val="18"/>
      </w:rPr>
      <w:t>INF.</w:t>
    </w:r>
    <w:r w:rsidR="00C43404">
      <w:rPr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69" w:rsidRPr="0040519E" w:rsidRDefault="00E76B69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4593EB1"/>
    <w:multiLevelType w:val="hybridMultilevel"/>
    <w:tmpl w:val="13B8C786"/>
    <w:lvl w:ilvl="0" w:tplc="AEA6A9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81A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95B7084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0798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3243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5CF5E1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9552E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6"/>
  </w:num>
  <w:num w:numId="33">
    <w:abstractNumId w:val="10"/>
  </w:num>
  <w:num w:numId="34">
    <w:abstractNumId w:val="22"/>
  </w:num>
  <w:num w:numId="35">
    <w:abstractNumId w:val="14"/>
  </w:num>
  <w:num w:numId="36">
    <w:abstractNumId w:val="11"/>
  </w:num>
  <w:num w:numId="37">
    <w:abstractNumId w:val="23"/>
  </w:num>
  <w:num w:numId="38">
    <w:abstractNumId w:val="15"/>
  </w:num>
  <w:num w:numId="39">
    <w:abstractNumId w:val="19"/>
  </w:num>
  <w:num w:numId="40">
    <w:abstractNumId w:val="17"/>
  </w:num>
  <w:num w:numId="41">
    <w:abstractNumId w:val="21"/>
  </w:num>
  <w:num w:numId="42">
    <w:abstractNumId w:val="20"/>
  </w:num>
  <w:num w:numId="43">
    <w:abstractNumId w:val="13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4E86"/>
    <w:rsid w:val="00046B1F"/>
    <w:rsid w:val="00050F6B"/>
    <w:rsid w:val="00057793"/>
    <w:rsid w:val="00057E97"/>
    <w:rsid w:val="000622F3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52290"/>
    <w:rsid w:val="00252F75"/>
    <w:rsid w:val="0025326C"/>
    <w:rsid w:val="0026060C"/>
    <w:rsid w:val="00267F5F"/>
    <w:rsid w:val="00286B4D"/>
    <w:rsid w:val="002A3C85"/>
    <w:rsid w:val="002A50EA"/>
    <w:rsid w:val="002A603B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2CC4"/>
    <w:rsid w:val="003C3DDB"/>
    <w:rsid w:val="003D18C0"/>
    <w:rsid w:val="003D4B23"/>
    <w:rsid w:val="0040519E"/>
    <w:rsid w:val="00410C89"/>
    <w:rsid w:val="004154CD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61D82"/>
    <w:rsid w:val="0046311B"/>
    <w:rsid w:val="00464C81"/>
    <w:rsid w:val="0047131A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47454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41A3"/>
    <w:rsid w:val="006E5117"/>
    <w:rsid w:val="006E564B"/>
    <w:rsid w:val="006E7191"/>
    <w:rsid w:val="006F73B6"/>
    <w:rsid w:val="00701A34"/>
    <w:rsid w:val="00703577"/>
    <w:rsid w:val="00705894"/>
    <w:rsid w:val="00707CB5"/>
    <w:rsid w:val="007200D4"/>
    <w:rsid w:val="00725D52"/>
    <w:rsid w:val="0072632A"/>
    <w:rsid w:val="007327D5"/>
    <w:rsid w:val="00740AAD"/>
    <w:rsid w:val="007416DF"/>
    <w:rsid w:val="007500F3"/>
    <w:rsid w:val="007611CF"/>
    <w:rsid w:val="00761787"/>
    <w:rsid w:val="00762477"/>
    <w:rsid w:val="007629C8"/>
    <w:rsid w:val="00764668"/>
    <w:rsid w:val="0077047D"/>
    <w:rsid w:val="00774AF7"/>
    <w:rsid w:val="00776430"/>
    <w:rsid w:val="00797575"/>
    <w:rsid w:val="007B27F1"/>
    <w:rsid w:val="007B6BA5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179C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7083"/>
    <w:rsid w:val="00936AE1"/>
    <w:rsid w:val="00940F93"/>
    <w:rsid w:val="0094558F"/>
    <w:rsid w:val="0095387D"/>
    <w:rsid w:val="0095508D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E1D8E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3404"/>
    <w:rsid w:val="00C4527F"/>
    <w:rsid w:val="00C463DD"/>
    <w:rsid w:val="00C467C9"/>
    <w:rsid w:val="00C4724C"/>
    <w:rsid w:val="00C474F9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1FF6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DD1453"/>
    <w:rsid w:val="00E046DF"/>
    <w:rsid w:val="00E04B58"/>
    <w:rsid w:val="00E13B15"/>
    <w:rsid w:val="00E15557"/>
    <w:rsid w:val="00E27346"/>
    <w:rsid w:val="00E277A3"/>
    <w:rsid w:val="00E64224"/>
    <w:rsid w:val="00E71BC8"/>
    <w:rsid w:val="00E7260F"/>
    <w:rsid w:val="00E73F5D"/>
    <w:rsid w:val="00E762DB"/>
    <w:rsid w:val="00E7636C"/>
    <w:rsid w:val="00E76B69"/>
    <w:rsid w:val="00E77E4E"/>
    <w:rsid w:val="00E86622"/>
    <w:rsid w:val="00E868EE"/>
    <w:rsid w:val="00E90287"/>
    <w:rsid w:val="00E9492A"/>
    <w:rsid w:val="00E96630"/>
    <w:rsid w:val="00EA16B6"/>
    <w:rsid w:val="00EB5944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0A9F"/>
    <w:rsid w:val="00FB2C09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2BF1E9"/>
  <w15:docId w15:val="{0419CDC4-5CE0-4624-8969-C6B28D1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1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1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1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1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2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1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1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1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3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rsid w:val="000E2874"/>
    <w:pPr>
      <w:numPr>
        <w:numId w:val="36"/>
      </w:numPr>
    </w:pPr>
  </w:style>
  <w:style w:type="numbering" w:styleId="1ai">
    <w:name w:val="Outline List 1"/>
    <w:basedOn w:val="NoList"/>
    <w:uiPriority w:val="99"/>
    <w:semiHidden/>
    <w:unhideWhenUsed/>
    <w:rsid w:val="000E2874"/>
    <w:pPr>
      <w:numPr>
        <w:numId w:val="35"/>
      </w:numPr>
    </w:pPr>
  </w:style>
  <w:style w:type="numbering" w:styleId="111111">
    <w:name w:val="Outline List 2"/>
    <w:basedOn w:val="NoList"/>
    <w:uiPriority w:val="99"/>
    <w:semiHidden/>
    <w:unhideWhenUsed/>
    <w:rsid w:val="000E287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DBC5-4D87-429C-9A1F-FA1D8AC2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Laurence Berthet</cp:lastModifiedBy>
  <cp:revision>4</cp:revision>
  <cp:lastPrinted>2018-02-08T07:00:00Z</cp:lastPrinted>
  <dcterms:created xsi:type="dcterms:W3CDTF">2018-02-07T14:09:00Z</dcterms:created>
  <dcterms:modified xsi:type="dcterms:W3CDTF">2018-02-08T07:20:00Z</dcterms:modified>
</cp:coreProperties>
</file>