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41B8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41B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41B86" w:rsidRDefault="00941B86" w:rsidP="00941B86">
            <w:pPr>
              <w:jc w:val="right"/>
              <w:rPr>
                <w:lang w:val="en-US"/>
              </w:rPr>
            </w:pPr>
            <w:r w:rsidRPr="00941B86">
              <w:rPr>
                <w:sz w:val="40"/>
                <w:lang w:val="en-US"/>
              </w:rPr>
              <w:t>ECE</w:t>
            </w:r>
            <w:r w:rsidRPr="00941B86">
              <w:rPr>
                <w:lang w:val="en-US"/>
              </w:rPr>
              <w:t>/TRANS/WP.15/AC.1/152/Add.1</w:t>
            </w:r>
          </w:p>
        </w:tc>
      </w:tr>
      <w:tr w:rsidR="002D5AAC" w:rsidRPr="00941B8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41B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41B86" w:rsidRDefault="00941B86" w:rsidP="00941B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October 2018</w:t>
            </w:r>
          </w:p>
          <w:p w:rsidR="00941B86" w:rsidRDefault="00941B86" w:rsidP="00941B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41B86" w:rsidRPr="008D53B6" w:rsidRDefault="00941B86" w:rsidP="00941B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41B8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41B86" w:rsidRPr="002E5799" w:rsidRDefault="00941B86" w:rsidP="00941B86">
      <w:pPr>
        <w:spacing w:before="120"/>
        <w:outlineLvl w:val="0"/>
        <w:rPr>
          <w:sz w:val="28"/>
          <w:szCs w:val="28"/>
        </w:rPr>
      </w:pPr>
      <w:r w:rsidRPr="002E5799">
        <w:rPr>
          <w:sz w:val="28"/>
          <w:szCs w:val="28"/>
        </w:rPr>
        <w:t>Комитет по внутреннему транспорту</w:t>
      </w:r>
    </w:p>
    <w:p w:rsidR="00941B86" w:rsidRPr="002E5799" w:rsidRDefault="00941B86" w:rsidP="00941B86">
      <w:pPr>
        <w:spacing w:before="120"/>
        <w:outlineLvl w:val="0"/>
        <w:rPr>
          <w:b/>
          <w:bCs/>
          <w:sz w:val="24"/>
          <w:szCs w:val="24"/>
        </w:rPr>
      </w:pPr>
      <w:r w:rsidRPr="002E5799">
        <w:rPr>
          <w:b/>
          <w:bCs/>
          <w:sz w:val="24"/>
          <w:szCs w:val="24"/>
        </w:rPr>
        <w:t>Рабочая группа по перевозкам опасных грузов</w:t>
      </w:r>
    </w:p>
    <w:p w:rsidR="00E12C5F" w:rsidRDefault="00941B86" w:rsidP="00941B86">
      <w:pPr>
        <w:spacing w:before="120"/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941B86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:rsidR="00941B86" w:rsidRPr="00D733A9" w:rsidRDefault="00DF7DFE" w:rsidP="00941B86">
      <w:pPr>
        <w:pStyle w:val="HChG"/>
      </w:pPr>
      <w:r>
        <w:rPr>
          <w:bCs/>
        </w:rPr>
        <w:tab/>
      </w:r>
      <w:r>
        <w:rPr>
          <w:bCs/>
        </w:rPr>
        <w:tab/>
      </w:r>
      <w:r w:rsidR="00941B86">
        <w:rPr>
          <w:bCs/>
        </w:rPr>
        <w:t>Доклад Совместного совещания Комиссии экспертов МПОГ и Рабочей группы по перевозкам опасных грузов о работе его осенней сессии 2018 года</w:t>
      </w:r>
      <w:r w:rsidR="00941B86" w:rsidRPr="00DF7DFE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r w:rsidR="00941B86" w:rsidRPr="00D64576">
        <w:rPr>
          <w:b w:val="0"/>
          <w:bCs/>
        </w:rPr>
        <w:t>,</w:t>
      </w:r>
    </w:p>
    <w:p w:rsidR="00941B86" w:rsidRPr="00D733A9" w:rsidRDefault="00941B86" w:rsidP="00941B86">
      <w:pPr>
        <w:pStyle w:val="H56G"/>
      </w:pPr>
      <w:r>
        <w:tab/>
      </w:r>
      <w:r>
        <w:tab/>
        <w:t>состоявшейся в Женеве 17–21 сентября 2018 года</w:t>
      </w:r>
    </w:p>
    <w:p w:rsidR="00941B86" w:rsidRPr="00D733A9" w:rsidRDefault="00941B86" w:rsidP="00941B86">
      <w:pPr>
        <w:pStyle w:val="H23G"/>
      </w:pPr>
      <w:r>
        <w:tab/>
      </w:r>
      <w:r>
        <w:tab/>
      </w:r>
      <w:r>
        <w:rPr>
          <w:bCs/>
        </w:rPr>
        <w:t>Добавление</w:t>
      </w:r>
      <w:r w:rsidRPr="00DF7DFE">
        <w:rPr>
          <w:rStyle w:val="FootnoteReference"/>
          <w:b w:val="0"/>
          <w:vertAlign w:val="baseline"/>
        </w:rPr>
        <w:footnoteReference w:customMarkFollows="1" w:id="2"/>
        <w:t>**</w:t>
      </w:r>
    </w:p>
    <w:p w:rsidR="00941B86" w:rsidRPr="00D733A9" w:rsidRDefault="00941B86" w:rsidP="00941B86">
      <w:pPr>
        <w:pStyle w:val="H1G"/>
      </w:pPr>
      <w:r>
        <w:tab/>
      </w:r>
      <w:r>
        <w:tab/>
      </w:r>
      <w:r>
        <w:rPr>
          <w:bCs/>
        </w:rPr>
        <w:t>Приложение I</w:t>
      </w:r>
    </w:p>
    <w:p w:rsidR="00941B86" w:rsidRPr="00D733A9" w:rsidRDefault="00941B86" w:rsidP="00941B86">
      <w:pPr>
        <w:pStyle w:val="H1G"/>
      </w:pPr>
      <w:r>
        <w:tab/>
      </w:r>
      <w:r>
        <w:tab/>
      </w:r>
      <w:r>
        <w:rPr>
          <w:bCs/>
        </w:rPr>
        <w:t>Доклад Рабочей группы по цистернам</w:t>
      </w:r>
    </w:p>
    <w:p w:rsidR="00941B86" w:rsidRPr="00D733A9" w:rsidRDefault="00941B86" w:rsidP="00941B86">
      <w:pPr>
        <w:pStyle w:val="H56G"/>
        <w:jc w:val="both"/>
      </w:pPr>
      <w:r>
        <w:tab/>
      </w:r>
      <w:r>
        <w:tab/>
        <w:t>1.</w:t>
      </w:r>
      <w:r>
        <w:tab/>
        <w:t>Рабочая группа по цистернам провела свое совещание 17–19 сентября 2018 года в Женеве на основе мандата, предоставленного Совместным совещанием МПОГ/ДОПОГ/ВОПОГ, под председательством г-на Арне Бейла (Соединенное Королевство); обязанности секретаря исполнял г-н К. де Путтер (Нидерланды). Соответствующие документы были представлены на пленарной сессии и переданы на рассмотрение Рабочей группы.</w:t>
      </w:r>
    </w:p>
    <w:p w:rsidR="00941B86" w:rsidRPr="00D733A9" w:rsidRDefault="00941B86" w:rsidP="00941B86">
      <w:pPr>
        <w:pStyle w:val="SingleTxtG"/>
      </w:pPr>
      <w:r>
        <w:t>2.</w:t>
      </w:r>
      <w:r>
        <w:tab/>
        <w:t>Рабочая группа по цистернам, состоящая из 25 экспертов от 12 стран, Европейского союза (включая Европейскую комиссию и Железнодорожное агентство Европейского союза) и 4 неправительственных организаций, рассмотрела следующие официальные и неофициальные документы:</w:t>
      </w:r>
    </w:p>
    <w:p w:rsidR="00941B86" w:rsidRPr="00D733A9" w:rsidRDefault="00941B86" w:rsidP="00941B86">
      <w:pPr>
        <w:pStyle w:val="SingleTxtG"/>
        <w:tabs>
          <w:tab w:val="left" w:pos="2300"/>
        </w:tabs>
        <w:spacing w:after="0"/>
        <w:ind w:left="2829" w:hanging="1695"/>
        <w:jc w:val="left"/>
      </w:pPr>
      <w:r w:rsidRPr="002E5799">
        <w:rPr>
          <w:i/>
          <w:iCs/>
        </w:rPr>
        <w:t>Документы:</w:t>
      </w:r>
      <w:r w:rsidRPr="002E5799">
        <w:rPr>
          <w:i/>
          <w:iCs/>
        </w:rPr>
        <w:tab/>
      </w:r>
      <w:r>
        <w:tab/>
      </w:r>
      <w:r>
        <w:tab/>
      </w:r>
      <w:r>
        <w:tab/>
        <w:t>ECE/TRANS/WP.15/AC.1/2018/27 (Франция)</w:t>
      </w:r>
    </w:p>
    <w:p w:rsidR="00941B86" w:rsidRPr="00941B86" w:rsidRDefault="00941B86" w:rsidP="00941B86">
      <w:pPr>
        <w:pStyle w:val="SingleTxtG"/>
        <w:tabs>
          <w:tab w:val="left" w:pos="2300"/>
        </w:tabs>
        <w:spacing w:after="0"/>
        <w:ind w:left="2829" w:hanging="1695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 w:rsidRPr="00D733A9">
        <w:rPr>
          <w:lang w:val="en-US"/>
        </w:rPr>
        <w:t>ECE/TRANS/WP.15/AC.1/2018/29 (</w:t>
      </w:r>
      <w:r>
        <w:t>Франция</w:t>
      </w:r>
      <w:r w:rsidRPr="00D733A9">
        <w:rPr>
          <w:lang w:val="en-US"/>
        </w:rPr>
        <w:t>)</w:t>
      </w:r>
    </w:p>
    <w:p w:rsidR="00941B86" w:rsidRPr="00B12D75" w:rsidRDefault="00941B86" w:rsidP="00941B86">
      <w:pPr>
        <w:pStyle w:val="SingleTxtG"/>
        <w:tabs>
          <w:tab w:val="left" w:pos="2300"/>
        </w:tabs>
        <w:spacing w:after="0"/>
        <w:ind w:left="2829" w:hanging="1695"/>
        <w:jc w:val="left"/>
        <w:rPr>
          <w:lang w:val="en-US"/>
        </w:rPr>
      </w:pPr>
      <w:r w:rsidRPr="00D733A9">
        <w:rPr>
          <w:lang w:val="en-US"/>
        </w:rPr>
        <w:tab/>
      </w:r>
      <w:r w:rsidRPr="00D733A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733A9">
        <w:rPr>
          <w:lang w:val="en-US"/>
        </w:rPr>
        <w:t>ECE</w:t>
      </w:r>
      <w:r w:rsidRPr="00B12D75">
        <w:rPr>
          <w:lang w:val="en-US"/>
        </w:rPr>
        <w:t>/</w:t>
      </w:r>
      <w:r w:rsidRPr="00D733A9">
        <w:rPr>
          <w:lang w:val="en-US"/>
        </w:rPr>
        <w:t>TRANS</w:t>
      </w:r>
      <w:r w:rsidRPr="00B12D75">
        <w:rPr>
          <w:lang w:val="en-US"/>
        </w:rPr>
        <w:t>/</w:t>
      </w:r>
      <w:r w:rsidRPr="00D733A9">
        <w:rPr>
          <w:lang w:val="en-US"/>
        </w:rPr>
        <w:t>WP</w:t>
      </w:r>
      <w:r w:rsidRPr="00B12D75">
        <w:rPr>
          <w:lang w:val="en-US"/>
        </w:rPr>
        <w:t>.15/</w:t>
      </w:r>
      <w:r w:rsidRPr="00D733A9">
        <w:rPr>
          <w:lang w:val="en-US"/>
        </w:rPr>
        <w:t>AC</w:t>
      </w:r>
      <w:r w:rsidRPr="00B12D75">
        <w:rPr>
          <w:lang w:val="en-US"/>
        </w:rPr>
        <w:t>.1/2018/31 (</w:t>
      </w:r>
      <w:r>
        <w:t>Нидерланды</w:t>
      </w:r>
      <w:r w:rsidRPr="00B12D75">
        <w:rPr>
          <w:lang w:val="en-US"/>
        </w:rPr>
        <w:t xml:space="preserve">) </w:t>
      </w:r>
      <w:r w:rsidRPr="00B12D75">
        <w:rPr>
          <w:lang w:val="en-US"/>
        </w:rPr>
        <w:tab/>
      </w:r>
    </w:p>
    <w:p w:rsidR="00941B86" w:rsidRPr="00B12D75" w:rsidRDefault="00941B86" w:rsidP="00941B86">
      <w:pPr>
        <w:pStyle w:val="SingleTxtG"/>
        <w:tabs>
          <w:tab w:val="left" w:pos="2300"/>
        </w:tabs>
        <w:spacing w:after="0"/>
        <w:ind w:left="2829" w:hanging="1695"/>
        <w:jc w:val="left"/>
        <w:rPr>
          <w:lang w:val="en-US"/>
        </w:rPr>
      </w:pPr>
      <w:r w:rsidRPr="00B12D75">
        <w:rPr>
          <w:lang w:val="en-US"/>
        </w:rPr>
        <w:tab/>
      </w:r>
      <w:r w:rsidRPr="00B12D75">
        <w:rPr>
          <w:lang w:val="en-US"/>
        </w:rPr>
        <w:tab/>
      </w:r>
      <w:r w:rsidRPr="00B12D75">
        <w:rPr>
          <w:lang w:val="en-US"/>
        </w:rPr>
        <w:tab/>
      </w:r>
      <w:r w:rsidRPr="00B12D75">
        <w:rPr>
          <w:lang w:val="en-US"/>
        </w:rPr>
        <w:tab/>
      </w:r>
      <w:r w:rsidRPr="00B12D75">
        <w:rPr>
          <w:lang w:val="en-US"/>
        </w:rPr>
        <w:tab/>
      </w:r>
      <w:r w:rsidRPr="00B12D75">
        <w:rPr>
          <w:lang w:val="en-US"/>
        </w:rPr>
        <w:tab/>
      </w:r>
    </w:p>
    <w:p w:rsidR="00941B86" w:rsidRDefault="00941B86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 w:rsidRPr="002E5799">
        <w:rPr>
          <w:i/>
          <w:iCs/>
        </w:rPr>
        <w:lastRenderedPageBreak/>
        <w:t>Неофициальны</w:t>
      </w:r>
      <w:r>
        <w:rPr>
          <w:i/>
          <w:iCs/>
        </w:rPr>
        <w:t>е</w:t>
      </w:r>
      <w:r w:rsidRPr="002E5799">
        <w:rPr>
          <w:i/>
          <w:iCs/>
        </w:rPr>
        <w:t xml:space="preserve"> документ</w:t>
      </w:r>
      <w:r>
        <w:rPr>
          <w:i/>
          <w:iCs/>
        </w:rPr>
        <w:t>ы</w:t>
      </w:r>
      <w:r w:rsidRPr="002E5799">
        <w:rPr>
          <w:i/>
          <w:iCs/>
        </w:rPr>
        <w:t>:</w:t>
      </w:r>
      <w:r w:rsidR="00DF7DFE">
        <w:tab/>
      </w:r>
      <w:r>
        <w:t>INF.3 (Нидерланды)</w:t>
      </w:r>
    </w:p>
    <w:p w:rsidR="00941B86" w:rsidRPr="00D733A9" w:rsidRDefault="00941B86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 w:rsidRPr="00DF7DFE">
        <w:tab/>
      </w:r>
      <w:r w:rsidR="00DF7DFE">
        <w:tab/>
      </w:r>
      <w:r>
        <w:t xml:space="preserve">INF.7 (МОКЦ) </w:t>
      </w:r>
      <w:r>
        <w:tab/>
      </w:r>
      <w:r>
        <w:tab/>
      </w:r>
    </w:p>
    <w:p w:rsidR="00941B86" w:rsidRPr="00D733A9" w:rsidRDefault="00941B86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 w:rsidR="00DF7DFE">
        <w:tab/>
      </w:r>
      <w:r>
        <w:t xml:space="preserve">INF.9 (Соединенное Королевство) </w:t>
      </w:r>
      <w:r>
        <w:tab/>
        <w:t xml:space="preserve"> </w:t>
      </w:r>
    </w:p>
    <w:p w:rsidR="00941B86" w:rsidRPr="00D733A9" w:rsidRDefault="00941B86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 w:rsidR="00DF7DFE">
        <w:tab/>
      </w:r>
      <w:r>
        <w:t>INF.11 (Швейцария)</w:t>
      </w:r>
      <w:r>
        <w:tab/>
      </w:r>
      <w:r>
        <w:tab/>
      </w:r>
    </w:p>
    <w:p w:rsidR="00941B86" w:rsidRPr="00D733A9" w:rsidRDefault="00DF7DFE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>
        <w:tab/>
      </w:r>
      <w:r w:rsidR="00941B86">
        <w:t>INF.17 (Соединенное Королевство)</w:t>
      </w:r>
    </w:p>
    <w:p w:rsidR="00941B86" w:rsidRPr="00D733A9" w:rsidRDefault="00DF7DFE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>
        <w:tab/>
      </w:r>
      <w:r w:rsidR="00941B86">
        <w:t>INF.18 (Франция)</w:t>
      </w:r>
    </w:p>
    <w:p w:rsidR="00941B86" w:rsidRPr="00D733A9" w:rsidRDefault="00DF7DFE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>
        <w:tab/>
      </w:r>
      <w:r w:rsidR="00941B86">
        <w:t>INF.20 (Польша)</w:t>
      </w:r>
    </w:p>
    <w:p w:rsidR="00941B86" w:rsidRPr="00D733A9" w:rsidRDefault="00DF7DFE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>
        <w:tab/>
      </w:r>
      <w:r w:rsidR="00941B86">
        <w:t>INF.23 (Европейский союз)</w:t>
      </w:r>
    </w:p>
    <w:p w:rsidR="00941B86" w:rsidRPr="00D733A9" w:rsidRDefault="00DF7DFE" w:rsidP="00DF7DFE">
      <w:pPr>
        <w:pStyle w:val="SingleTxtG"/>
        <w:tabs>
          <w:tab w:val="left" w:pos="3686"/>
          <w:tab w:val="left" w:pos="5954"/>
        </w:tabs>
        <w:spacing w:after="0"/>
        <w:ind w:left="2829" w:hanging="1695"/>
        <w:jc w:val="left"/>
      </w:pPr>
      <w:r>
        <w:tab/>
      </w:r>
      <w:r>
        <w:tab/>
      </w:r>
      <w:r w:rsidR="00941B86">
        <w:t>INF.25 (Польша)</w:t>
      </w:r>
      <w:r w:rsidR="00941B86">
        <w:tab/>
      </w:r>
    </w:p>
    <w:p w:rsidR="00941B86" w:rsidRPr="00D733A9" w:rsidRDefault="00941B86" w:rsidP="00941B86">
      <w:pPr>
        <w:pStyle w:val="H23G"/>
      </w:pPr>
      <w:r>
        <w:tab/>
      </w:r>
      <w:r>
        <w:rPr>
          <w:bCs/>
        </w:rPr>
        <w:t>Пункт 1</w:t>
      </w:r>
      <w:r>
        <w:tab/>
      </w:r>
      <w:r>
        <w:rPr>
          <w:bCs/>
        </w:rPr>
        <w:t>Свидетельства о пригодности материалов для изготовления цистерн</w:t>
      </w:r>
    </w:p>
    <w:p w:rsidR="00941B86" w:rsidRPr="00D733A9" w:rsidRDefault="00941B86" w:rsidP="00DF7DFE">
      <w:pPr>
        <w:pStyle w:val="SingleTxtG"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Документ:</w:t>
      </w:r>
      <w:r>
        <w:t xml:space="preserve"> </w:t>
      </w:r>
      <w:r>
        <w:tab/>
      </w:r>
      <w:r w:rsidR="00DF7DFE">
        <w:tab/>
      </w:r>
      <w:r>
        <w:t>ECE/TRANS/WP.15/AC.1/2018/27 (Франция)</w:t>
      </w:r>
    </w:p>
    <w:p w:rsidR="00941B86" w:rsidRPr="00D733A9" w:rsidRDefault="00941B86" w:rsidP="00941B86">
      <w:pPr>
        <w:pStyle w:val="SingleTxtG"/>
      </w:pPr>
      <w:r>
        <w:t>3.</w:t>
      </w:r>
      <w:r>
        <w:tab/>
        <w:t>Предложение Франции направлено на то, чтобы изменить текст пункта 6.8.2.1.8, включив в него требование в отношении свидетельства типа 3.1</w:t>
      </w:r>
      <w:r w:rsidRPr="00B12D75">
        <w:t xml:space="preserve"> </w:t>
      </w:r>
      <w:r>
        <w:t>в соответствии со стандартом EN 10204 для конструкционного материала корпуса.</w:t>
      </w:r>
    </w:p>
    <w:p w:rsidR="00941B86" w:rsidRPr="00D733A9" w:rsidRDefault="00941B86" w:rsidP="00941B86">
      <w:pPr>
        <w:pStyle w:val="SingleTxtG"/>
      </w:pPr>
      <w:r>
        <w:t>4.</w:t>
      </w:r>
      <w:r>
        <w:tab/>
        <w:t>Было отмечено, что, хотя соответствующая ссылка была включена в стандарты на конструкцию цистерн, последний пересмотренный вариант стандарта EN 14025 более не содержит такой ссылки. Данная ссылка была исключена на основании недавно принятых редакционных правил ЕКС. В ходе консультаций с представителем ЕКС были подтверждены упомянутые новые правила и последующее исключение указанной ссылки из других стандартов на конструкцию цистерн во время их пересмотра в будущем. Было отмечено, что ссылку на свидетельство типа 3.1</w:t>
      </w:r>
      <w:r w:rsidRPr="00C45712">
        <w:t xml:space="preserve"> </w:t>
      </w:r>
      <w:r>
        <w:t xml:space="preserve">можно было бы включить в стандарт EN 12972, касающийся проверки и испытания цистерн. </w:t>
      </w:r>
    </w:p>
    <w:p w:rsidR="00941B86" w:rsidRPr="00D733A9" w:rsidRDefault="00941B86" w:rsidP="00941B86">
      <w:pPr>
        <w:pStyle w:val="SingleTxtG"/>
      </w:pPr>
      <w:r>
        <w:t>5.</w:t>
      </w:r>
      <w:r>
        <w:tab/>
        <w:t>Было решено, что ссылку на свидетельство типа 3.1 наиболее целесообразно включить в стандарт на испытания, а не в пункт 6.8.2.1.8. Было высказано мнение, что тем временем Рабочей группе по стандартам следует добавить в колонку 2 таблицы в пункте 6.8.2.6.1 в варианте МПОГ/ДОПОГ 2021 года</w:t>
      </w:r>
      <w:r w:rsidRPr="00C45712">
        <w:t xml:space="preserve"> </w:t>
      </w:r>
      <w:r>
        <w:t>следующее примечание</w:t>
      </w:r>
      <w:r w:rsidRPr="00C45712">
        <w:t xml:space="preserve"> </w:t>
      </w:r>
      <w:r>
        <w:t>для стандарта EN 14025:2018: «Пригодность материалов для изготовления корпусов должна быть подтверждена, по крайней мере, на основе свидетельства типа 3.1, выданного в соответствии со стандартом EN 10204.».</w:t>
      </w:r>
    </w:p>
    <w:p w:rsidR="00941B86" w:rsidRPr="00D733A9" w:rsidRDefault="00941B86" w:rsidP="00941B86">
      <w:pPr>
        <w:pStyle w:val="H23G"/>
      </w:pPr>
      <w:r>
        <w:tab/>
      </w:r>
      <w:r>
        <w:rPr>
          <w:bCs/>
        </w:rPr>
        <w:t>Пункт 2</w:t>
      </w:r>
      <w:r>
        <w:tab/>
      </w:r>
      <w:r>
        <w:rPr>
          <w:bCs/>
        </w:rPr>
        <w:t>Поправки, касающиеся стандартов на цистерны</w:t>
      </w:r>
    </w:p>
    <w:p w:rsidR="00941B86" w:rsidRPr="00D733A9" w:rsidRDefault="00941B86" w:rsidP="001F4C89">
      <w:pPr>
        <w:pStyle w:val="SingleTxtG"/>
        <w:tabs>
          <w:tab w:val="left" w:pos="3686"/>
          <w:tab w:val="left" w:pos="5954"/>
        </w:tabs>
        <w:ind w:left="2829" w:hanging="1695"/>
        <w:jc w:val="left"/>
      </w:pPr>
      <w:r w:rsidRPr="002E5799">
        <w:rPr>
          <w:i/>
          <w:iCs/>
        </w:rPr>
        <w:t>Документ:</w:t>
      </w:r>
      <w:r>
        <w:t xml:space="preserve"> </w:t>
      </w:r>
      <w:r w:rsidR="001F4C89">
        <w:tab/>
      </w:r>
      <w:r>
        <w:tab/>
        <w:t>ECE/TRANS/WP.15/AC.1/2018/29 (Франция)</w:t>
      </w:r>
    </w:p>
    <w:p w:rsidR="00941B86" w:rsidRPr="00D733A9" w:rsidRDefault="00941B86" w:rsidP="00941B86">
      <w:pPr>
        <w:ind w:left="1134" w:right="1134"/>
        <w:jc w:val="both"/>
      </w:pPr>
      <w:r>
        <w:t>6.</w:t>
      </w:r>
      <w:r>
        <w:tab/>
        <w:t>После обсуждения на пленарном заседании было решено, что включить ссылку на стандарт EN 12972:2018 практически невозможно до выпуска издания МПОГ/ДОПОГ 2021 года. Поскольку ссылка на издание 2007 года более не соответствует изменениям в правилах, было высказано мнение, что следует опубликовать на веб-сайтах ЕЭК ООН и ОТИФ</w:t>
      </w:r>
      <w:r w:rsidRPr="0076618D">
        <w:t xml:space="preserve"> </w:t>
      </w:r>
      <w:r>
        <w:t>руководящие указания, настоятельно призвав компетентные органы договаривающихся государств/договаривающихся сторон как можно скорее утвердить использование стандарта EN 12972:2018 в соответствии с подразделом 6.8.2.7. Рабочей группе по цистернам было предложено подготовить проект руководящих указаний.</w:t>
      </w:r>
    </w:p>
    <w:p w:rsidR="00941B86" w:rsidRPr="00D733A9" w:rsidRDefault="00941B86" w:rsidP="00941B86">
      <w:pPr>
        <w:pStyle w:val="H23G"/>
      </w:pPr>
      <w:r>
        <w:tab/>
      </w:r>
      <w:r>
        <w:tab/>
      </w:r>
      <w:r>
        <w:rPr>
          <w:bCs/>
        </w:rPr>
        <w:t>Предложение 1</w:t>
      </w:r>
    </w:p>
    <w:p w:rsidR="00941B86" w:rsidRPr="00D733A9" w:rsidRDefault="00941B86" w:rsidP="00941B86">
      <w:pPr>
        <w:pStyle w:val="SingleTxtG"/>
      </w:pPr>
      <w:r>
        <w:t>Опубликовать на веб-сайтах ОТИФ и ЕЭК ООН новые руководящие указания следующего содержания:</w:t>
      </w:r>
    </w:p>
    <w:p w:rsidR="00941B86" w:rsidRPr="002E5799" w:rsidRDefault="00941B86" w:rsidP="00941B86">
      <w:pPr>
        <w:pStyle w:val="NormalWeb"/>
        <w:ind w:left="1134" w:right="1134"/>
        <w:jc w:val="both"/>
        <w:rPr>
          <w:i/>
          <w:sz w:val="20"/>
          <w:szCs w:val="20"/>
          <w:lang w:val="ru-RU"/>
        </w:rPr>
      </w:pPr>
      <w:r w:rsidRPr="00E34F0E">
        <w:rPr>
          <w:bCs/>
          <w:iCs/>
          <w:sz w:val="20"/>
          <w:szCs w:val="20"/>
          <w:lang w:val="ru-RU"/>
        </w:rPr>
        <w:t>«</w:t>
      </w:r>
      <w:r w:rsidRPr="002E5799">
        <w:rPr>
          <w:b/>
          <w:bCs/>
          <w:i/>
          <w:iCs/>
          <w:sz w:val="20"/>
          <w:szCs w:val="20"/>
          <w:lang w:val="ru-RU"/>
        </w:rPr>
        <w:t>Руководящие указания по применению стандарта EN 12972 (Цистерны для перевозки опасных грузов – Испытания, проверка и маркировка металлических цистерн) для обеспечения соблюдения требований МПОГ/ДОПОГ</w:t>
      </w:r>
      <w:r w:rsidRPr="002E5799">
        <w:rPr>
          <w:sz w:val="20"/>
          <w:szCs w:val="20"/>
          <w:lang w:val="ru-RU"/>
        </w:rPr>
        <w:t xml:space="preserve"> </w:t>
      </w:r>
    </w:p>
    <w:p w:rsidR="00941B86" w:rsidRPr="002E5799" w:rsidRDefault="00941B86" w:rsidP="00941B86">
      <w:pPr>
        <w:pStyle w:val="NormalWeb"/>
        <w:ind w:left="1134" w:right="1134" w:firstLine="567"/>
        <w:jc w:val="both"/>
        <w:rPr>
          <w:i/>
          <w:sz w:val="20"/>
          <w:szCs w:val="20"/>
          <w:lang w:val="ru-RU"/>
        </w:rPr>
      </w:pPr>
      <w:r w:rsidRPr="002E5799">
        <w:rPr>
          <w:i/>
          <w:iCs/>
          <w:sz w:val="20"/>
          <w:szCs w:val="20"/>
          <w:lang w:val="ru-RU"/>
        </w:rPr>
        <w:t>В целях соблюдения требований МПОГ/ДОПОГ стандарт EN 12972:2007, на который сделана ссылка в пункте 6.8.2.6.2 МПОГ/ДОПОГ, необходимо применять вместе с требованиями МПОГ/ДОПОГ</w:t>
      </w:r>
      <w:r>
        <w:rPr>
          <w:i/>
          <w:iCs/>
          <w:sz w:val="20"/>
          <w:szCs w:val="20"/>
          <w:lang w:val="ru-RU"/>
        </w:rPr>
        <w:t xml:space="preserve"> в соответствии с </w:t>
      </w:r>
      <w:r w:rsidRPr="002E5799">
        <w:rPr>
          <w:i/>
          <w:iCs/>
          <w:sz w:val="20"/>
          <w:szCs w:val="20"/>
          <w:lang w:val="ru-RU"/>
        </w:rPr>
        <w:t>раздел</w:t>
      </w:r>
      <w:r>
        <w:rPr>
          <w:i/>
          <w:iCs/>
          <w:sz w:val="20"/>
          <w:szCs w:val="20"/>
          <w:lang w:val="ru-RU"/>
        </w:rPr>
        <w:t xml:space="preserve">ом </w:t>
      </w:r>
      <w:r w:rsidRPr="002E5799">
        <w:rPr>
          <w:i/>
          <w:iCs/>
          <w:sz w:val="20"/>
          <w:szCs w:val="20"/>
          <w:lang w:val="ru-RU"/>
        </w:rPr>
        <w:t>1.1.5.</w:t>
      </w:r>
    </w:p>
    <w:p w:rsidR="00941B86" w:rsidRPr="002E5799" w:rsidRDefault="00941B86" w:rsidP="00941B86">
      <w:pPr>
        <w:pStyle w:val="NormalWeb"/>
        <w:ind w:left="1134" w:right="1134" w:firstLine="567"/>
        <w:jc w:val="both"/>
        <w:rPr>
          <w:i/>
          <w:sz w:val="20"/>
          <w:szCs w:val="20"/>
          <w:lang w:val="ru-RU"/>
        </w:rPr>
      </w:pPr>
      <w:r w:rsidRPr="002E5799">
        <w:rPr>
          <w:i/>
          <w:iCs/>
          <w:sz w:val="20"/>
          <w:szCs w:val="20"/>
          <w:lang w:val="ru-RU"/>
        </w:rPr>
        <w:t>Стандарт EN 12972:2018 был опубликован, и было решено, что с</w:t>
      </w:r>
      <w:r>
        <w:rPr>
          <w:i/>
          <w:iCs/>
          <w:sz w:val="20"/>
          <w:szCs w:val="20"/>
          <w:lang w:val="ru-RU"/>
        </w:rPr>
        <w:t>сылка на данный стандарт будет включена</w:t>
      </w:r>
      <w:r w:rsidRPr="002E5799">
        <w:rPr>
          <w:i/>
          <w:iCs/>
          <w:sz w:val="20"/>
          <w:szCs w:val="20"/>
          <w:lang w:val="ru-RU"/>
        </w:rPr>
        <w:t xml:space="preserve"> в издани</w:t>
      </w:r>
      <w:r>
        <w:rPr>
          <w:i/>
          <w:iCs/>
          <w:sz w:val="20"/>
          <w:szCs w:val="20"/>
          <w:lang w:val="ru-RU"/>
        </w:rPr>
        <w:t>е</w:t>
      </w:r>
      <w:r w:rsidRPr="002E5799">
        <w:rPr>
          <w:i/>
          <w:iCs/>
          <w:sz w:val="20"/>
          <w:szCs w:val="20"/>
          <w:lang w:val="ru-RU"/>
        </w:rPr>
        <w:t xml:space="preserve"> МПОГ/ДОПОГ 2021 года.</w:t>
      </w:r>
    </w:p>
    <w:p w:rsidR="00941B86" w:rsidRPr="002E5799" w:rsidRDefault="00941B86" w:rsidP="00941B86">
      <w:pPr>
        <w:pStyle w:val="NormalWeb"/>
        <w:ind w:left="1134" w:right="1134" w:firstLine="567"/>
        <w:jc w:val="both"/>
        <w:rPr>
          <w:i/>
          <w:sz w:val="20"/>
          <w:szCs w:val="20"/>
          <w:lang w:val="ru-RU"/>
        </w:rPr>
      </w:pPr>
      <w:r w:rsidRPr="002E5799">
        <w:rPr>
          <w:i/>
          <w:iCs/>
          <w:sz w:val="20"/>
          <w:szCs w:val="20"/>
          <w:lang w:val="ru-RU"/>
        </w:rPr>
        <w:t>В целях содействия соблюдению и последовательному применению издания МП</w:t>
      </w:r>
      <w:r>
        <w:rPr>
          <w:i/>
          <w:iCs/>
          <w:sz w:val="20"/>
          <w:szCs w:val="20"/>
          <w:lang w:val="ru-RU"/>
        </w:rPr>
        <w:t xml:space="preserve">ОГ/ДОПОГ 2019 года компетентным </w:t>
      </w:r>
      <w:r w:rsidRPr="002E5799">
        <w:rPr>
          <w:i/>
          <w:iCs/>
          <w:sz w:val="20"/>
          <w:szCs w:val="20"/>
          <w:lang w:val="ru-RU"/>
        </w:rPr>
        <w:t>органам предлагается утвердить использование стандарта EN 12972:2018 для испытаний и проверки цистерн в соответствии с подразделом 6.8.2.7 МПОГ/ДОПОГ как можно скорее, но не позднее 1 января 2020 года.</w:t>
      </w:r>
      <w:r w:rsidRPr="00E34F0E">
        <w:rPr>
          <w:iCs/>
          <w:sz w:val="20"/>
          <w:szCs w:val="20"/>
          <w:lang w:val="ru-RU"/>
        </w:rPr>
        <w:t>».</w:t>
      </w:r>
    </w:p>
    <w:p w:rsidR="00941B86" w:rsidRPr="00D733A9" w:rsidRDefault="00941B86" w:rsidP="00941B86">
      <w:pPr>
        <w:pStyle w:val="H23G"/>
      </w:pPr>
      <w:r>
        <w:tab/>
      </w:r>
      <w:r>
        <w:rPr>
          <w:bCs/>
        </w:rPr>
        <w:t>Пункт 3</w:t>
      </w:r>
      <w:r>
        <w:tab/>
      </w:r>
      <w:r>
        <w:rPr>
          <w:bCs/>
        </w:rPr>
        <w:t>Цистерны из армированных волокном пластмасс (волокнита) – кодирование цистерн</w:t>
      </w:r>
    </w:p>
    <w:p w:rsidR="00941B86" w:rsidRPr="00D733A9" w:rsidRDefault="00941B86" w:rsidP="001F4C89">
      <w:pPr>
        <w:pStyle w:val="SingleTxtG"/>
        <w:tabs>
          <w:tab w:val="left" w:pos="3686"/>
          <w:tab w:val="left" w:pos="5954"/>
        </w:tabs>
        <w:ind w:left="2829" w:hanging="1695"/>
        <w:jc w:val="left"/>
      </w:pPr>
      <w:r w:rsidRPr="002E5799">
        <w:rPr>
          <w:i/>
          <w:iCs/>
        </w:rPr>
        <w:t>Документ:</w:t>
      </w:r>
      <w:r>
        <w:t xml:space="preserve"> </w:t>
      </w:r>
      <w:r>
        <w:tab/>
      </w:r>
      <w:r w:rsidR="001F4C89">
        <w:tab/>
      </w:r>
      <w:r>
        <w:t>ECE/TRANS/WP.15/AC.1/2018/31 (Нидерланды)</w:t>
      </w:r>
    </w:p>
    <w:p w:rsidR="00941B86" w:rsidRPr="005F237D" w:rsidRDefault="00941B86" w:rsidP="00941B86">
      <w:pPr>
        <w:spacing w:before="120" w:after="120"/>
        <w:ind w:left="1134" w:right="1134"/>
        <w:jc w:val="both"/>
      </w:pPr>
      <w:r>
        <w:t>7.</w:t>
      </w:r>
      <w:r>
        <w:tab/>
        <w:t>С учетом критериев для конструкции цистерн из волокнита и критериев отбора веществ, разрешенных к перевозке в таких цистернах, вещества с расчетным давлением до 4 бар могут перевозиться в цистернах из волокнита, имеющих меньшее расчетное давление. Раздел 6.9.6 МПОГ/ДОПОГ предписывает, что на съемные цистерны и контейнеры-цистерны должен наносить</w:t>
      </w:r>
      <w:r w:rsidR="001F4C89">
        <w:t>ся код цистерны согласно пункту </w:t>
      </w:r>
      <w:r>
        <w:t>6.8.2.5.2. На осенней сессии 2017 года Рабочей группы по цистернам было решено, что</w:t>
      </w:r>
      <w:r w:rsidRPr="0076008A">
        <w:t xml:space="preserve"> </w:t>
      </w:r>
      <w:r>
        <w:t>наилучшим</w:t>
      </w:r>
      <w:r w:rsidRPr="00FA65A7">
        <w:t xml:space="preserve"> </w:t>
      </w:r>
      <w:r>
        <w:t xml:space="preserve">решением, которое поможет ответственному за наполнение, будет код цистерны, в котором будет указано расчетное давление перевозимого вещества, а не расчетное давление цистерны. </w:t>
      </w:r>
    </w:p>
    <w:p w:rsidR="00941B86" w:rsidRPr="005F237D" w:rsidRDefault="00941B86" w:rsidP="00941B86">
      <w:pPr>
        <w:ind w:left="1134" w:right="1134"/>
        <w:jc w:val="both"/>
      </w:pPr>
      <w:r>
        <w:t>8.</w:t>
      </w:r>
      <w:r>
        <w:tab/>
        <w:t xml:space="preserve">Хотя было установлено, что лишь ограниченное число стран столкнулись с проблемами в связи с различными величинами расчетного давления в кодах цистерн, большинство экспертов поддержали принципы, сформулированные во внесенных предложениях. Рабочая группа сочла, что предложение 2, содержащееся в данном документе, является излишним, и постановила исключить его. Предложения 1 и 3 были приняты с некоторыми редакционными поправками. </w:t>
      </w:r>
    </w:p>
    <w:p w:rsidR="00941B86" w:rsidRPr="005F237D" w:rsidRDefault="00941B86" w:rsidP="00941B86">
      <w:pPr>
        <w:pStyle w:val="H23G"/>
      </w:pPr>
      <w:r>
        <w:tab/>
      </w:r>
      <w:r>
        <w:tab/>
      </w:r>
      <w:r>
        <w:rPr>
          <w:bCs/>
        </w:rPr>
        <w:t>Предложение 2</w:t>
      </w:r>
      <w:r>
        <w:tab/>
      </w:r>
    </w:p>
    <w:p w:rsidR="00941B86" w:rsidRPr="005F237D" w:rsidRDefault="00941B86" w:rsidP="00941B86">
      <w:pPr>
        <w:pStyle w:val="SingleTxtG"/>
      </w:pPr>
      <w:r>
        <w:t xml:space="preserve">В пункт 6.9.6.1 включить новый третий подпункт следующего содержания (новый текст напечатан </w:t>
      </w:r>
      <w:r w:rsidRPr="004E127D">
        <w:t>курсивом</w:t>
      </w:r>
      <w:r>
        <w:t>):</w:t>
      </w:r>
    </w:p>
    <w:p w:rsidR="00CE14D1" w:rsidRDefault="00941B86" w:rsidP="00CE14D1">
      <w:pPr>
        <w:pStyle w:val="SingleTxtG"/>
      </w:pPr>
      <w:r>
        <w:t>«6.9.6.1</w:t>
      </w:r>
      <w:r>
        <w:tab/>
        <w:t xml:space="preserve">Требования подраздела 6.8.2.5 применяются к маркировке цистерн из волокнита со следующими изменениями: </w:t>
      </w:r>
      <w:r>
        <w:tab/>
      </w:r>
    </w:p>
    <w:p w:rsidR="00941B86" w:rsidRPr="005F237D" w:rsidRDefault="001F4C89" w:rsidP="00CE14D1">
      <w:pPr>
        <w:pStyle w:val="SingleTxtG"/>
        <w:tabs>
          <w:tab w:val="left" w:pos="2552"/>
        </w:tabs>
        <w:ind w:left="2552" w:hanging="284"/>
      </w:pPr>
      <w:r w:rsidRPr="001F4C89">
        <w:t>–</w:t>
      </w:r>
      <w:r w:rsidRPr="001F4C89">
        <w:tab/>
      </w:r>
      <w:r w:rsidR="00941B86">
        <w:t>табличка, прикрепляемая к цистерне, может быть также припрессована к корпусу или выполнена из подходящего пластмассового материала;</w:t>
      </w:r>
    </w:p>
    <w:p w:rsidR="00941B86" w:rsidRPr="005F237D" w:rsidRDefault="00CE14D1" w:rsidP="00CE14D1">
      <w:pPr>
        <w:pStyle w:val="SingleTxtG"/>
        <w:tabs>
          <w:tab w:val="left" w:pos="2552"/>
        </w:tabs>
        <w:ind w:left="2552" w:hanging="284"/>
      </w:pPr>
      <w:r w:rsidRPr="00CE14D1">
        <w:t>–</w:t>
      </w:r>
      <w:r>
        <w:tab/>
      </w:r>
      <w:r w:rsidR="00941B86">
        <w:t>всегда должен указываться расчетный температурный интервал;</w:t>
      </w:r>
    </w:p>
    <w:p w:rsidR="00941B86" w:rsidRPr="005F237D" w:rsidRDefault="00CE14D1" w:rsidP="00CE14D1">
      <w:pPr>
        <w:pStyle w:val="SingleTxtG"/>
        <w:tabs>
          <w:tab w:val="left" w:pos="2552"/>
        </w:tabs>
        <w:ind w:left="2552" w:hanging="284"/>
        <w:rPr>
          <w:i/>
        </w:rPr>
      </w:pPr>
      <w:r w:rsidRPr="00CE14D1">
        <w:rPr>
          <w:i/>
          <w:iCs/>
        </w:rPr>
        <w:t>–</w:t>
      </w:r>
      <w:r>
        <w:rPr>
          <w:i/>
          <w:iCs/>
        </w:rPr>
        <w:tab/>
      </w:r>
      <w:r w:rsidR="00941B86">
        <w:rPr>
          <w:i/>
          <w:iCs/>
        </w:rPr>
        <w:t>во второй части кода цистерны, если код цистерны применим согласно пункту 6.8.2.5.2, должно указываться наибольшее значение расчетного давления вещества (веществ), разрешенного(ых) к перевозке на основании свидетельства об официальном утверждении типа.</w:t>
      </w:r>
      <w:r w:rsidR="00941B86" w:rsidRPr="0076008A">
        <w:t>».</w:t>
      </w:r>
    </w:p>
    <w:p w:rsidR="00941B86" w:rsidRPr="005F237D" w:rsidRDefault="00941B86" w:rsidP="00941B86">
      <w:pPr>
        <w:pStyle w:val="H23G"/>
      </w:pPr>
      <w:r>
        <w:tab/>
      </w:r>
      <w:r>
        <w:tab/>
      </w:r>
      <w:r>
        <w:rPr>
          <w:bCs/>
        </w:rPr>
        <w:t>Предложение 3</w:t>
      </w:r>
    </w:p>
    <w:p w:rsidR="00941B86" w:rsidRPr="003C0E55" w:rsidRDefault="00941B86" w:rsidP="00941B86">
      <w:pPr>
        <w:pStyle w:val="SingleTxtG"/>
      </w:pPr>
      <w:r>
        <w:t>Включить в качестве пунктов 1.6.4.yy (МПОГ) и 1.6.3.xx (ДОПОГ)</w:t>
      </w:r>
      <w:r w:rsidRPr="0076008A">
        <w:t xml:space="preserve"> </w:t>
      </w:r>
      <w:r>
        <w:t>новую переходную меру следующего содержания (новый текст напечатан курсивом):</w:t>
      </w:r>
    </w:p>
    <w:p w:rsidR="00941B86" w:rsidRPr="005F237D" w:rsidRDefault="00941B86" w:rsidP="00941B86">
      <w:pPr>
        <w:ind w:left="1134" w:right="1134" w:hanging="69"/>
        <w:jc w:val="both"/>
        <w:rPr>
          <w:i/>
        </w:rPr>
      </w:pPr>
      <w:r w:rsidRPr="004E127D">
        <w:t>«</w:t>
      </w:r>
      <w:r>
        <w:rPr>
          <w:i/>
          <w:iCs/>
        </w:rPr>
        <w:t>1.6.4.yy/1.6.3.xx</w:t>
      </w:r>
      <w:r>
        <w:tab/>
      </w:r>
      <w:r>
        <w:rPr>
          <w:i/>
          <w:iCs/>
        </w:rPr>
        <w:t xml:space="preserve">Цистерны из армированных волокном пластмасс (волокнита), изготовленные до 1 июля 2021 года в соответствии с требованиями, действующими до 31 декабря 2020 года, но не отвечающие требованиям пункта 6.9.6.1 в отношении нанесения кода цистерны, применяемым с 1 января 2021 года, могут по-прежнему маркироваться в соответствии с требованиями, </w:t>
      </w:r>
      <w:r w:rsidR="00CE14D1">
        <w:rPr>
          <w:i/>
          <w:iCs/>
        </w:rPr>
        <w:t>применяемыми до 31 декабря 2020 </w:t>
      </w:r>
      <w:r>
        <w:rPr>
          <w:i/>
          <w:iCs/>
        </w:rPr>
        <w:t>года, до следующей периодической проверки после 1 июля 2021 года.</w:t>
      </w:r>
      <w:r w:rsidRPr="004E127D">
        <w:t>»</w:t>
      </w:r>
      <w:r>
        <w:rPr>
          <w:i/>
          <w:iCs/>
        </w:rPr>
        <w:t>.</w:t>
      </w:r>
    </w:p>
    <w:p w:rsidR="00941B86" w:rsidRPr="005F237D" w:rsidRDefault="00941B86" w:rsidP="00CE14D1">
      <w:pPr>
        <w:pStyle w:val="H23G"/>
      </w:pPr>
      <w:r>
        <w:tab/>
      </w:r>
      <w:r>
        <w:rPr>
          <w:bCs/>
        </w:rPr>
        <w:t>Пункт 4</w:t>
      </w:r>
      <w:r>
        <w:tab/>
      </w:r>
      <w:r>
        <w:rPr>
          <w:bCs/>
        </w:rPr>
        <w:t>Презентация продукта для смягчения волнового удара жидкости</w:t>
      </w:r>
    </w:p>
    <w:p w:rsidR="00941B86" w:rsidRPr="005F237D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 w:rsidRPr="002B6F27">
        <w:rPr>
          <w:i/>
          <w:iCs/>
        </w:rPr>
        <w:t>Неофициальный документ:</w:t>
      </w:r>
      <w:r w:rsidR="001F4C89">
        <w:rPr>
          <w:i/>
          <w:iCs/>
        </w:rPr>
        <w:tab/>
      </w:r>
      <w:r>
        <w:t>INF.3 (Нидерланды)</w:t>
      </w:r>
    </w:p>
    <w:p w:rsidR="00941B86" w:rsidRPr="005F237D" w:rsidRDefault="00941B86" w:rsidP="00CE14D1">
      <w:pPr>
        <w:keepNext/>
        <w:keepLines/>
        <w:spacing w:before="120" w:after="120"/>
        <w:ind w:left="1134" w:right="1134"/>
        <w:jc w:val="both"/>
      </w:pPr>
      <w:r>
        <w:t>9.</w:t>
      </w:r>
      <w:r>
        <w:tab/>
        <w:t>В рамках презентации объяснялось, что кинетическая энергия, накопленная жидкостью в цистерне при ускорении, должна поглощаться при торможении автоцистерны. Как правило, при замедлении жидкость продолжает перемещаться до удара о переднюю частью (стенку) цистерны или секции, создавая тем самым импульс и волны, которые двигаются от передней стенки к задней и в обратном направлении до тех пор, пока кинетическая энергия не будет поглощена внутренним трением в веществах. Уменьшение вместимости отсеков цистерны и объема вещества, которым они заполняются, ограничивает формирование импульса, и волноуспокоители помогают поглощать кинетическую энергию вещества во время замедления. Исследование привело к разработке системы, состоящей из подушки с газом под давлением, которая помещается поверх жидкости внутри цистерны, предотвращая тем самым перемещение вещества, в то время как кинетическая энергия поглощается тормозами транспортного средства в качестве альтернативы ограничению вместимости отсеков цистерны и объема помещенных в них веществ. Благодаря ликвидации импульса повышается устойчивость транспортного средства. Данная система, как утверждается, позволяет ликвидировать импульс, создаваемый жидкостью, и предотвращает боковой занос при повороте, снижая риск опрокидывания.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10.</w:t>
      </w:r>
      <w:r>
        <w:tab/>
        <w:t>С презентацией выступил г-н Энкорн (Нидерланды), который провел данное исследование и разработал систему стабилизирующих подушек. Был поднят и обсужден ряд вопросов, касающихся, например, очистки, степени наполнения, непроницаемости и химической стойкости материала, срока службы материала, опасности при пожаре, сброса давления и проверок. Доклад о результатах исследования, содержащий более подробную информацию, был распространен среди участников Рабочей группы для дальнейшего рассмотрения.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11.</w:t>
      </w:r>
      <w:r>
        <w:tab/>
        <w:t xml:space="preserve">Было указано, что речь идет о новой, инновационной технологии, которая способна повысить безопасность перевозок и может быть использована в других областях, не относящихся к перевозке опасных грузов. Помимо возможности повышения безопасности, эта система может также иметь экономические и экологические преимущества. Было высказано мнение о том, что конкретные вопросы, касающиеся перевозки опасных грузов, должны быть рассмотрены более подробно. </w:t>
      </w:r>
    </w:p>
    <w:p w:rsidR="00941B86" w:rsidRPr="000B3A9C" w:rsidRDefault="00941B86" w:rsidP="00941B86">
      <w:pPr>
        <w:pStyle w:val="H23G"/>
      </w:pPr>
      <w:r>
        <w:tab/>
      </w:r>
      <w:r>
        <w:rPr>
          <w:bCs/>
        </w:rPr>
        <w:t>Пункт 5</w:t>
      </w:r>
      <w:r>
        <w:tab/>
      </w:r>
      <w:r>
        <w:rPr>
          <w:bCs/>
        </w:rPr>
        <w:t>Поправка к разделу 1.2.1 – Определения</w:t>
      </w:r>
    </w:p>
    <w:p w:rsidR="00941B86" w:rsidRPr="000B3A9C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Неофициальный документ:</w:t>
      </w:r>
      <w:r>
        <w:t xml:space="preserve"> </w:t>
      </w:r>
      <w:r w:rsidR="00CE14D1">
        <w:tab/>
      </w:r>
      <w:r>
        <w:t>INF.7 (МОКЦ)</w:t>
      </w:r>
    </w:p>
    <w:p w:rsidR="00941B86" w:rsidRPr="000B3A9C" w:rsidRDefault="00941B86" w:rsidP="00941B86">
      <w:pPr>
        <w:keepNext/>
        <w:keepLines/>
        <w:suppressAutoHyphens w:val="0"/>
        <w:spacing w:before="60" w:after="120" w:line="240" w:lineRule="auto"/>
        <w:ind w:left="1134" w:right="1134"/>
        <w:jc w:val="both"/>
      </w:pPr>
      <w:r>
        <w:t>12.</w:t>
      </w:r>
      <w:r>
        <w:tab/>
        <w:t xml:space="preserve">Контейнеры-цистерны и переносные цистерны во многих случаях принадлежат тем инвестиционным компаниям, которые зарегистрировали цистерну. Цистерны сдаются внаем или в аренду оператору, который использует их. Определение термина оператора контейнера-цистерны/переносной цистерны гласит, что таким оператором является любое предприятие, на имя которого зарегистрирована цистерна. Однако большинство контейнеров-цистерн/переносных цистерн зарегистрированы собственником, а не оператором. Это может вызвать недопонимание со стороны правоохранительных органов, которые обязаны обращаться к ответственной стороне. </w:t>
      </w:r>
    </w:p>
    <w:p w:rsidR="00941B86" w:rsidRPr="000B3A9C" w:rsidRDefault="00941B86" w:rsidP="00941B86">
      <w:pPr>
        <w:pStyle w:val="SingleTxtG"/>
        <w:widowControl w:val="0"/>
      </w:pPr>
      <w:r>
        <w:t>13.</w:t>
      </w:r>
      <w:r>
        <w:tab/>
        <w:t xml:space="preserve">Было отмечено, что правила не налагают каких-либо конкретных обязательств на собственника и что введение определения «собственника контейнера-цистерны/переносной цистерны» не принесет какой-либо дополнительной пользы. Предлагаемая поправка к определению термина «Оператор контейнера-цистерны/переносной цистерны» была принята в следующей редакции (новый текст </w:t>
      </w:r>
      <w:r w:rsidRPr="001D61E7">
        <w:rPr>
          <w:u w:val="single"/>
        </w:rPr>
        <w:t>подчеркнут</w:t>
      </w:r>
      <w:r>
        <w:t xml:space="preserve">, исключенный текст </w:t>
      </w:r>
      <w:r w:rsidRPr="001D61E7">
        <w:rPr>
          <w:strike/>
        </w:rPr>
        <w:t>зачеркнут</w:t>
      </w:r>
      <w:r>
        <w:t>):</w:t>
      </w:r>
    </w:p>
    <w:p w:rsidR="00941B86" w:rsidRPr="000B3A9C" w:rsidRDefault="00941B86" w:rsidP="00941B86">
      <w:pPr>
        <w:pStyle w:val="SingleTxtG"/>
        <w:numPr>
          <w:ilvl w:val="0"/>
          <w:numId w:val="24"/>
        </w:numPr>
        <w:ind w:left="1701" w:hanging="141"/>
        <w:rPr>
          <w:i/>
        </w:rPr>
      </w:pPr>
      <w:r>
        <w:t>«</w:t>
      </w:r>
      <w:r>
        <w:rPr>
          <w:i/>
          <w:iCs/>
        </w:rPr>
        <w:t xml:space="preserve">"Оператор контейнера-цистерны/переносной цистерны" означает любое предприятие, </w:t>
      </w:r>
      <w:r>
        <w:rPr>
          <w:i/>
          <w:iCs/>
          <w:u w:val="single"/>
        </w:rPr>
        <w:t>от имени которого используется и эксплуатируется</w:t>
      </w:r>
      <w:r>
        <w:rPr>
          <w:i/>
          <w:iCs/>
        </w:rPr>
        <w:t xml:space="preserve"> </w:t>
      </w:r>
      <w:r w:rsidRPr="001D61E7">
        <w:rPr>
          <w:i/>
          <w:iCs/>
          <w:strike/>
        </w:rPr>
        <w:t>на имя которого зарегистрирован</w:t>
      </w:r>
      <w:r>
        <w:rPr>
          <w:i/>
          <w:iCs/>
        </w:rPr>
        <w:t xml:space="preserve"> контейнер-цистерна/</w:t>
      </w:r>
      <w:r w:rsidRPr="001D61E7">
        <w:rPr>
          <w:i/>
          <w:iCs/>
          <w:strike/>
        </w:rPr>
        <w:t>зарегистрирована</w:t>
      </w:r>
      <w:r>
        <w:rPr>
          <w:i/>
          <w:iCs/>
        </w:rPr>
        <w:t xml:space="preserve"> переносная цистерна.</w:t>
      </w:r>
      <w:r w:rsidRPr="001D61E7">
        <w:t>»</w:t>
      </w:r>
      <w:r>
        <w:rPr>
          <w:i/>
          <w:iCs/>
        </w:rPr>
        <w:t>.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14.</w:t>
      </w:r>
      <w:r>
        <w:tab/>
        <w:t>В МПОГ это определение также применяется в отношении операторов вагонов-цистерн. Соответствующая поправка по образцу поправки, касающейся переносных цистерн/контейнеров-цистерн, повлечет за собой дополнительные поправки применительно к вагонам-цистернам, в случае которых используется также термин «владелец» («keeper»), определение которого содержится в Конвенции о международной перевозке грузов железнодорожным транспортом (КОТИФ).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15.</w:t>
      </w:r>
      <w:r>
        <w:tab/>
        <w:t xml:space="preserve">МОКЦ было предложено представить официальный документ для одной из будущих сессий. </w:t>
      </w:r>
    </w:p>
    <w:p w:rsidR="00941B86" w:rsidRPr="000B3A9C" w:rsidRDefault="00941B86" w:rsidP="00941B86">
      <w:pPr>
        <w:pStyle w:val="H23G"/>
      </w:pPr>
      <w:r>
        <w:tab/>
      </w:r>
      <w:r>
        <w:rPr>
          <w:bCs/>
        </w:rPr>
        <w:t>Пункт 6</w:t>
      </w:r>
      <w:r>
        <w:tab/>
      </w:r>
      <w:r>
        <w:rPr>
          <w:bCs/>
        </w:rPr>
        <w:t xml:space="preserve">Доклад о работе восьмого совещания </w:t>
      </w:r>
      <w:r w:rsidR="00CE14D1">
        <w:rPr>
          <w:bCs/>
        </w:rPr>
        <w:t>неофициальной рабочей группы по </w:t>
      </w:r>
      <w:r>
        <w:rPr>
          <w:bCs/>
        </w:rPr>
        <w:t>проверке и утверждению цистерн</w:t>
      </w:r>
    </w:p>
    <w:p w:rsidR="00941B86" w:rsidRPr="000B3A9C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Неофициальные документы:</w:t>
      </w:r>
      <w:r>
        <w:t xml:space="preserve"> </w:t>
      </w:r>
      <w:r>
        <w:tab/>
        <w:t xml:space="preserve">INF.9 (Соединенное Королевство) </w:t>
      </w:r>
      <w:r>
        <w:tab/>
      </w:r>
      <w:r>
        <w:tab/>
      </w:r>
      <w:r>
        <w:tab/>
      </w:r>
      <w:r>
        <w:tab/>
        <w:t>INF.23 (Европейский союз)</w:t>
      </w:r>
    </w:p>
    <w:p w:rsidR="00941B86" w:rsidRPr="00100D65" w:rsidRDefault="00941B86" w:rsidP="00941B86">
      <w:pPr>
        <w:ind w:left="1134" w:right="1134"/>
        <w:jc w:val="both"/>
      </w:pPr>
      <w:r>
        <w:t>16.</w:t>
      </w:r>
      <w:r>
        <w:tab/>
        <w:t xml:space="preserve">Председатель неофициальной рабочей группы по проверке и утверждению цистерн представил обзор работы, проделанной на восьмом совещании в Лондоне </w:t>
      </w:r>
      <w:r w:rsidR="00CE14D1">
        <w:br/>
      </w:r>
      <w:r>
        <w:t>2–4 мая, и на совещании ее подгруппы по раздел</w:t>
      </w:r>
      <w:r w:rsidR="00CE14D1">
        <w:t>у 1.8.6, проходившем в Праге. В </w:t>
      </w:r>
      <w:r>
        <w:t>частности, было отмечено, что были предусмотр</w:t>
      </w:r>
      <w:r w:rsidR="00CE14D1">
        <w:t>ены административные системы, с </w:t>
      </w:r>
      <w:r>
        <w:t>тем чтобы обеспечить функционирование национальной системы назначения проверяющих органов в качестве альтернативы аккредитации согласно стандарту</w:t>
      </w:r>
      <w:r w:rsidR="00CE14D1">
        <w:t xml:space="preserve"> EN </w:t>
      </w:r>
      <w:r>
        <w:t xml:space="preserve">ISO/IEC 17020. Ввиду недостатка времени последующая работа над разделом 1.8.7 и главой 6.8 была перенесена на следующую сессию. 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17.</w:t>
      </w:r>
      <w:r>
        <w:tab/>
        <w:t xml:space="preserve">В неофициальном документе INF.23 Европейская комиссия выразила озабоченность по поводу некоторых терминов, использование которых, по ее мнению, было бы неправильным, учитывая правовые тексты Европейского союза. В частности, упоминалось использование терминов «mutual recognition» («взаимное признание») и «carriage» («перевозка»). По поводу термина «mutual recognition» («взаимное признание») председатель неофициальной рабочей группы заявил, что в правилах ЕЭК ООН в области транспортных средств используется термин «reciprocal recognition» («взаимное признание»), употребление которого могло бы устранить путаницу. 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18.</w:t>
      </w:r>
      <w:r>
        <w:tab/>
        <w:t>Было отмечено, что нынешние предложения в большей степени относятся к ДОПОГ, чем к МПОГ и что необходимо проделать дополнительную работу, с тем чтобы учесть случаи, когда периодическая проверка вагонов-цистерн проводится за пределами страны регистрации. Было признано, что требуется больше информации от экспертов по МПОГ, но решение о том, как наилучшим образом получить соответствующую информацию, будет принято позднее. Кроме того, было признано, что необходимо проделать определенную работу, с тем чтобы учесть четвертый пакет мер в области железнодорожного транспорта.</w:t>
      </w:r>
    </w:p>
    <w:p w:rsidR="00941B86" w:rsidRPr="000B3A9C" w:rsidRDefault="00941B86" w:rsidP="00941B86">
      <w:pPr>
        <w:spacing w:before="120" w:after="120"/>
        <w:ind w:left="1134" w:right="1134"/>
        <w:jc w:val="both"/>
      </w:pPr>
      <w:r>
        <w:t>19.</w:t>
      </w:r>
      <w:r>
        <w:tab/>
        <w:t>Следующее совещание неофициальной рабочей группы планируется провести 10–12 декабря в Лондоне, и на нем будет рассмотрен раздел 1.8.6, пересмотренный подгруппой. План состоит в том, чтобы представить окончательный текст для весенней сессии 2019 года Совместного совещания. Рабочая группа по цистернам высказалась в поддержку продолжения работы при условии одобрения Совместным совещанием.</w:t>
      </w:r>
    </w:p>
    <w:p w:rsidR="00941B86" w:rsidRPr="000B3A9C" w:rsidRDefault="00941B86" w:rsidP="00941B86">
      <w:pPr>
        <w:pStyle w:val="H23G"/>
        <w:spacing w:before="200"/>
      </w:pPr>
      <w:r>
        <w:tab/>
      </w:r>
      <w:r>
        <w:rPr>
          <w:bCs/>
        </w:rPr>
        <w:t>Пункт 7</w:t>
      </w:r>
      <w:r>
        <w:tab/>
      </w:r>
      <w:r>
        <w:rPr>
          <w:bCs/>
        </w:rPr>
        <w:t>Заполнение корпусов, имеющих отсеки вместимостью более 7 500 л</w:t>
      </w:r>
    </w:p>
    <w:p w:rsidR="00941B86" w:rsidRPr="000B3A9C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Неофициальный документ:</w:t>
      </w:r>
      <w:r>
        <w:t xml:space="preserve"> </w:t>
      </w:r>
      <w:r w:rsidR="00CE14D1">
        <w:tab/>
      </w:r>
      <w:r>
        <w:t>INF.11 (Швейцария)</w:t>
      </w:r>
    </w:p>
    <w:p w:rsidR="00941B86" w:rsidRPr="00C87D5F" w:rsidRDefault="00941B86" w:rsidP="00941B86">
      <w:pPr>
        <w:spacing w:before="120" w:after="120"/>
        <w:ind w:left="1134" w:right="1134"/>
        <w:jc w:val="both"/>
      </w:pPr>
      <w:r>
        <w:t>20.</w:t>
      </w:r>
      <w:r>
        <w:tab/>
        <w:t>Согласно пункту 1.4.3.3 е), ответственный за наполнение цистерны, вагона-батареи/транспортного средства-батареи или многоэлементного газового контейнера (МЭГК) обязан удостовериться в том, что не</w:t>
      </w:r>
      <w:r w:rsidR="00CE14D1">
        <w:t xml:space="preserve"> происходит переполнения. Пункт </w:t>
      </w:r>
      <w:r>
        <w:t>4.3.2.2.4 также предусматривает минимальную степень наполнения в случае, если цистерна не разделена на отсеки вместимостью 7 500 л или меньше, с тем чтобы ограничить волновой удар. Предложение состояло в том, чтобы исключить слово «максимально» из формулировки пункта 1.4.3.3 е), с тем чтобы обязать ответственного за наполнение соблюдать</w:t>
      </w:r>
      <w:r w:rsidRPr="00002970">
        <w:t xml:space="preserve"> </w:t>
      </w:r>
      <w:r>
        <w:t>также минимальную степень наполнения, когда это применимо.</w:t>
      </w:r>
    </w:p>
    <w:p w:rsidR="00941B86" w:rsidRPr="00C87D5F" w:rsidRDefault="00941B86" w:rsidP="00941B86">
      <w:pPr>
        <w:tabs>
          <w:tab w:val="left" w:pos="1701"/>
        </w:tabs>
        <w:ind w:left="1134" w:right="1134"/>
        <w:jc w:val="both"/>
      </w:pPr>
      <w:r>
        <w:t>21.</w:t>
      </w:r>
      <w:r>
        <w:tab/>
        <w:t>Было отмечено, что перечень обязанностей не является исчерпывающим, о чем можно судить по словам «в частности», и нет необходимости вносить в текст</w:t>
      </w:r>
      <w:r w:rsidRPr="00002970">
        <w:t xml:space="preserve"> </w:t>
      </w:r>
      <w:r>
        <w:t xml:space="preserve">поправки. Вместе с тем эксперты выразили общую поддержку предложению, сформулированному в этом документе. </w:t>
      </w:r>
    </w:p>
    <w:p w:rsidR="00941B86" w:rsidRPr="00C87D5F" w:rsidRDefault="00941B86" w:rsidP="00941B86">
      <w:pPr>
        <w:pStyle w:val="H23G"/>
        <w:spacing w:before="200"/>
      </w:pPr>
      <w:r>
        <w:tab/>
      </w:r>
      <w:r>
        <w:tab/>
      </w:r>
      <w:r>
        <w:rPr>
          <w:bCs/>
        </w:rPr>
        <w:t>Предложение 4</w:t>
      </w:r>
    </w:p>
    <w:p w:rsidR="00941B86" w:rsidRPr="00C87D5F" w:rsidRDefault="00941B86" w:rsidP="00941B86">
      <w:pPr>
        <w:pStyle w:val="SingleTxtG"/>
      </w:pPr>
      <w:r>
        <w:t>Изменить пункт 1.4.3.3 е) следующим образом (исключенный текст зачеркнут):</w:t>
      </w:r>
    </w:p>
    <w:p w:rsidR="00941B86" w:rsidRPr="00C87D5F" w:rsidRDefault="00941B86" w:rsidP="00941B86">
      <w:pPr>
        <w:tabs>
          <w:tab w:val="left" w:pos="-1440"/>
        </w:tabs>
        <w:spacing w:after="200" w:line="240" w:lineRule="auto"/>
        <w:ind w:left="1701" w:right="1134" w:hanging="567"/>
        <w:jc w:val="both"/>
      </w:pPr>
      <w:r>
        <w:t xml:space="preserve">«e) </w:t>
      </w:r>
      <w:r>
        <w:tab/>
        <w:t xml:space="preserve">при наполнении цистерны он должен соблюдать </w:t>
      </w:r>
      <w:r w:rsidRPr="00002970">
        <w:rPr>
          <w:strike/>
        </w:rPr>
        <w:t>максимально</w:t>
      </w:r>
      <w:r>
        <w:t xml:space="preserve"> допустимую степень наполнения или </w:t>
      </w:r>
      <w:r w:rsidRPr="00002970">
        <w:rPr>
          <w:strike/>
        </w:rPr>
        <w:t>максимально</w:t>
      </w:r>
      <w:r>
        <w:t xml:space="preserve"> допустимую массу содержимого на литр вместимости для загружаемого вещества;».</w:t>
      </w:r>
    </w:p>
    <w:p w:rsidR="00941B86" w:rsidRPr="00C87D5F" w:rsidRDefault="00941B86" w:rsidP="00941B86">
      <w:pPr>
        <w:pStyle w:val="H23G"/>
        <w:spacing w:before="200"/>
      </w:pPr>
      <w:r>
        <w:tab/>
        <w:t>Пункт 8</w:t>
      </w:r>
      <w:r>
        <w:tab/>
      </w:r>
      <w:r>
        <w:rPr>
          <w:bCs/>
        </w:rPr>
        <w:t>Цистерны: уточнения в отношении защиты, требующейся для фитингов и вспомогательных приспособлений, установленных в верхней части вакуумных цистерн для отходов</w:t>
      </w:r>
    </w:p>
    <w:p w:rsidR="00941B86" w:rsidRPr="00C87D5F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Неофициальный документ:</w:t>
      </w:r>
      <w:r w:rsidR="00CE14D1">
        <w:tab/>
      </w:r>
      <w:r>
        <w:t>INF.17 (Соединенное Королевство)</w:t>
      </w:r>
    </w:p>
    <w:p w:rsidR="00941B86" w:rsidRPr="00B33DE0" w:rsidRDefault="00941B86" w:rsidP="00941B86">
      <w:pPr>
        <w:tabs>
          <w:tab w:val="left" w:pos="1701"/>
        </w:tabs>
        <w:ind w:left="1134" w:right="1134"/>
        <w:jc w:val="both"/>
        <w:rPr>
          <w:b/>
        </w:rPr>
      </w:pPr>
      <w:r>
        <w:t>22.</w:t>
      </w:r>
      <w:r>
        <w:tab/>
        <w:t>На весенней сессии Совместного совещания в рамках Рабочей группы по цистернам был поднят вопрос о том, изменяют ли или дополняют</w:t>
      </w:r>
      <w:r w:rsidRPr="00002970">
        <w:t xml:space="preserve"> </w:t>
      </w:r>
      <w:r w:rsidR="00CE14D1">
        <w:t>требования главы </w:t>
      </w:r>
      <w:r>
        <w:t>6.10 смысл пункта 6.8.2.1.28, касающегося защиты оборудования в верхней части цистерны от повреждений в случае опрокидывания. В ходе краткого обмена мнениями выяснилось, что мнения экспертов разделились. Поскольку поставленный вопрос не основывался на письменном документе, Соединенное Королевство представило неофициальный документ INF.17 для облегчения дальнейшего обсуждения.</w:t>
      </w:r>
    </w:p>
    <w:p w:rsidR="00941B86" w:rsidRPr="00C87D5F" w:rsidRDefault="00941B86" w:rsidP="00941B86">
      <w:pPr>
        <w:tabs>
          <w:tab w:val="left" w:pos="1701"/>
        </w:tabs>
        <w:spacing w:before="120" w:after="120"/>
        <w:ind w:left="1134" w:right="1134"/>
        <w:jc w:val="both"/>
        <w:rPr>
          <w:bCs/>
          <w:iCs/>
        </w:rPr>
      </w:pPr>
      <w:r>
        <w:t>23.</w:t>
      </w:r>
      <w:r>
        <w:tab/>
        <w:t xml:space="preserve">Было разъяснено, что правила предусматривают два сценария. Первый сценарий, рассматриваемый в пункте 6.8.2.1.28, требует, чтобы фитинги и вспомогательные приспособления, установленные в верхней части цистерны, были защищены от повреждений в случае опрокидывания, а второй, рассматриваемый в пункте 6.8.2.2.1, требует, чтобы элементы оборудования были защищены от опасности срыва или повреждения во время перевозки или погрузочно-разгрузочных операций. Во втором случае данное требование может быть выполнено путем применения </w:t>
      </w:r>
      <w:r w:rsidR="00CE14D1">
        <w:t>пункта </w:t>
      </w:r>
      <w:r>
        <w:t xml:space="preserve">6.10.3.1, который допускает размещение элементов оборудования в так называемой «защищенной зоне». Однако эти правила могут быть неправильно истолкованы. Во время предыдущего обсуждения в Рабочей группе по цистернам в ходе осенней сессии 2011 года большинство экспертов сочли, что пункт 6.8.2.1.28 и специальное положение TE19 применяются к вакуумным цистернам для отходов. </w:t>
      </w:r>
    </w:p>
    <w:p w:rsidR="00941B86" w:rsidRPr="00C87D5F" w:rsidRDefault="00941B86" w:rsidP="00941B86">
      <w:pPr>
        <w:tabs>
          <w:tab w:val="left" w:pos="1701"/>
          <w:tab w:val="left" w:pos="2268"/>
        </w:tabs>
        <w:spacing w:before="120" w:after="120"/>
        <w:ind w:left="1134" w:right="1134"/>
        <w:jc w:val="both"/>
      </w:pPr>
      <w:r>
        <w:t>24.</w:t>
      </w:r>
      <w:r>
        <w:tab/>
        <w:t xml:space="preserve">Некоторые эксперты заявили, что в их странах обычная практика заключается в том, что цистерны не оборудуются средствами защиты от повреждений в случае опрокидывания, поскольку такая защита обеспечивается путем расположения оборудования в «защищенных зонах», в то время как другие эксперты заявили об обратном. </w:t>
      </w:r>
      <w:r w:rsidRPr="00DB4CD5">
        <w:t>Было отмечено, что в некоторых случаях дуги безопасности</w:t>
      </w:r>
      <w:r>
        <w:rPr>
          <w:b/>
          <w:bCs/>
        </w:rPr>
        <w:t xml:space="preserve"> </w:t>
      </w:r>
      <w:r w:rsidRPr="00DB4CD5">
        <w:t>ограничивают перемещение всасывающих рукавов</w:t>
      </w:r>
      <w:r>
        <w:t>,</w:t>
      </w:r>
      <w:r>
        <w:rPr>
          <w:b/>
          <w:bCs/>
        </w:rPr>
        <w:t xml:space="preserve"> </w:t>
      </w:r>
      <w:r w:rsidRPr="00DB4CD5">
        <w:t>защ</w:t>
      </w:r>
      <w:r>
        <w:t xml:space="preserve">ита оборудования обеспечивается </w:t>
      </w:r>
      <w:r w:rsidRPr="00DB4CD5">
        <w:t>всасывающим</w:t>
      </w:r>
      <w:r>
        <w:t>и</w:t>
      </w:r>
      <w:r w:rsidRPr="00DB4CD5">
        <w:t xml:space="preserve"> </w:t>
      </w:r>
      <w:r>
        <w:t>рукавами</w:t>
      </w:r>
      <w:r w:rsidRPr="00DB4CD5">
        <w:t xml:space="preserve"> или</w:t>
      </w:r>
      <w:r>
        <w:rPr>
          <w:b/>
          <w:bCs/>
        </w:rPr>
        <w:t xml:space="preserve"> </w:t>
      </w:r>
      <w:r w:rsidRPr="00DB4CD5">
        <w:t>собственной конструкцией автоцистерны,</w:t>
      </w:r>
      <w:r>
        <w:rPr>
          <w:b/>
          <w:bCs/>
        </w:rPr>
        <w:t xml:space="preserve"> </w:t>
      </w:r>
      <w:r w:rsidRPr="00DB4CD5">
        <w:t>наличие большого количества предметов оборудования в верхней части цистерны не позволяет устана</w:t>
      </w:r>
      <w:r>
        <w:t>вливать надлежащую защиту</w:t>
      </w:r>
      <w:r w:rsidRPr="00DB4CD5">
        <w:t xml:space="preserve"> и устойчивость автоцистерны в процессе эксплуатации делает ее менее подверженной опрокидыванию.</w:t>
      </w:r>
      <w:r>
        <w:t xml:space="preserve"> Однако другие виды вакуумных цистерн для отходов, такие как, например, съемные цистерны и контейнеры-цистерны, могут быть лишены такой защиты со стороны транспортного средства или в большей степени уязвимы к повреждениям в случае опрокидывания.</w:t>
      </w:r>
    </w:p>
    <w:p w:rsidR="00941B86" w:rsidRPr="00C87D5F" w:rsidRDefault="00941B86" w:rsidP="00941B86">
      <w:pPr>
        <w:pStyle w:val="SingleTxtG"/>
      </w:pPr>
      <w:r>
        <w:t>25.</w:t>
      </w:r>
      <w:r>
        <w:tab/>
        <w:t xml:space="preserve">Принимая во внимание различные мнения, было решено, что дальнейшему обсуждению этой темы помогло бы наличие официального документа, и Соединенное Королевство согласилось представить такой документ на одной из будущих сессий. </w:t>
      </w:r>
    </w:p>
    <w:p w:rsidR="00941B86" w:rsidRPr="000B3A9C" w:rsidRDefault="00941B86" w:rsidP="00941B86">
      <w:pPr>
        <w:pStyle w:val="H23G"/>
        <w:spacing w:before="200"/>
      </w:pPr>
      <w:r>
        <w:rPr>
          <w:bCs/>
        </w:rPr>
        <w:tab/>
        <w:t>Пункт 9</w:t>
      </w:r>
      <w:r>
        <w:tab/>
      </w:r>
      <w:r>
        <w:rPr>
          <w:bCs/>
        </w:rPr>
        <w:t>Проверки и испытания транспортных средств-батарей и МЭГК</w:t>
      </w:r>
    </w:p>
    <w:p w:rsidR="00941B86" w:rsidRPr="000B3A9C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Неофициальные документы:</w:t>
      </w:r>
      <w:r>
        <w:t xml:space="preserve"> </w:t>
      </w:r>
      <w:r>
        <w:tab/>
        <w:t xml:space="preserve">INF.18 (Франция) </w:t>
      </w:r>
      <w:r>
        <w:tab/>
      </w:r>
      <w:r>
        <w:tab/>
      </w:r>
      <w:r>
        <w:tab/>
      </w:r>
      <w:r>
        <w:tab/>
      </w:r>
      <w:r>
        <w:tab/>
      </w:r>
      <w:r>
        <w:tab/>
        <w:t>INF.25 (Польша)</w:t>
      </w:r>
    </w:p>
    <w:p w:rsidR="00941B86" w:rsidRPr="000B3A9C" w:rsidRDefault="00941B86" w:rsidP="00941B86">
      <w:pPr>
        <w:pStyle w:val="SingleTxtG"/>
        <w:rPr>
          <w:bCs/>
          <w:iCs/>
        </w:rPr>
      </w:pPr>
      <w:r>
        <w:t>26.</w:t>
      </w:r>
      <w:r>
        <w:tab/>
        <w:t>Вагоны-батареи/транспортные средства-батареи и МЭГК, элементами которых являются цистерны, должны подвергаться периодическим проверкам. Что касается периодичности, то в пункте 6.8.3.4.12 содержится ссылка на пункт 6.8.3.4.6. Однако пункт 6.8.3.4.6 предписывает особую периодичность проверок для криогенных цистерн. Поскольку охлажденные сжиженные газы не разрешается перевозить в вагонах-батареях/транспортных средствах-батареях и МЭГК, будет применяться обычная периодичность, предусмотренная в подразделе 6.8.2.4. Предлагаемое исправление, включая добавление, предложенное в неофициальном документе INF.25 с целью включения ссылки на пункт 6.8.2.4.3, было принято.</w:t>
      </w:r>
    </w:p>
    <w:p w:rsidR="00941B86" w:rsidRPr="000B3A9C" w:rsidRDefault="00941B86" w:rsidP="00941B86">
      <w:pPr>
        <w:pStyle w:val="H23G"/>
      </w:pPr>
      <w:r>
        <w:tab/>
      </w:r>
      <w:r>
        <w:tab/>
      </w:r>
      <w:r>
        <w:rPr>
          <w:bCs/>
        </w:rPr>
        <w:t>Предложение 5</w:t>
      </w:r>
    </w:p>
    <w:p w:rsidR="00941B86" w:rsidRPr="000B3A9C" w:rsidRDefault="00941B86" w:rsidP="00941B86">
      <w:pPr>
        <w:pStyle w:val="SingleTxtG"/>
      </w:pPr>
      <w:r>
        <w:t xml:space="preserve">Изменить предпоследнее предложение пункта 6.8.3.4.12 следующим образом (новый текст </w:t>
      </w:r>
      <w:r>
        <w:rPr>
          <w:u w:val="single"/>
        </w:rPr>
        <w:t>подчеркнут</w:t>
      </w:r>
      <w:r>
        <w:t xml:space="preserve">, исключенный текст </w:t>
      </w:r>
      <w:r w:rsidRPr="00D64576">
        <w:rPr>
          <w:strike/>
        </w:rPr>
        <w:t>зачеркнут</w:t>
      </w:r>
      <w:r>
        <w:t>):</w:t>
      </w:r>
    </w:p>
    <w:p w:rsidR="00941B86" w:rsidRPr="000B3A9C" w:rsidRDefault="00941B86" w:rsidP="00941B86">
      <w:pPr>
        <w:pStyle w:val="SingleTxtG"/>
        <w:rPr>
          <w:iCs/>
          <w:u w:val="single"/>
        </w:rPr>
      </w:pPr>
      <w:r>
        <w:t>«Вагоны-батареи/</w:t>
      </w:r>
      <w:r w:rsidR="00E34F0E">
        <w:t xml:space="preserve">транспортные </w:t>
      </w:r>
      <w:r>
        <w:t xml:space="preserve">средства-батареи и МЭГК, элементами которых являются цистерны, должны подвергаться проверке в соответствии с </w:t>
      </w:r>
      <w:r w:rsidRPr="00877FA7">
        <w:rPr>
          <w:strike/>
        </w:rPr>
        <w:t>пунктом 6.8.3.4.6</w:t>
      </w:r>
      <w:r>
        <w:t xml:space="preserve"> </w:t>
      </w:r>
      <w:r w:rsidRPr="00877FA7">
        <w:rPr>
          <w:u w:val="single"/>
        </w:rPr>
        <w:t>пунктами 6.8.2.4.2 и 6.8.2.4.3</w:t>
      </w:r>
      <w:r>
        <w:t>.».</w:t>
      </w:r>
    </w:p>
    <w:p w:rsidR="00941B86" w:rsidRPr="000B3A9C" w:rsidRDefault="00941B86" w:rsidP="00941B86">
      <w:pPr>
        <w:pStyle w:val="H23G"/>
        <w:spacing w:before="200"/>
      </w:pPr>
      <w:r>
        <w:rPr>
          <w:bCs/>
        </w:rPr>
        <w:tab/>
        <w:t>Пункт 10</w:t>
      </w:r>
      <w:r>
        <w:tab/>
      </w:r>
      <w:r>
        <w:rPr>
          <w:bCs/>
        </w:rPr>
        <w:t>Перевозка цистерн, вагонов-батарей/транспортных средств-батарей и МЭГК после истечения срока действия последней промежуточной проверки</w:t>
      </w:r>
    </w:p>
    <w:p w:rsidR="00941B86" w:rsidRPr="000B3A9C" w:rsidRDefault="00941B86" w:rsidP="00CE14D1">
      <w:pPr>
        <w:pStyle w:val="SingleTxtG"/>
        <w:keepNext/>
        <w:keepLines/>
        <w:tabs>
          <w:tab w:val="left" w:pos="3686"/>
          <w:tab w:val="left" w:pos="5954"/>
        </w:tabs>
        <w:ind w:left="2829" w:hanging="1695"/>
        <w:jc w:val="left"/>
      </w:pPr>
      <w:r>
        <w:rPr>
          <w:i/>
          <w:iCs/>
        </w:rPr>
        <w:t>Неофициальный документ:</w:t>
      </w:r>
      <w:r>
        <w:t xml:space="preserve"> </w:t>
      </w:r>
      <w:r w:rsidR="00CE14D1">
        <w:tab/>
      </w:r>
      <w:r>
        <w:t>INF.20 (Польша)</w:t>
      </w:r>
    </w:p>
    <w:p w:rsidR="00941B86" w:rsidRPr="000B3A9C" w:rsidRDefault="00941B86" w:rsidP="00941B86">
      <w:pPr>
        <w:pStyle w:val="SingleTxtG"/>
      </w:pPr>
      <w:r>
        <w:t>27.</w:t>
      </w:r>
      <w:r>
        <w:tab/>
        <w:t>Пункт 4.3.2.3.7 предусматривает, что цистерны, вагоны-батареи/транспортные средства-батареи и МЭГК, наполненные до истечения срока действия последней периодической проверки, могут перевозиться в течение периода, не превышающего одного месяца. Пункт 6.8.2.4.3 позволяет проводить промежуточные проверки в течение трех месяцев после указанной даты и поэтому может использоваться. Однако это не отражено в пункте 4.3.2.3.7.</w:t>
      </w:r>
    </w:p>
    <w:p w:rsidR="00941B86" w:rsidRDefault="00941B86" w:rsidP="00941B86">
      <w:pPr>
        <w:pStyle w:val="SingleTxtG"/>
      </w:pPr>
      <w:r>
        <w:t>28.</w:t>
      </w:r>
      <w:r>
        <w:tab/>
        <w:t>Было напомнено о том, что правило, предусматривающее трехмесячный период для промежуточной проверки, было введено с тем, чтобы обеспечить разумные сроки ее проведения между периодическими проверками, допуская при этом некоторую гибкость в отношении проведения промежуточной проверки. Несколько экспертов высказали мнение, что данное несоответствие следует устранить. Польше было предложено представить официальный документ по этому вопросу для рассмотрения на одной из будущих сессий.</w:t>
      </w:r>
    </w:p>
    <w:p w:rsidR="00941B86" w:rsidRPr="00CE14D1" w:rsidRDefault="00CE14D1" w:rsidP="00CE14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1B86" w:rsidRPr="00CE14D1" w:rsidSect="00941B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E6" w:rsidRPr="00A312BC" w:rsidRDefault="005E60E6" w:rsidP="00A312BC"/>
  </w:endnote>
  <w:endnote w:type="continuationSeparator" w:id="0">
    <w:p w:rsidR="005E60E6" w:rsidRPr="00A312BC" w:rsidRDefault="005E60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86" w:rsidRPr="00941B86" w:rsidRDefault="00941B86">
    <w:pPr>
      <w:pStyle w:val="Footer"/>
    </w:pPr>
    <w:r w:rsidRPr="00941B86">
      <w:rPr>
        <w:b/>
        <w:sz w:val="18"/>
      </w:rPr>
      <w:fldChar w:fldCharType="begin"/>
    </w:r>
    <w:r w:rsidRPr="00941B86">
      <w:rPr>
        <w:b/>
        <w:sz w:val="18"/>
      </w:rPr>
      <w:instrText xml:space="preserve"> PAGE  \* MERGEFORMAT </w:instrText>
    </w:r>
    <w:r w:rsidRPr="00941B86">
      <w:rPr>
        <w:b/>
        <w:sz w:val="18"/>
      </w:rPr>
      <w:fldChar w:fldCharType="separate"/>
    </w:r>
    <w:r w:rsidR="00D3082E">
      <w:rPr>
        <w:b/>
        <w:noProof/>
        <w:sz w:val="18"/>
      </w:rPr>
      <w:t>6</w:t>
    </w:r>
    <w:r w:rsidRPr="00941B86">
      <w:rPr>
        <w:b/>
        <w:sz w:val="18"/>
      </w:rPr>
      <w:fldChar w:fldCharType="end"/>
    </w:r>
    <w:r>
      <w:rPr>
        <w:b/>
        <w:sz w:val="18"/>
      </w:rPr>
      <w:tab/>
    </w:r>
    <w:r>
      <w:t>GE.18-17533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86" w:rsidRPr="00941B86" w:rsidRDefault="00941B86" w:rsidP="00941B8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GE.18-17533</w:t>
    </w:r>
    <w:r>
      <w:tab/>
    </w:r>
    <w:r w:rsidRPr="00941B86">
      <w:rPr>
        <w:b/>
        <w:sz w:val="18"/>
      </w:rPr>
      <w:fldChar w:fldCharType="begin"/>
    </w:r>
    <w:r w:rsidRPr="00941B86">
      <w:rPr>
        <w:b/>
        <w:sz w:val="18"/>
      </w:rPr>
      <w:instrText xml:space="preserve"> PAGE  \* MERGEFORMAT </w:instrText>
    </w:r>
    <w:r w:rsidRPr="00941B86">
      <w:rPr>
        <w:b/>
        <w:sz w:val="18"/>
      </w:rPr>
      <w:fldChar w:fldCharType="separate"/>
    </w:r>
    <w:r w:rsidR="00D3082E">
      <w:rPr>
        <w:b/>
        <w:noProof/>
        <w:sz w:val="18"/>
      </w:rPr>
      <w:t>7</w:t>
    </w:r>
    <w:r w:rsidRPr="00941B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41B86" w:rsidRDefault="00941B86" w:rsidP="00941B86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18-17533  (R)</w:t>
    </w:r>
    <w:r w:rsidR="00DF7DFE">
      <w:rPr>
        <w:lang w:val="en-US"/>
      </w:rPr>
      <w:t xml:space="preserve">  020119  090119</w:t>
    </w:r>
    <w:r>
      <w:br/>
    </w:r>
    <w:r w:rsidRPr="00941B86">
      <w:rPr>
        <w:rFonts w:ascii="C39T30Lfz" w:hAnsi="C39T30Lfz"/>
        <w:kern w:val="14"/>
        <w:sz w:val="56"/>
      </w:rPr>
      <w:t></w:t>
    </w:r>
    <w:r w:rsidRPr="00941B86">
      <w:rPr>
        <w:rFonts w:ascii="C39T30Lfz" w:hAnsi="C39T30Lfz"/>
        <w:kern w:val="14"/>
        <w:sz w:val="56"/>
      </w:rPr>
      <w:t></w:t>
    </w:r>
    <w:r w:rsidRPr="00941B86">
      <w:rPr>
        <w:rFonts w:ascii="C39T30Lfz" w:hAnsi="C39T30Lfz"/>
        <w:kern w:val="14"/>
        <w:sz w:val="56"/>
      </w:rPr>
      <w:t></w:t>
    </w:r>
    <w:r w:rsidRPr="00941B86">
      <w:rPr>
        <w:rFonts w:ascii="C39T30Lfz" w:hAnsi="C39T30Lfz"/>
        <w:kern w:val="14"/>
        <w:sz w:val="56"/>
      </w:rPr>
      <w:t></w:t>
    </w:r>
    <w:r w:rsidRPr="00941B86">
      <w:rPr>
        <w:rFonts w:ascii="C39T30Lfz" w:hAnsi="C39T30Lfz"/>
        <w:kern w:val="14"/>
        <w:sz w:val="56"/>
      </w:rPr>
      <w:t></w:t>
    </w:r>
    <w:r w:rsidRPr="00941B86">
      <w:rPr>
        <w:rFonts w:ascii="C39T30Lfz" w:hAnsi="C39T30Lfz"/>
        <w:kern w:val="14"/>
        <w:sz w:val="56"/>
      </w:rPr>
      <w:t></w:t>
    </w:r>
    <w:r w:rsidRPr="00941B86">
      <w:rPr>
        <w:rFonts w:ascii="C39T30Lfz" w:hAnsi="C39T30Lfz"/>
        <w:kern w:val="14"/>
        <w:sz w:val="56"/>
      </w:rPr>
      <w:t></w:t>
    </w:r>
    <w:r w:rsidRPr="00941B86">
      <w:rPr>
        <w:rFonts w:ascii="C39T30Lfz" w:hAnsi="C39T30Lfz"/>
        <w:kern w:val="14"/>
        <w:sz w:val="56"/>
      </w:rPr>
      <w:t></w:t>
    </w:r>
    <w:r w:rsidRPr="00941B86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2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2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E6" w:rsidRPr="001075E9" w:rsidRDefault="005E60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60E6" w:rsidRDefault="005E60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41B86" w:rsidRPr="00D733A9" w:rsidRDefault="00941B86" w:rsidP="00941B86">
      <w:pPr>
        <w:pStyle w:val="FootnoteText"/>
      </w:pPr>
      <w:r>
        <w:tab/>
      </w:r>
      <w:r w:rsidRPr="00DF7DFE">
        <w:t>*</w:t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OTIF/RID/RC/2018-A. Если не указано иное, другие документы, упоминаемые в настоящем докладе под условным обозначением 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</w:p>
  </w:footnote>
  <w:footnote w:id="2">
    <w:p w:rsidR="00941B86" w:rsidRPr="00D733A9" w:rsidRDefault="00941B86" w:rsidP="00941B86">
      <w:pPr>
        <w:pStyle w:val="FootnoteText"/>
      </w:pPr>
      <w:r>
        <w:tab/>
      </w:r>
      <w:r w:rsidR="00DF7DFE">
        <w:t>*</w:t>
      </w:r>
      <w:r w:rsidRPr="00DF7DFE">
        <w:t>*</w:t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OTIF/RID/RC/2018-B/Add.1.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86" w:rsidRPr="00941B86" w:rsidRDefault="00D308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52F6">
      <w:t>ECE/TRANS/WP.15/AC.1/152/Add.1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86" w:rsidRPr="00941B86" w:rsidRDefault="00D3082E" w:rsidP="00941B8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52F6">
      <w:t>ECE/TRANS/WP.15/AC.1/152/Add.1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E7D38"/>
    <w:multiLevelType w:val="hybridMultilevel"/>
    <w:tmpl w:val="636CB966"/>
    <w:lvl w:ilvl="0" w:tplc="00646670">
      <w:numFmt w:val="bullet"/>
      <w:lvlText w:val="-"/>
      <w:lvlJc w:val="left"/>
      <w:pPr>
        <w:ind w:left="37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304B"/>
    <w:multiLevelType w:val="hybridMultilevel"/>
    <w:tmpl w:val="B9E66580"/>
    <w:lvl w:ilvl="0" w:tplc="56FEB1F8">
      <w:start w:val="1"/>
      <w:numFmt w:val="bullet"/>
      <w:lvlText w:val="⁻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8"/>
  </w:num>
  <w:num w:numId="20">
    <w:abstractNumId w:val="15"/>
  </w:num>
  <w:num w:numId="21">
    <w:abstractNumId w:val="17"/>
  </w:num>
  <w:num w:numId="22">
    <w:abstractNumId w:val="12"/>
  </w:num>
  <w:num w:numId="23">
    <w:abstractNumId w:val="11"/>
    <w:lvlOverride w:ilvl="0">
      <w:lvl w:ilvl="0" w:tplc="E30CCFBE">
        <w:numFmt w:val="bullet"/>
        <w:lvlText w:val="-"/>
        <w:lvlJc w:val="left"/>
        <w:pPr>
          <w:ind w:left="1425" w:hanging="360"/>
        </w:pPr>
        <w:rPr>
          <w:rFonts w:ascii="Calibri" w:eastAsiaTheme="minorEastAsia" w:hAnsi="Calibri" w:cstheme="minorBidi" w:hint="default"/>
        </w:rPr>
      </w:lvl>
    </w:lvlOverride>
  </w:num>
  <w:num w:numId="24">
    <w:abstractNumId w:val="14"/>
    <w:lvlOverride w:ilvl="0">
      <w:lvl w:ilvl="0" w:tplc="00646670">
        <w:numFmt w:val="bullet"/>
        <w:lvlText w:val="-"/>
        <w:lvlJc w:val="left"/>
        <w:pPr>
          <w:ind w:left="3750" w:hanging="360"/>
        </w:pPr>
        <w:rPr>
          <w:rFonts w:ascii="Times New Roman" w:eastAsia="Times New Roman" w:hAnsi="Times New Roman" w:cs="Times New Roman" w:hint="default"/>
        </w:rPr>
      </w:lvl>
    </w:lvlOverride>
  </w:num>
  <w:num w:numId="25">
    <w:abstractNumId w:val="11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4C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52F6"/>
    <w:rsid w:val="00592370"/>
    <w:rsid w:val="005961C8"/>
    <w:rsid w:val="005966F1"/>
    <w:rsid w:val="005D7914"/>
    <w:rsid w:val="005E2B41"/>
    <w:rsid w:val="005E60E6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5AD"/>
    <w:rsid w:val="008D53B6"/>
    <w:rsid w:val="008F7609"/>
    <w:rsid w:val="00906890"/>
    <w:rsid w:val="00911BE4"/>
    <w:rsid w:val="00941B86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4D1"/>
    <w:rsid w:val="00CE5A1A"/>
    <w:rsid w:val="00CF55F6"/>
    <w:rsid w:val="00D3082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DFE"/>
    <w:rsid w:val="00E12C5F"/>
    <w:rsid w:val="00E34F0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4DE625-C195-461B-A22E-40801DDE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941B86"/>
    <w:pPr>
      <w:ind w:left="1440" w:right="1440"/>
    </w:pPr>
    <w:rPr>
      <w:rFonts w:eastAsia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rsid w:val="00941B86"/>
    <w:rPr>
      <w:rFonts w:eastAsia="Times New Roman" w:cs="Times New Roman"/>
      <w:sz w:val="24"/>
      <w:szCs w:val="24"/>
      <w:lang w:val="en-GB"/>
    </w:rPr>
  </w:style>
  <w:style w:type="character" w:customStyle="1" w:styleId="SingleTxtGChar">
    <w:name w:val="_ Single Txt_G Char"/>
    <w:link w:val="SingleTxtG"/>
    <w:qFormat/>
    <w:rsid w:val="00941B86"/>
    <w:rPr>
      <w:lang w:val="ru-RU" w:eastAsia="en-US"/>
    </w:rPr>
  </w:style>
  <w:style w:type="character" w:customStyle="1" w:styleId="H1GChar">
    <w:name w:val="_ H_1_G Char"/>
    <w:link w:val="H1G"/>
    <w:rsid w:val="00941B86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941B86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941B86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3035</Words>
  <Characters>17300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ECE/TRANS/WP.15/AC.1/152/Add.1</vt:lpstr>
      <vt:lpstr>ECE/TRANS/WP.15/AC.1/152/Add.1</vt:lpstr>
      <vt:lpstr>A/</vt:lpstr>
    </vt:vector>
  </TitlesOfParts>
  <Company>DCM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ECE/TRANS/WP.15/AC.1/152/Add.1</dc:title>
  <dc:subject/>
  <dc:creator>Marina KOROTKOVA</dc:creator>
  <cp:keywords/>
  <cp:lastModifiedBy>Christine Barrio-Champeau</cp:lastModifiedBy>
  <cp:revision>2</cp:revision>
  <cp:lastPrinted>2019-01-09T09:08:00Z</cp:lastPrinted>
  <dcterms:created xsi:type="dcterms:W3CDTF">2019-03-20T11:20:00Z</dcterms:created>
  <dcterms:modified xsi:type="dcterms:W3CDTF">2019-03-20T11:20:00Z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