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2" w:rightFromText="142" w:vertAnchor="page" w:horzAnchor="page" w:tblpX="1135" w:tblpY="568"/>
        <w:tblOverlap w:val="never"/>
        <w:tblW w:w="15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6095"/>
        <w:gridCol w:w="6095"/>
      </w:tblGrid>
      <w:tr w:rsidR="008C187C" w:rsidTr="00AD1228">
        <w:trPr>
          <w:cantSplit/>
          <w:trHeight w:hRule="exact" w:val="851"/>
        </w:trPr>
        <w:tc>
          <w:tcPr>
            <w:tcW w:w="1276" w:type="dxa"/>
            <w:tcBorders>
              <w:bottom w:val="single" w:sz="4" w:space="0" w:color="auto"/>
            </w:tcBorders>
            <w:vAlign w:val="bottom"/>
          </w:tcPr>
          <w:p w:rsidR="008C187C" w:rsidRDefault="008C187C" w:rsidP="008C187C">
            <w:pPr>
              <w:spacing w:after="80"/>
            </w:pPr>
            <w:bookmarkStart w:id="0" w:name="_Hlk526858340"/>
          </w:p>
        </w:tc>
        <w:tc>
          <w:tcPr>
            <w:tcW w:w="2268" w:type="dxa"/>
            <w:tcBorders>
              <w:bottom w:val="single" w:sz="4" w:space="0" w:color="auto"/>
            </w:tcBorders>
            <w:vAlign w:val="bottom"/>
          </w:tcPr>
          <w:p w:rsidR="008C187C" w:rsidRPr="00B97172" w:rsidRDefault="008C187C" w:rsidP="008C187C">
            <w:pPr>
              <w:spacing w:after="80" w:line="300" w:lineRule="exact"/>
              <w:rPr>
                <w:b/>
                <w:sz w:val="24"/>
                <w:szCs w:val="24"/>
              </w:rPr>
            </w:pPr>
          </w:p>
        </w:tc>
        <w:tc>
          <w:tcPr>
            <w:tcW w:w="6095" w:type="dxa"/>
            <w:tcBorders>
              <w:bottom w:val="single" w:sz="4" w:space="0" w:color="auto"/>
            </w:tcBorders>
            <w:vAlign w:val="bottom"/>
          </w:tcPr>
          <w:p w:rsidR="008C187C" w:rsidRPr="008268C5" w:rsidRDefault="008C187C" w:rsidP="008C187C">
            <w:pPr>
              <w:suppressAutoHyphens w:val="0"/>
              <w:spacing w:after="20"/>
              <w:jc w:val="right"/>
              <w:rPr>
                <w:b/>
                <w:sz w:val="28"/>
                <w:szCs w:val="28"/>
              </w:rPr>
            </w:pPr>
            <w:r w:rsidRPr="008268C5">
              <w:rPr>
                <w:b/>
                <w:sz w:val="28"/>
                <w:szCs w:val="28"/>
              </w:rPr>
              <w:t>INF.</w:t>
            </w:r>
            <w:r w:rsidR="00232275">
              <w:rPr>
                <w:b/>
                <w:sz w:val="28"/>
                <w:szCs w:val="28"/>
              </w:rPr>
              <w:t>5</w:t>
            </w:r>
          </w:p>
        </w:tc>
        <w:tc>
          <w:tcPr>
            <w:tcW w:w="6095" w:type="dxa"/>
            <w:tcBorders>
              <w:bottom w:val="single" w:sz="4" w:space="0" w:color="auto"/>
            </w:tcBorders>
            <w:vAlign w:val="bottom"/>
          </w:tcPr>
          <w:p w:rsidR="008C187C" w:rsidRPr="00D47EEA" w:rsidRDefault="008C187C" w:rsidP="008C187C">
            <w:pPr>
              <w:spacing w:line="240" w:lineRule="auto"/>
              <w:jc w:val="right"/>
            </w:pPr>
            <w:r>
              <w:t>INF.4</w:t>
            </w:r>
          </w:p>
        </w:tc>
      </w:tr>
    </w:tbl>
    <w:p w:rsidR="008C187C" w:rsidRDefault="008C187C" w:rsidP="008C187C">
      <w:pPr>
        <w:spacing w:before="120"/>
        <w:rPr>
          <w:b/>
          <w:sz w:val="28"/>
          <w:szCs w:val="28"/>
        </w:rPr>
      </w:pPr>
      <w:r w:rsidRPr="00832334">
        <w:rPr>
          <w:b/>
          <w:sz w:val="28"/>
          <w:szCs w:val="28"/>
        </w:rPr>
        <w:t>Economic Commission for Europe</w:t>
      </w:r>
    </w:p>
    <w:p w:rsidR="008C187C" w:rsidRPr="008F31D2" w:rsidRDefault="008C187C" w:rsidP="008C187C">
      <w:pPr>
        <w:spacing w:before="120"/>
        <w:rPr>
          <w:sz w:val="28"/>
          <w:szCs w:val="28"/>
        </w:rPr>
      </w:pPr>
      <w:r>
        <w:rPr>
          <w:sz w:val="28"/>
          <w:szCs w:val="28"/>
        </w:rPr>
        <w:t>Inland Transport Committee</w:t>
      </w:r>
    </w:p>
    <w:p w:rsidR="008C187C" w:rsidRDefault="008C187C" w:rsidP="008C187C">
      <w:pPr>
        <w:spacing w:before="120"/>
        <w:rPr>
          <w:b/>
          <w:sz w:val="24"/>
          <w:szCs w:val="24"/>
        </w:rPr>
      </w:pPr>
      <w:r>
        <w:rPr>
          <w:b/>
          <w:sz w:val="24"/>
          <w:szCs w:val="24"/>
        </w:rPr>
        <w:t>Working Party on the Transport of Dangerous Goods</w:t>
      </w:r>
    </w:p>
    <w:p w:rsidR="008C187C" w:rsidRPr="008268C5" w:rsidRDefault="008C187C" w:rsidP="008C187C">
      <w:pPr>
        <w:spacing w:before="120"/>
        <w:rPr>
          <w:b/>
        </w:rPr>
      </w:pPr>
      <w:r>
        <w:rPr>
          <w:b/>
        </w:rPr>
        <w:t>105</w:t>
      </w:r>
      <w:r w:rsidRPr="00963ABB">
        <w:rPr>
          <w:b/>
          <w:vertAlign w:val="superscript"/>
        </w:rPr>
        <w:t>th</w:t>
      </w:r>
      <w:r>
        <w:rPr>
          <w:b/>
        </w:rPr>
        <w:t xml:space="preserve"> </w:t>
      </w:r>
      <w:r w:rsidRPr="008268C5">
        <w:rPr>
          <w:b/>
        </w:rPr>
        <w:t>session</w:t>
      </w:r>
      <w:r w:rsidRPr="008268C5">
        <w:rPr>
          <w:b/>
        </w:rPr>
        <w:tab/>
      </w:r>
      <w:r w:rsidRPr="008268C5">
        <w:rPr>
          <w:b/>
        </w:rPr>
        <w:tab/>
      </w:r>
      <w:r w:rsidRPr="008268C5">
        <w:rPr>
          <w:b/>
        </w:rPr>
        <w:tab/>
      </w:r>
      <w:r w:rsidRPr="008268C5">
        <w:rPr>
          <w:b/>
        </w:rPr>
        <w:tab/>
      </w:r>
      <w:r w:rsidRPr="008268C5">
        <w:rPr>
          <w:b/>
        </w:rPr>
        <w:tab/>
      </w:r>
      <w:r w:rsidRPr="008268C5">
        <w:rPr>
          <w:b/>
        </w:rPr>
        <w:tab/>
      </w:r>
      <w:r w:rsidRPr="008268C5">
        <w:rPr>
          <w:b/>
        </w:rPr>
        <w:tab/>
      </w:r>
      <w:r w:rsidRPr="008268C5">
        <w:rPr>
          <w:b/>
        </w:rPr>
        <w:tab/>
      </w:r>
      <w:r w:rsidRPr="008268C5">
        <w:rPr>
          <w:b/>
        </w:rPr>
        <w:tab/>
      </w:r>
      <w:r w:rsidRPr="008268C5">
        <w:rPr>
          <w:b/>
        </w:rPr>
        <w:tab/>
      </w:r>
      <w:r w:rsidRPr="008268C5">
        <w:rPr>
          <w:b/>
        </w:rPr>
        <w:tab/>
      </w:r>
      <w:r>
        <w:rPr>
          <w:b/>
        </w:rPr>
        <w:tab/>
      </w:r>
      <w:r>
        <w:rPr>
          <w:b/>
        </w:rPr>
        <w:tab/>
      </w:r>
      <w:r w:rsidR="003D1366">
        <w:rPr>
          <w:b/>
        </w:rPr>
        <w:t>10</w:t>
      </w:r>
      <w:bookmarkStart w:id="1" w:name="_GoBack"/>
      <w:bookmarkEnd w:id="1"/>
      <w:r>
        <w:rPr>
          <w:b/>
        </w:rPr>
        <w:t xml:space="preserve"> October 2018</w:t>
      </w:r>
    </w:p>
    <w:p w:rsidR="008C187C" w:rsidRPr="008268C5" w:rsidRDefault="008C187C" w:rsidP="008C187C">
      <w:r w:rsidRPr="008268C5">
        <w:t xml:space="preserve">Geneva, </w:t>
      </w:r>
      <w:r>
        <w:t>6-9 November</w:t>
      </w:r>
      <w:r w:rsidRPr="008268C5">
        <w:t xml:space="preserve"> 201</w:t>
      </w:r>
      <w:r>
        <w:t>8</w:t>
      </w:r>
    </w:p>
    <w:p w:rsidR="008C187C" w:rsidRDefault="008C187C" w:rsidP="008C187C">
      <w:r w:rsidRPr="00566B2D">
        <w:t xml:space="preserve">Item </w:t>
      </w:r>
      <w:r>
        <w:t xml:space="preserve">6 </w:t>
      </w:r>
      <w:r w:rsidRPr="00566B2D">
        <w:t>of the provisional agenda</w:t>
      </w:r>
      <w:r>
        <w:t>:</w:t>
      </w:r>
    </w:p>
    <w:p w:rsidR="008C187C" w:rsidRPr="007D52F1" w:rsidRDefault="008C187C" w:rsidP="008C187C">
      <w:pPr>
        <w:rPr>
          <w:b/>
        </w:rPr>
      </w:pPr>
      <w:r>
        <w:rPr>
          <w:b/>
        </w:rPr>
        <w:t>Interpretation of ADR</w:t>
      </w:r>
    </w:p>
    <w:p w:rsidR="008C187C" w:rsidRPr="00890ED4" w:rsidRDefault="008C187C" w:rsidP="008C187C">
      <w:pPr>
        <w:pStyle w:val="HChG"/>
      </w:pPr>
      <w:r>
        <w:tab/>
      </w:r>
      <w:r>
        <w:tab/>
      </w:r>
      <w:r w:rsidRPr="00890ED4">
        <w:t xml:space="preserve">Proposal for </w:t>
      </w:r>
      <w:r w:rsidR="00A1289A">
        <w:t xml:space="preserve">clarification of the </w:t>
      </w:r>
      <w:r w:rsidR="00F41851">
        <w:t>terminology in 1.1.3.1 (c)</w:t>
      </w:r>
    </w:p>
    <w:p w:rsidR="008C187C" w:rsidRPr="00890ED4" w:rsidRDefault="008C187C" w:rsidP="008C187C">
      <w:pPr>
        <w:pStyle w:val="H1G"/>
      </w:pPr>
      <w:r>
        <w:tab/>
      </w:r>
      <w:r>
        <w:tab/>
      </w:r>
      <w:r w:rsidRPr="00890ED4">
        <w:t xml:space="preserve">Transmitted by the Government of </w:t>
      </w:r>
      <w:r>
        <w:t xml:space="preserve">Georgia </w:t>
      </w:r>
    </w:p>
    <w:tbl>
      <w:tblPr>
        <w:tblStyle w:val="TableGrid"/>
        <w:tblW w:w="0" w:type="auto"/>
        <w:jc w:val="center"/>
        <w:tblLook w:val="05E0" w:firstRow="1" w:lastRow="1" w:firstColumn="1" w:lastColumn="1" w:noHBand="0" w:noVBand="1"/>
      </w:tblPr>
      <w:tblGrid>
        <w:gridCol w:w="9629"/>
      </w:tblGrid>
      <w:tr w:rsidR="008C187C" w:rsidTr="00346F6A">
        <w:trPr>
          <w:jc w:val="center"/>
        </w:trPr>
        <w:tc>
          <w:tcPr>
            <w:tcW w:w="9629" w:type="dxa"/>
            <w:tcBorders>
              <w:bottom w:val="nil"/>
            </w:tcBorders>
          </w:tcPr>
          <w:p w:rsidR="008C187C" w:rsidRPr="00E57878" w:rsidRDefault="008C187C" w:rsidP="00E92FE9">
            <w:pPr>
              <w:tabs>
                <w:tab w:val="left" w:pos="255"/>
              </w:tabs>
              <w:suppressAutoHyphens w:val="0"/>
              <w:spacing w:before="240" w:after="120"/>
              <w:rPr>
                <w:sz w:val="24"/>
              </w:rPr>
            </w:pPr>
            <w:r>
              <w:tab/>
            </w:r>
            <w:r>
              <w:rPr>
                <w:i/>
                <w:sz w:val="24"/>
              </w:rPr>
              <w:t>Summary</w:t>
            </w:r>
          </w:p>
        </w:tc>
      </w:tr>
      <w:tr w:rsidR="008C187C" w:rsidTr="00346F6A">
        <w:trPr>
          <w:jc w:val="center"/>
        </w:trPr>
        <w:tc>
          <w:tcPr>
            <w:tcW w:w="9629" w:type="dxa"/>
            <w:tcBorders>
              <w:top w:val="nil"/>
              <w:bottom w:val="nil"/>
            </w:tcBorders>
            <w:shd w:val="clear" w:color="auto" w:fill="auto"/>
          </w:tcPr>
          <w:p w:rsidR="008C187C" w:rsidRDefault="008C187C" w:rsidP="00E92FE9">
            <w:pPr>
              <w:pStyle w:val="SingleTxtG"/>
              <w:tabs>
                <w:tab w:val="left" w:pos="3260"/>
              </w:tabs>
              <w:ind w:left="3260" w:hanging="2126"/>
            </w:pPr>
            <w:r w:rsidRPr="00B364BE">
              <w:rPr>
                <w:b/>
                <w:szCs w:val="22"/>
              </w:rPr>
              <w:t>Executive</w:t>
            </w:r>
            <w:r w:rsidRPr="00890ED4">
              <w:t xml:space="preserve"> </w:t>
            </w:r>
            <w:r w:rsidRPr="00B364BE">
              <w:rPr>
                <w:b/>
              </w:rPr>
              <w:t>summary</w:t>
            </w:r>
            <w:r w:rsidRPr="00890ED4">
              <w:t>:</w:t>
            </w:r>
            <w:r w:rsidRPr="00890ED4">
              <w:tab/>
            </w:r>
            <w:r w:rsidR="00F41851">
              <w:t>In implementing ADR in our national legislation, we have been facing a problem of interpretation of the terminology of paragraph 1.1.3.1 (c).</w:t>
            </w:r>
          </w:p>
        </w:tc>
      </w:tr>
      <w:tr w:rsidR="008C187C" w:rsidTr="00D77371">
        <w:trPr>
          <w:jc w:val="center"/>
        </w:trPr>
        <w:tc>
          <w:tcPr>
            <w:tcW w:w="9629" w:type="dxa"/>
            <w:tcBorders>
              <w:top w:val="nil"/>
              <w:bottom w:val="nil"/>
            </w:tcBorders>
            <w:shd w:val="clear" w:color="auto" w:fill="auto"/>
          </w:tcPr>
          <w:p w:rsidR="008C187C" w:rsidRDefault="008C187C" w:rsidP="00E92FE9">
            <w:pPr>
              <w:pStyle w:val="SingleTxtG"/>
              <w:tabs>
                <w:tab w:val="left" w:pos="3260"/>
              </w:tabs>
              <w:ind w:left="3260" w:hanging="2126"/>
            </w:pPr>
            <w:r w:rsidRPr="00B364BE">
              <w:rPr>
                <w:b/>
              </w:rPr>
              <w:t>Action to be taken</w:t>
            </w:r>
            <w:r w:rsidRPr="00890ED4">
              <w:t>:</w:t>
            </w:r>
            <w:r w:rsidRPr="00890ED4">
              <w:tab/>
            </w:r>
            <w:r w:rsidR="00F41851">
              <w:t>Clarification of terminology in 1.1.3.1 (c)</w:t>
            </w:r>
          </w:p>
        </w:tc>
      </w:tr>
      <w:tr w:rsidR="00D77371" w:rsidTr="00346F6A">
        <w:trPr>
          <w:jc w:val="center"/>
        </w:trPr>
        <w:tc>
          <w:tcPr>
            <w:tcW w:w="9629" w:type="dxa"/>
            <w:tcBorders>
              <w:top w:val="nil"/>
              <w:bottom w:val="single" w:sz="4" w:space="0" w:color="auto"/>
            </w:tcBorders>
            <w:shd w:val="clear" w:color="auto" w:fill="auto"/>
          </w:tcPr>
          <w:p w:rsidR="00D77371" w:rsidRPr="00B364BE" w:rsidRDefault="00D77371" w:rsidP="00E92FE9">
            <w:pPr>
              <w:pStyle w:val="SingleTxtG"/>
              <w:tabs>
                <w:tab w:val="left" w:pos="3260"/>
              </w:tabs>
              <w:ind w:left="3260" w:hanging="2126"/>
              <w:rPr>
                <w:b/>
              </w:rPr>
            </w:pPr>
          </w:p>
        </w:tc>
      </w:tr>
    </w:tbl>
    <w:p w:rsidR="00346F6A" w:rsidRDefault="00346F6A" w:rsidP="00346F6A">
      <w:pPr>
        <w:jc w:val="both"/>
        <w:rPr>
          <w:rFonts w:ascii="Sylfaen" w:hAnsi="Sylfaen"/>
        </w:rPr>
      </w:pPr>
    </w:p>
    <w:p w:rsidR="00623339" w:rsidRPr="00D77371" w:rsidRDefault="00D77371" w:rsidP="00D77371">
      <w:pPr>
        <w:pStyle w:val="SingleTxtG"/>
      </w:pPr>
      <w:r>
        <w:tab/>
        <w:t>1.</w:t>
      </w:r>
      <w:r>
        <w:tab/>
      </w:r>
      <w:r w:rsidR="00623339" w:rsidRPr="00D77371">
        <w:rPr>
          <w:i/>
          <w:iCs/>
        </w:rPr>
        <w:t>The paragraph</w:t>
      </w:r>
      <w:r w:rsidR="00346F6A" w:rsidRPr="00D77371">
        <w:rPr>
          <w:i/>
          <w:iCs/>
        </w:rPr>
        <w:t xml:space="preserve"> 1.1.3.1(c) of ADR states the following: “</w:t>
      </w:r>
      <w:r w:rsidR="00623339" w:rsidRPr="00D77371">
        <w:rPr>
          <w:i/>
          <w:iCs/>
        </w:rPr>
        <w:t>The carriage undertaken by enterprises which is ancillary to their main activity, such as deliveries to or returns from building or civil engineering sites, or in relation to surveying, repairs and maintenance, in quantities of not more than 450 litres per packaging, including intermediate bulk containers (IBCs) and large packagings, and within the maximum quantities specified in 1.1.3.6. Measures shall be taken to prevent any leakage of contents in normal conditions of carriage. These exemptions do not apply to Class</w:t>
      </w:r>
      <w:r w:rsidR="00623339" w:rsidRPr="00D77371">
        <w:rPr>
          <w:i/>
          <w:iCs/>
          <w:spacing w:val="-10"/>
        </w:rPr>
        <w:t xml:space="preserve"> </w:t>
      </w:r>
      <w:r w:rsidR="00623339" w:rsidRPr="00D77371">
        <w:rPr>
          <w:i/>
          <w:iCs/>
        </w:rPr>
        <w:t>7.</w:t>
      </w:r>
    </w:p>
    <w:p w:rsidR="00346F6A" w:rsidRPr="00F41851" w:rsidRDefault="00D77371" w:rsidP="00D77371">
      <w:pPr>
        <w:pStyle w:val="SingleTxtG"/>
        <w:rPr>
          <w:rFonts w:asciiTheme="majorBidi" w:hAnsiTheme="majorBidi" w:cstheme="majorBidi"/>
          <w:i/>
          <w:iCs/>
        </w:rPr>
      </w:pPr>
      <w:r w:rsidRPr="003D1366">
        <w:rPr>
          <w:rFonts w:asciiTheme="majorBidi" w:hAnsiTheme="majorBidi" w:cstheme="majorBidi"/>
        </w:rPr>
        <w:t>2</w:t>
      </w:r>
      <w:r>
        <w:rPr>
          <w:rFonts w:asciiTheme="majorBidi" w:hAnsiTheme="majorBidi" w:cstheme="majorBidi"/>
          <w:i/>
          <w:iCs/>
        </w:rPr>
        <w:t>.</w:t>
      </w:r>
      <w:r>
        <w:rPr>
          <w:rFonts w:asciiTheme="majorBidi" w:hAnsiTheme="majorBidi" w:cstheme="majorBidi"/>
          <w:i/>
          <w:iCs/>
        </w:rPr>
        <w:tab/>
      </w:r>
      <w:r w:rsidR="00623339" w:rsidRPr="00F41851">
        <w:rPr>
          <w:rFonts w:asciiTheme="majorBidi" w:hAnsiTheme="majorBidi" w:cstheme="majorBidi"/>
          <w:i/>
          <w:iCs/>
        </w:rPr>
        <w:t xml:space="preserve">Carriage </w:t>
      </w:r>
      <w:r w:rsidR="00623339" w:rsidRPr="00F41851">
        <w:rPr>
          <w:rFonts w:asciiTheme="majorBidi" w:hAnsiTheme="majorBidi" w:cstheme="majorBidi"/>
          <w:b/>
          <w:bCs/>
          <w:i/>
          <w:iCs/>
          <w:u w:val="single"/>
        </w:rPr>
        <w:t>undertaken by such enterprises for their supply</w:t>
      </w:r>
      <w:r w:rsidR="00623339" w:rsidRPr="00F41851">
        <w:rPr>
          <w:rFonts w:asciiTheme="majorBidi" w:hAnsiTheme="majorBidi" w:cstheme="majorBidi"/>
          <w:i/>
          <w:iCs/>
        </w:rPr>
        <w:t xml:space="preserve"> or </w:t>
      </w:r>
      <w:r w:rsidR="00623339" w:rsidRPr="00F41851">
        <w:rPr>
          <w:rFonts w:asciiTheme="majorBidi" w:hAnsiTheme="majorBidi" w:cstheme="majorBidi"/>
          <w:b/>
          <w:bCs/>
          <w:i/>
          <w:iCs/>
          <w:u w:val="single"/>
        </w:rPr>
        <w:t>external or internal distribution</w:t>
      </w:r>
      <w:r w:rsidR="00623339" w:rsidRPr="00F41851">
        <w:rPr>
          <w:rFonts w:asciiTheme="majorBidi" w:hAnsiTheme="majorBidi" w:cstheme="majorBidi"/>
          <w:i/>
          <w:iCs/>
        </w:rPr>
        <w:t xml:space="preserve"> does not fall within the scope of this</w:t>
      </w:r>
      <w:r w:rsidR="00623339" w:rsidRPr="00F41851">
        <w:rPr>
          <w:rFonts w:asciiTheme="majorBidi" w:hAnsiTheme="majorBidi" w:cstheme="majorBidi"/>
          <w:i/>
          <w:iCs/>
          <w:spacing w:val="-3"/>
        </w:rPr>
        <w:t xml:space="preserve"> </w:t>
      </w:r>
      <w:r w:rsidR="00623339" w:rsidRPr="00F41851">
        <w:rPr>
          <w:rFonts w:asciiTheme="majorBidi" w:hAnsiTheme="majorBidi" w:cstheme="majorBidi"/>
          <w:i/>
          <w:iCs/>
        </w:rPr>
        <w:t>exemption</w:t>
      </w:r>
      <w:r w:rsidR="00346F6A" w:rsidRPr="00F41851">
        <w:rPr>
          <w:rFonts w:asciiTheme="majorBidi" w:hAnsiTheme="majorBidi" w:cstheme="majorBidi"/>
          <w:i/>
          <w:iCs/>
        </w:rPr>
        <w:t xml:space="preserve">;”.  </w:t>
      </w:r>
    </w:p>
    <w:p w:rsidR="00346F6A" w:rsidRDefault="00D77371" w:rsidP="00D77371">
      <w:pPr>
        <w:jc w:val="both"/>
        <w:rPr>
          <w:rFonts w:asciiTheme="majorBidi" w:hAnsiTheme="majorBidi" w:cstheme="majorBidi"/>
        </w:rPr>
      </w:pPr>
      <w:r>
        <w:rPr>
          <w:rFonts w:asciiTheme="majorBidi" w:hAnsiTheme="majorBidi" w:cstheme="majorBidi"/>
        </w:rPr>
        <w:tab/>
      </w:r>
      <w:r w:rsidR="003D1366">
        <w:rPr>
          <w:rFonts w:asciiTheme="majorBidi" w:hAnsiTheme="majorBidi" w:cstheme="majorBidi"/>
        </w:rPr>
        <w:tab/>
        <w:t>3.</w:t>
      </w:r>
      <w:r w:rsidR="003D1366">
        <w:rPr>
          <w:rFonts w:asciiTheme="majorBidi" w:hAnsiTheme="majorBidi" w:cstheme="majorBidi"/>
        </w:rPr>
        <w:tab/>
      </w:r>
      <w:r w:rsidR="00346F6A" w:rsidRPr="00D77371">
        <w:rPr>
          <w:rFonts w:asciiTheme="majorBidi" w:hAnsiTheme="majorBidi" w:cstheme="majorBidi"/>
        </w:rPr>
        <w:t xml:space="preserve">We </w:t>
      </w:r>
      <w:r w:rsidR="00F41851" w:rsidRPr="00D77371">
        <w:rPr>
          <w:rFonts w:asciiTheme="majorBidi" w:hAnsiTheme="majorBidi" w:cstheme="majorBidi"/>
        </w:rPr>
        <w:t xml:space="preserve">would like to seek clarification for the text in bold and italics above. </w:t>
      </w:r>
    </w:p>
    <w:p w:rsidR="003D1366" w:rsidRPr="003D1366" w:rsidRDefault="003D1366" w:rsidP="003D1366">
      <w:pPr>
        <w:spacing w:before="240"/>
        <w:ind w:left="1134" w:right="1134"/>
        <w:jc w:val="center"/>
        <w:rPr>
          <w:rFonts w:asciiTheme="majorBidi" w:hAnsiTheme="majorBidi" w:cstheme="majorBidi"/>
          <w:u w:val="single"/>
        </w:rPr>
      </w:pP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p>
    <w:bookmarkEnd w:id="0"/>
    <w:sectPr w:rsidR="003D1366" w:rsidRPr="003D1366" w:rsidSect="0048397A">
      <w:footerReference w:type="first" r:id="rId7"/>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E5B" w:rsidRDefault="004D0E5B"/>
  </w:endnote>
  <w:endnote w:type="continuationSeparator" w:id="0">
    <w:p w:rsidR="004D0E5B" w:rsidRDefault="004D0E5B"/>
  </w:endnote>
  <w:endnote w:type="continuationNotice" w:id="1">
    <w:p w:rsidR="004D0E5B" w:rsidRDefault="004D0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1E5" w:rsidRPr="0048397A" w:rsidRDefault="00FF7D48">
    <w:pPr>
      <w:pStyle w:val="Footer"/>
      <w:rPr>
        <w:sz w:val="20"/>
      </w:rPr>
    </w:pPr>
    <w:r>
      <w:rPr>
        <w:noProof/>
        <w:sz w:val="20"/>
        <w:lang w:eastAsia="en-GB"/>
      </w:rPr>
      <w:drawing>
        <wp:anchor distT="0" distB="0" distL="114300" distR="114300" simplePos="0" relativeHeight="251657728" behindDoc="0" locked="1" layoutInCell="1" allowOverlap="1">
          <wp:simplePos x="0" y="0"/>
          <wp:positionH relativeFrom="column">
            <wp:posOffset>5148580</wp:posOffset>
          </wp:positionH>
          <wp:positionV relativeFrom="paragraph">
            <wp:posOffset>-79375</wp:posOffset>
          </wp:positionV>
          <wp:extent cx="930275" cy="230505"/>
          <wp:effectExtent l="0" t="0" r="317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E5B" w:rsidRPr="000B175B" w:rsidRDefault="004D0E5B" w:rsidP="000B175B">
      <w:pPr>
        <w:tabs>
          <w:tab w:val="right" w:pos="2155"/>
        </w:tabs>
        <w:spacing w:after="80"/>
        <w:ind w:left="680"/>
        <w:rPr>
          <w:u w:val="single"/>
        </w:rPr>
      </w:pPr>
      <w:r>
        <w:rPr>
          <w:u w:val="single"/>
        </w:rPr>
        <w:tab/>
      </w:r>
    </w:p>
  </w:footnote>
  <w:footnote w:type="continuationSeparator" w:id="0">
    <w:p w:rsidR="004D0E5B" w:rsidRPr="00FC68B7" w:rsidRDefault="004D0E5B" w:rsidP="00FC68B7">
      <w:pPr>
        <w:tabs>
          <w:tab w:val="left" w:pos="2155"/>
        </w:tabs>
        <w:spacing w:after="80"/>
        <w:ind w:left="680"/>
        <w:rPr>
          <w:u w:val="single"/>
        </w:rPr>
      </w:pPr>
      <w:r>
        <w:rPr>
          <w:u w:val="single"/>
        </w:rPr>
        <w:tab/>
      </w:r>
    </w:p>
  </w:footnote>
  <w:footnote w:type="continuationNotice" w:id="1">
    <w:p w:rsidR="004D0E5B" w:rsidRDefault="004D0E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6067D96"/>
    <w:multiLevelType w:val="multilevel"/>
    <w:tmpl w:val="33FA71A8"/>
    <w:lvl w:ilvl="0">
      <w:start w:val="1"/>
      <w:numFmt w:val="decimal"/>
      <w:lvlText w:val="%1"/>
      <w:lvlJc w:val="left"/>
      <w:pPr>
        <w:ind w:left="1611" w:hanging="1419"/>
      </w:pPr>
      <w:rPr>
        <w:rFonts w:hint="default"/>
      </w:rPr>
    </w:lvl>
    <w:lvl w:ilvl="1">
      <w:start w:val="1"/>
      <w:numFmt w:val="decimal"/>
      <w:lvlText w:val="%1.%2"/>
      <w:lvlJc w:val="left"/>
      <w:pPr>
        <w:ind w:left="1611" w:hanging="1419"/>
      </w:pPr>
      <w:rPr>
        <w:rFonts w:hint="default"/>
      </w:rPr>
    </w:lvl>
    <w:lvl w:ilvl="2">
      <w:start w:val="1"/>
      <w:numFmt w:val="decimal"/>
      <w:lvlText w:val="%1.%2.%3"/>
      <w:lvlJc w:val="left"/>
      <w:pPr>
        <w:ind w:left="1611" w:hanging="1419"/>
      </w:pPr>
      <w:rPr>
        <w:rFonts w:ascii="Times New Roman" w:eastAsia="Times New Roman" w:hAnsi="Times New Roman" w:cs="Times New Roman" w:hint="default"/>
        <w:b/>
        <w:bCs/>
        <w:spacing w:val="0"/>
        <w:w w:val="99"/>
        <w:sz w:val="20"/>
        <w:szCs w:val="20"/>
      </w:rPr>
    </w:lvl>
    <w:lvl w:ilvl="3">
      <w:start w:val="1"/>
      <w:numFmt w:val="decimal"/>
      <w:lvlText w:val="%1.%2.%3.%4"/>
      <w:lvlJc w:val="left"/>
      <w:pPr>
        <w:ind w:left="1610" w:hanging="1419"/>
      </w:pPr>
      <w:rPr>
        <w:rFonts w:hint="default"/>
        <w:b/>
        <w:bCs/>
        <w:spacing w:val="-2"/>
        <w:w w:val="99"/>
      </w:rPr>
    </w:lvl>
    <w:lvl w:ilvl="4">
      <w:start w:val="1"/>
      <w:numFmt w:val="lowerLetter"/>
      <w:lvlText w:val="(%5)"/>
      <w:lvlJc w:val="left"/>
      <w:pPr>
        <w:ind w:left="2176" w:hanging="1419"/>
      </w:pPr>
      <w:rPr>
        <w:rFonts w:ascii="Times New Roman" w:eastAsia="Times New Roman" w:hAnsi="Times New Roman" w:cs="Times New Roman" w:hint="default"/>
        <w:w w:val="99"/>
        <w:sz w:val="20"/>
        <w:szCs w:val="20"/>
      </w:rPr>
    </w:lvl>
    <w:lvl w:ilvl="5">
      <w:numFmt w:val="bullet"/>
      <w:lvlText w:val="-"/>
      <w:lvlJc w:val="left"/>
      <w:pPr>
        <w:ind w:left="2742" w:hanging="1419"/>
      </w:pPr>
      <w:rPr>
        <w:rFonts w:ascii="Times New Roman" w:eastAsia="Times New Roman" w:hAnsi="Times New Roman" w:cs="Times New Roman" w:hint="default"/>
        <w:w w:val="99"/>
        <w:sz w:val="20"/>
        <w:szCs w:val="20"/>
      </w:rPr>
    </w:lvl>
    <w:lvl w:ilvl="6">
      <w:numFmt w:val="bullet"/>
      <w:lvlText w:val="•"/>
      <w:lvlJc w:val="left"/>
      <w:pPr>
        <w:ind w:left="5214" w:hanging="1419"/>
      </w:pPr>
      <w:rPr>
        <w:rFonts w:hint="default"/>
      </w:rPr>
    </w:lvl>
    <w:lvl w:ilvl="7">
      <w:numFmt w:val="bullet"/>
      <w:lvlText w:val="•"/>
      <w:lvlJc w:val="left"/>
      <w:pPr>
        <w:ind w:left="6452" w:hanging="1419"/>
      </w:pPr>
      <w:rPr>
        <w:rFonts w:hint="default"/>
      </w:rPr>
    </w:lvl>
    <w:lvl w:ilvl="8">
      <w:numFmt w:val="bullet"/>
      <w:lvlText w:val="•"/>
      <w:lvlJc w:val="left"/>
      <w:pPr>
        <w:ind w:left="7689" w:hanging="1419"/>
      </w:pPr>
      <w:rPr>
        <w:rFonts w:hint="default"/>
      </w:rPr>
    </w:lvl>
  </w:abstractNum>
  <w:abstractNum w:abstractNumId="1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15E65"/>
    <w:multiLevelType w:val="hybridMultilevel"/>
    <w:tmpl w:val="14C8C25E"/>
    <w:lvl w:ilvl="0" w:tplc="0214F63A">
      <w:start w:val="1"/>
      <w:numFmt w:val="decimal"/>
      <w:lvlText w:val="%1."/>
      <w:lvlJc w:val="left"/>
      <w:pPr>
        <w:ind w:left="360" w:hanging="360"/>
      </w:pPr>
      <w:rPr>
        <w:rFonts w:asciiTheme="majorBidi" w:hAnsiTheme="majorBidi" w:cstheme="majorBidi" w:hint="default"/>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3"/>
  </w:num>
  <w:num w:numId="12">
    <w:abstractNumId w:val="11"/>
  </w:num>
  <w:num w:numId="13">
    <w:abstractNumId w:val="10"/>
  </w:num>
  <w:num w:numId="14">
    <w:abstractNumId w:val="14"/>
  </w:num>
  <w:num w:numId="15">
    <w:abstractNumId w:val="16"/>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7C"/>
    <w:rsid w:val="00046B1F"/>
    <w:rsid w:val="00050F6B"/>
    <w:rsid w:val="00057E97"/>
    <w:rsid w:val="000646F4"/>
    <w:rsid w:val="00072C8C"/>
    <w:rsid w:val="000733B5"/>
    <w:rsid w:val="00081815"/>
    <w:rsid w:val="000931C0"/>
    <w:rsid w:val="000948C1"/>
    <w:rsid w:val="000B0595"/>
    <w:rsid w:val="000B175B"/>
    <w:rsid w:val="000B3A0F"/>
    <w:rsid w:val="000B4EF7"/>
    <w:rsid w:val="000C2C03"/>
    <w:rsid w:val="000C2D2E"/>
    <w:rsid w:val="000E0415"/>
    <w:rsid w:val="001103AA"/>
    <w:rsid w:val="0011666B"/>
    <w:rsid w:val="00165F3A"/>
    <w:rsid w:val="001B4B04"/>
    <w:rsid w:val="001C6663"/>
    <w:rsid w:val="001C7895"/>
    <w:rsid w:val="001D0C8C"/>
    <w:rsid w:val="001D1419"/>
    <w:rsid w:val="001D26DF"/>
    <w:rsid w:val="001D3A03"/>
    <w:rsid w:val="001E7B67"/>
    <w:rsid w:val="00202DA8"/>
    <w:rsid w:val="00211E0B"/>
    <w:rsid w:val="00232275"/>
    <w:rsid w:val="00237E67"/>
    <w:rsid w:val="0024772E"/>
    <w:rsid w:val="00267F5F"/>
    <w:rsid w:val="00286B4D"/>
    <w:rsid w:val="002D4643"/>
    <w:rsid w:val="002F175C"/>
    <w:rsid w:val="00302E18"/>
    <w:rsid w:val="003229D8"/>
    <w:rsid w:val="00346F6A"/>
    <w:rsid w:val="00352709"/>
    <w:rsid w:val="003619B5"/>
    <w:rsid w:val="00365763"/>
    <w:rsid w:val="00371178"/>
    <w:rsid w:val="00392E47"/>
    <w:rsid w:val="003A6810"/>
    <w:rsid w:val="003C2CC4"/>
    <w:rsid w:val="003D1366"/>
    <w:rsid w:val="003D1847"/>
    <w:rsid w:val="003D4B23"/>
    <w:rsid w:val="003E130E"/>
    <w:rsid w:val="00410C89"/>
    <w:rsid w:val="00422E03"/>
    <w:rsid w:val="00426B9B"/>
    <w:rsid w:val="004325CB"/>
    <w:rsid w:val="00442A83"/>
    <w:rsid w:val="0045495B"/>
    <w:rsid w:val="004561E5"/>
    <w:rsid w:val="0048397A"/>
    <w:rsid w:val="00485CBB"/>
    <w:rsid w:val="004866B7"/>
    <w:rsid w:val="004C2461"/>
    <w:rsid w:val="004C7462"/>
    <w:rsid w:val="004D0E5B"/>
    <w:rsid w:val="004E77B2"/>
    <w:rsid w:val="00504B2D"/>
    <w:rsid w:val="0052136D"/>
    <w:rsid w:val="0052775E"/>
    <w:rsid w:val="005420F2"/>
    <w:rsid w:val="005628B6"/>
    <w:rsid w:val="005941EC"/>
    <w:rsid w:val="0059724D"/>
    <w:rsid w:val="005B3DB3"/>
    <w:rsid w:val="005B4E13"/>
    <w:rsid w:val="005C342F"/>
    <w:rsid w:val="005F7B75"/>
    <w:rsid w:val="006001EE"/>
    <w:rsid w:val="00605042"/>
    <w:rsid w:val="00611FC4"/>
    <w:rsid w:val="006176FB"/>
    <w:rsid w:val="00623339"/>
    <w:rsid w:val="00640B26"/>
    <w:rsid w:val="00652D0A"/>
    <w:rsid w:val="00662BB6"/>
    <w:rsid w:val="00676606"/>
    <w:rsid w:val="00684C21"/>
    <w:rsid w:val="006A2530"/>
    <w:rsid w:val="006C3589"/>
    <w:rsid w:val="006D37AF"/>
    <w:rsid w:val="006D51D0"/>
    <w:rsid w:val="006D5FB9"/>
    <w:rsid w:val="006E564B"/>
    <w:rsid w:val="006E7191"/>
    <w:rsid w:val="00703577"/>
    <w:rsid w:val="00705894"/>
    <w:rsid w:val="0072632A"/>
    <w:rsid w:val="007327D5"/>
    <w:rsid w:val="007629C8"/>
    <w:rsid w:val="0077047D"/>
    <w:rsid w:val="007B6BA5"/>
    <w:rsid w:val="007C3390"/>
    <w:rsid w:val="007C4F4B"/>
    <w:rsid w:val="007E01E9"/>
    <w:rsid w:val="007E63F3"/>
    <w:rsid w:val="007F6611"/>
    <w:rsid w:val="00811920"/>
    <w:rsid w:val="00815AD0"/>
    <w:rsid w:val="008242D7"/>
    <w:rsid w:val="008257B1"/>
    <w:rsid w:val="00832334"/>
    <w:rsid w:val="00843767"/>
    <w:rsid w:val="008679D9"/>
    <w:rsid w:val="008878DE"/>
    <w:rsid w:val="008979B1"/>
    <w:rsid w:val="008A6B25"/>
    <w:rsid w:val="008A6C4F"/>
    <w:rsid w:val="008B2335"/>
    <w:rsid w:val="008C187C"/>
    <w:rsid w:val="008E0678"/>
    <w:rsid w:val="008F31D2"/>
    <w:rsid w:val="00917FDE"/>
    <w:rsid w:val="009223CA"/>
    <w:rsid w:val="00940F93"/>
    <w:rsid w:val="009760F3"/>
    <w:rsid w:val="00976CFB"/>
    <w:rsid w:val="009A0830"/>
    <w:rsid w:val="009A0E8D"/>
    <w:rsid w:val="009B26E7"/>
    <w:rsid w:val="00A00697"/>
    <w:rsid w:val="00A00A3F"/>
    <w:rsid w:val="00A01489"/>
    <w:rsid w:val="00A1289A"/>
    <w:rsid w:val="00A3026E"/>
    <w:rsid w:val="00A338F1"/>
    <w:rsid w:val="00A35BE0"/>
    <w:rsid w:val="00A6129C"/>
    <w:rsid w:val="00A72F22"/>
    <w:rsid w:val="00A7360F"/>
    <w:rsid w:val="00A748A6"/>
    <w:rsid w:val="00A769F4"/>
    <w:rsid w:val="00A776B4"/>
    <w:rsid w:val="00A94361"/>
    <w:rsid w:val="00AA293C"/>
    <w:rsid w:val="00B30179"/>
    <w:rsid w:val="00B421C1"/>
    <w:rsid w:val="00B55C71"/>
    <w:rsid w:val="00B56E4A"/>
    <w:rsid w:val="00B56E9C"/>
    <w:rsid w:val="00B64B1F"/>
    <w:rsid w:val="00B6553F"/>
    <w:rsid w:val="00B77D05"/>
    <w:rsid w:val="00B81206"/>
    <w:rsid w:val="00B81E12"/>
    <w:rsid w:val="00BC3FA0"/>
    <w:rsid w:val="00BC74E9"/>
    <w:rsid w:val="00BF68A8"/>
    <w:rsid w:val="00C11A03"/>
    <w:rsid w:val="00C22C0C"/>
    <w:rsid w:val="00C4527F"/>
    <w:rsid w:val="00C463DD"/>
    <w:rsid w:val="00C4724C"/>
    <w:rsid w:val="00C629A0"/>
    <w:rsid w:val="00C64629"/>
    <w:rsid w:val="00C745C3"/>
    <w:rsid w:val="00C96DF2"/>
    <w:rsid w:val="00CB3E03"/>
    <w:rsid w:val="00CD4AA6"/>
    <w:rsid w:val="00CE4A8F"/>
    <w:rsid w:val="00D2031B"/>
    <w:rsid w:val="00D248B6"/>
    <w:rsid w:val="00D25FE2"/>
    <w:rsid w:val="00D43252"/>
    <w:rsid w:val="00D47EEA"/>
    <w:rsid w:val="00D77371"/>
    <w:rsid w:val="00D773DF"/>
    <w:rsid w:val="00D95303"/>
    <w:rsid w:val="00D978C6"/>
    <w:rsid w:val="00DA3C1C"/>
    <w:rsid w:val="00E046DF"/>
    <w:rsid w:val="00E27346"/>
    <w:rsid w:val="00E71BC8"/>
    <w:rsid w:val="00E7260F"/>
    <w:rsid w:val="00E73F5D"/>
    <w:rsid w:val="00E77E4E"/>
    <w:rsid w:val="00E96630"/>
    <w:rsid w:val="00ED7A2A"/>
    <w:rsid w:val="00EF1D7F"/>
    <w:rsid w:val="00EF3E9C"/>
    <w:rsid w:val="00F31E5F"/>
    <w:rsid w:val="00F41851"/>
    <w:rsid w:val="00F6100A"/>
    <w:rsid w:val="00F93781"/>
    <w:rsid w:val="00FA7D6D"/>
    <w:rsid w:val="00FB613B"/>
    <w:rsid w:val="00FC68B7"/>
    <w:rsid w:val="00FD3F98"/>
    <w:rsid w:val="00FD67D2"/>
    <w:rsid w:val="00FE106A"/>
    <w:rsid w:val="00FF145D"/>
    <w:rsid w:val="00FF500E"/>
    <w:rsid w:val="00FF7D02"/>
    <w:rsid w:val="00FF7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20C370"/>
  <w15:docId w15:val="{2862F69E-AAA8-4815-8EE4-70F45E70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basedOn w:val="DefaultParagraphFont"/>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uiPriority w:val="1"/>
    <w:qFormat/>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
    <w:basedOn w:val="DefaultParagraphFont"/>
    <w:rsid w:val="000646F4"/>
    <w:rPr>
      <w:rFonts w:ascii="Times New Roman" w:hAnsi="Times New Roman"/>
      <w:sz w:val="18"/>
      <w:vertAlign w:val="superscript"/>
    </w:rPr>
  </w:style>
  <w:style w:type="paragraph" w:styleId="FootnoteText">
    <w:name w:val="footnote text"/>
    <w:aliases w:val="5_G"/>
    <w:basedOn w:val="Normal"/>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basedOn w:val="DefaultParagraphFont"/>
    <w:semiHidden/>
    <w:rPr>
      <w:sz w:val="6"/>
    </w:rPr>
  </w:style>
  <w:style w:type="paragraph" w:styleId="CommentText">
    <w:name w:val="annotation text"/>
    <w:basedOn w:val="Normal"/>
    <w:semiHidden/>
  </w:style>
  <w:style w:type="character" w:styleId="LineNumber">
    <w:name w:val="line number"/>
    <w:basedOn w:val="DefaultParagraphFont"/>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character" w:customStyle="1" w:styleId="H1GChar">
    <w:name w:val="_ H_1_G Char"/>
    <w:link w:val="H1G"/>
    <w:rsid w:val="008C187C"/>
    <w:rPr>
      <w:b/>
      <w:sz w:val="24"/>
      <w:lang w:eastAsia="en-US"/>
    </w:rPr>
  </w:style>
  <w:style w:type="character" w:customStyle="1" w:styleId="SingleTxtGChar">
    <w:name w:val="_ Single Txt_G Char"/>
    <w:link w:val="SingleTxtG"/>
    <w:rsid w:val="008C187C"/>
    <w:rPr>
      <w:lang w:eastAsia="en-US"/>
    </w:rPr>
  </w:style>
  <w:style w:type="character" w:customStyle="1" w:styleId="HChGChar">
    <w:name w:val="_ H _Ch_G Char"/>
    <w:link w:val="HChG"/>
    <w:rsid w:val="008C187C"/>
    <w:rPr>
      <w:b/>
      <w:sz w:val="28"/>
      <w:lang w:eastAsia="en-US"/>
    </w:rPr>
  </w:style>
  <w:style w:type="character" w:customStyle="1" w:styleId="ttext">
    <w:name w:val="t_text"/>
    <w:basedOn w:val="DefaultParagraphFont"/>
    <w:rsid w:val="008C187C"/>
  </w:style>
  <w:style w:type="paragraph" w:styleId="ListParagraph">
    <w:name w:val="List Paragraph"/>
    <w:basedOn w:val="Normal"/>
    <w:uiPriority w:val="1"/>
    <w:qFormat/>
    <w:rsid w:val="00623339"/>
    <w:pPr>
      <w:widowControl w:val="0"/>
      <w:suppressAutoHyphens w:val="0"/>
      <w:autoSpaceDE w:val="0"/>
      <w:autoSpaceDN w:val="0"/>
      <w:spacing w:line="240" w:lineRule="auto"/>
      <w:ind w:left="2122" w:hanging="566"/>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ri\AppData\Roaming\Microsoft\Templates\TRANS\TRANS_WP15_AC1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TRANS_WP15_AC1_E.dotm</Template>
  <TotalTime>21</TotalTime>
  <Pages>1</Pages>
  <Words>211</Words>
  <Characters>1206</Characters>
  <Application>Microsoft Office Word</Application>
  <DocSecurity>0</DocSecurity>
  <Lines>10</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MS</dc:creator>
  <cp:lastModifiedBy>Christine Barrio-Champeau</cp:lastModifiedBy>
  <cp:revision>3</cp:revision>
  <cp:lastPrinted>2009-10-26T10:59:00Z</cp:lastPrinted>
  <dcterms:created xsi:type="dcterms:W3CDTF">2018-10-10T07:51:00Z</dcterms:created>
  <dcterms:modified xsi:type="dcterms:W3CDTF">2018-10-10T12:20:00Z</dcterms:modified>
</cp:coreProperties>
</file>