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1C6027">
            <w:pPr>
              <w:suppressAutoHyphens w:val="0"/>
              <w:spacing w:after="20"/>
              <w:jc w:val="right"/>
              <w:rPr>
                <w:b/>
                <w:sz w:val="28"/>
                <w:szCs w:val="28"/>
              </w:rPr>
            </w:pPr>
            <w:r w:rsidRPr="008268C5">
              <w:rPr>
                <w:b/>
                <w:sz w:val="28"/>
                <w:szCs w:val="28"/>
              </w:rPr>
              <w:t>INF.</w:t>
            </w:r>
            <w:r w:rsidR="00593107">
              <w:rPr>
                <w:b/>
                <w:sz w:val="28"/>
                <w:szCs w:val="28"/>
              </w:rPr>
              <w:t>13</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0502B0">
        <w:rPr>
          <w:b/>
        </w:rPr>
        <w:t>4</w:t>
      </w:r>
      <w:r w:rsidR="000502B0" w:rsidRPr="000502B0">
        <w:rPr>
          <w:b/>
          <w:vertAlign w:val="superscript"/>
        </w:rPr>
        <w:t>th</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3B7165">
        <w:rPr>
          <w:b/>
        </w:rPr>
        <w:t>19</w:t>
      </w:r>
      <w:r w:rsidR="00B3090D">
        <w:rPr>
          <w:b/>
        </w:rPr>
        <w:t xml:space="preserve"> April</w:t>
      </w:r>
      <w:r w:rsidR="008C678F">
        <w:rPr>
          <w:b/>
        </w:rPr>
        <w:t xml:space="preserve"> </w:t>
      </w:r>
      <w:r>
        <w:rPr>
          <w:b/>
        </w:rPr>
        <w:t>201</w:t>
      </w:r>
      <w:r w:rsidR="00B3090D">
        <w:rPr>
          <w:b/>
        </w:rPr>
        <w:t>8</w:t>
      </w:r>
    </w:p>
    <w:p w:rsidR="00AB32F7" w:rsidRPr="008268C5" w:rsidRDefault="00AB32F7" w:rsidP="00AB32F7">
      <w:r w:rsidRPr="008268C5">
        <w:t xml:space="preserve">Geneva, </w:t>
      </w:r>
      <w:r w:rsidR="00593107">
        <w:t>15</w:t>
      </w:r>
      <w:r w:rsidR="00875C74">
        <w:t>-</w:t>
      </w:r>
      <w:r w:rsidR="00B25EB2" w:rsidRPr="008268C5">
        <w:t>1</w:t>
      </w:r>
      <w:r w:rsidR="00593107">
        <w:t>7</w:t>
      </w:r>
      <w:r w:rsidRPr="008268C5">
        <w:t xml:space="preserve"> </w:t>
      </w:r>
      <w:r w:rsidR="000502B0">
        <w:t>May</w:t>
      </w:r>
      <w:r w:rsidRPr="008268C5">
        <w:t xml:space="preserve"> </w:t>
      </w:r>
      <w:r w:rsidR="00B25EB2" w:rsidRPr="008268C5">
        <w:t>201</w:t>
      </w:r>
      <w:r w:rsidR="000502B0">
        <w:t>8</w:t>
      </w:r>
    </w:p>
    <w:p w:rsidR="002F3C64" w:rsidRPr="004119B5" w:rsidRDefault="002F3C64" w:rsidP="002F3C64">
      <w:r w:rsidRPr="004119B5">
        <w:t xml:space="preserve">Item </w:t>
      </w:r>
      <w:r w:rsidR="00FB1A29">
        <w:t>6</w:t>
      </w:r>
      <w:r w:rsidRPr="004119B5">
        <w:t xml:space="preserve"> of the provisional agenda</w:t>
      </w:r>
    </w:p>
    <w:p w:rsidR="002F3C64" w:rsidRPr="00D105AA" w:rsidRDefault="00FB1A29" w:rsidP="002F3C64">
      <w:pPr>
        <w:rPr>
          <w:b/>
        </w:rPr>
      </w:pPr>
      <w:r>
        <w:rPr>
          <w:b/>
          <w:bCs/>
        </w:rPr>
        <w:t>Interpretation of ADR</w:t>
      </w:r>
    </w:p>
    <w:p w:rsidR="00A30C84" w:rsidRPr="00203773" w:rsidRDefault="003D3380" w:rsidP="008F03A8">
      <w:pPr>
        <w:pStyle w:val="HChG"/>
      </w:pPr>
      <w:r w:rsidRPr="008268C5">
        <w:rPr>
          <w:lang w:val="en-GB"/>
        </w:rPr>
        <w:tab/>
      </w:r>
      <w:r w:rsidRPr="008268C5">
        <w:rPr>
          <w:lang w:val="en-GB"/>
        </w:rPr>
        <w:tab/>
      </w:r>
      <w:r w:rsidR="000502B0">
        <w:rPr>
          <w:lang w:val="en-GB"/>
        </w:rPr>
        <w:t>4.1.3.8 Unpackaged articles other than Class 1 articles –</w:t>
      </w:r>
      <w:r w:rsidR="004A6935">
        <w:rPr>
          <w:lang w:val="en-GB"/>
        </w:rPr>
        <w:t>C</w:t>
      </w:r>
      <w:r w:rsidR="000502B0">
        <w:rPr>
          <w:lang w:val="en-GB"/>
        </w:rPr>
        <w:t xml:space="preserve">ompetent authority approval </w:t>
      </w:r>
    </w:p>
    <w:p w:rsidR="00A30C84" w:rsidRDefault="00A30C84" w:rsidP="00A30C84">
      <w:pPr>
        <w:pStyle w:val="H1G"/>
      </w:pPr>
      <w:r>
        <w:tab/>
      </w:r>
      <w:r>
        <w:tab/>
        <w:t xml:space="preserve">Transmitted by the Government of </w:t>
      </w:r>
      <w:r w:rsidR="00FB1A29">
        <w:t>Sweden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30C84" w:rsidRPr="00E62341" w:rsidTr="00C45E05">
        <w:trPr>
          <w:jc w:val="center"/>
        </w:trPr>
        <w:tc>
          <w:tcPr>
            <w:tcW w:w="9637" w:type="dxa"/>
            <w:tcBorders>
              <w:bottom w:val="nil"/>
            </w:tcBorders>
            <w:shd w:val="clear" w:color="auto" w:fill="auto"/>
          </w:tcPr>
          <w:p w:rsidR="00A30C84" w:rsidRPr="00E62341" w:rsidRDefault="00A30C84" w:rsidP="00C45E05">
            <w:pPr>
              <w:tabs>
                <w:tab w:val="left" w:pos="255"/>
              </w:tabs>
              <w:suppressAutoHyphens w:val="0"/>
              <w:spacing w:before="240" w:after="120"/>
              <w:rPr>
                <w:rFonts w:eastAsia="Arial"/>
                <w:sz w:val="24"/>
              </w:rPr>
            </w:pPr>
            <w:r>
              <w:br w:type="page"/>
            </w:r>
            <w:r w:rsidRPr="00E62341">
              <w:rPr>
                <w:rFonts w:eastAsia="Arial"/>
              </w:rPr>
              <w:tab/>
            </w:r>
            <w:r w:rsidRPr="00E62341">
              <w:rPr>
                <w:rFonts w:eastAsia="Arial"/>
                <w:i/>
                <w:sz w:val="24"/>
              </w:rPr>
              <w:t>Summary</w:t>
            </w:r>
          </w:p>
        </w:tc>
      </w:tr>
      <w:tr w:rsidR="00A30C84" w:rsidRPr="00E62341" w:rsidTr="00C45E05">
        <w:trPr>
          <w:jc w:val="center"/>
        </w:trPr>
        <w:tc>
          <w:tcPr>
            <w:tcW w:w="9637" w:type="dxa"/>
            <w:tcBorders>
              <w:top w:val="nil"/>
              <w:bottom w:val="nil"/>
            </w:tcBorders>
            <w:shd w:val="clear" w:color="auto" w:fill="auto"/>
          </w:tcPr>
          <w:p w:rsidR="00A30C84" w:rsidRPr="008C4ADB" w:rsidRDefault="00A30C84" w:rsidP="000502B0">
            <w:pPr>
              <w:pStyle w:val="SingleTxtG"/>
              <w:tabs>
                <w:tab w:val="left" w:pos="3260"/>
              </w:tabs>
              <w:ind w:left="3260" w:hanging="2126"/>
              <w:rPr>
                <w:b/>
                <w:szCs w:val="22"/>
                <w:lang w:val="en-GB"/>
              </w:rPr>
            </w:pPr>
            <w:r w:rsidRPr="00E62341">
              <w:rPr>
                <w:b/>
                <w:szCs w:val="22"/>
              </w:rPr>
              <w:t>Executive summary</w:t>
            </w:r>
            <w:r w:rsidRPr="00E62341">
              <w:rPr>
                <w:szCs w:val="22"/>
              </w:rPr>
              <w:t>:</w:t>
            </w:r>
            <w:r w:rsidRPr="00E62341">
              <w:rPr>
                <w:szCs w:val="22"/>
              </w:rPr>
              <w:tab/>
            </w:r>
            <w:r w:rsidR="000502B0" w:rsidRPr="000502B0">
              <w:rPr>
                <w:szCs w:val="22"/>
                <w:lang w:val="en-GB"/>
              </w:rPr>
              <w:t xml:space="preserve">What is </w:t>
            </w:r>
            <w:r w:rsidR="000502B0">
              <w:rPr>
                <w:szCs w:val="22"/>
                <w:lang w:val="en-GB"/>
              </w:rPr>
              <w:t xml:space="preserve">intended with the “competent authority of </w:t>
            </w:r>
            <w:r w:rsidR="000502B0" w:rsidRPr="0006292C">
              <w:rPr>
                <w:i/>
                <w:szCs w:val="22"/>
                <w:lang w:val="en-GB"/>
              </w:rPr>
              <w:t>the country of origin</w:t>
            </w:r>
            <w:r w:rsidR="000502B0">
              <w:rPr>
                <w:szCs w:val="22"/>
                <w:lang w:val="en-GB"/>
              </w:rPr>
              <w:t>”</w:t>
            </w:r>
            <w:r w:rsidR="000502B0" w:rsidRPr="000502B0">
              <w:rPr>
                <w:szCs w:val="22"/>
                <w:lang w:val="en-GB"/>
              </w:rPr>
              <w:t xml:space="preserve"> in</w:t>
            </w:r>
            <w:r w:rsidR="000502B0">
              <w:rPr>
                <w:szCs w:val="22"/>
                <w:lang w:val="en-GB"/>
              </w:rPr>
              <w:t xml:space="preserve"> case of application of sub-section 4.1.3.8?</w:t>
            </w:r>
          </w:p>
        </w:tc>
      </w:tr>
      <w:tr w:rsidR="00A30C84" w:rsidRPr="00E62341" w:rsidTr="00C45E05">
        <w:trPr>
          <w:jc w:val="center"/>
        </w:trPr>
        <w:tc>
          <w:tcPr>
            <w:tcW w:w="9637" w:type="dxa"/>
            <w:tcBorders>
              <w:top w:val="nil"/>
              <w:bottom w:val="nil"/>
            </w:tcBorders>
            <w:shd w:val="clear" w:color="auto" w:fill="auto"/>
          </w:tcPr>
          <w:p w:rsidR="00A30C84" w:rsidRPr="00BB1184" w:rsidRDefault="00A30C84" w:rsidP="00BB1184">
            <w:pPr>
              <w:pStyle w:val="SingleTxtG"/>
              <w:tabs>
                <w:tab w:val="left" w:pos="3260"/>
              </w:tabs>
              <w:ind w:left="3260" w:hanging="2126"/>
              <w:rPr>
                <w:rFonts w:eastAsia="Arial"/>
                <w:lang w:val="en-GB"/>
              </w:rPr>
            </w:pPr>
            <w:r w:rsidRPr="00E62341">
              <w:rPr>
                <w:rFonts w:eastAsia="Arial"/>
                <w:b/>
              </w:rPr>
              <w:t>Action to be taken</w:t>
            </w:r>
            <w:r w:rsidRPr="00E62341">
              <w:rPr>
                <w:rFonts w:eastAsia="Arial"/>
              </w:rPr>
              <w:t>:</w:t>
            </w:r>
            <w:r w:rsidRPr="00E62341">
              <w:rPr>
                <w:rFonts w:eastAsia="Arial"/>
              </w:rPr>
              <w:tab/>
            </w:r>
            <w:r w:rsidR="00BB1184" w:rsidRPr="00BB1184">
              <w:rPr>
                <w:lang w:val="en-GB"/>
              </w:rPr>
              <w:t>I</w:t>
            </w:r>
            <w:r w:rsidR="00BB1184">
              <w:rPr>
                <w:lang w:val="en-GB"/>
              </w:rPr>
              <w:t>nterpretation</w:t>
            </w:r>
            <w:r w:rsidR="004A6935">
              <w:rPr>
                <w:lang w:val="en-GB"/>
              </w:rPr>
              <w:t xml:space="preserve"> of the term “country of origin”.</w:t>
            </w:r>
          </w:p>
        </w:tc>
      </w:tr>
      <w:tr w:rsidR="00A30C84" w:rsidRPr="00E62341" w:rsidTr="00C45E05">
        <w:trPr>
          <w:jc w:val="center"/>
        </w:trPr>
        <w:tc>
          <w:tcPr>
            <w:tcW w:w="9637" w:type="dxa"/>
            <w:tcBorders>
              <w:top w:val="nil"/>
            </w:tcBorders>
            <w:shd w:val="clear" w:color="auto" w:fill="auto"/>
          </w:tcPr>
          <w:p w:rsidR="00A30C84" w:rsidRPr="00E62341" w:rsidRDefault="00A30C84" w:rsidP="00C45E05">
            <w:pPr>
              <w:suppressAutoHyphens w:val="0"/>
              <w:rPr>
                <w:rFonts w:eastAsia="Arial"/>
              </w:rPr>
            </w:pPr>
          </w:p>
        </w:tc>
      </w:tr>
    </w:tbl>
    <w:p w:rsidR="000D7449" w:rsidRDefault="00A30C84" w:rsidP="000D7449">
      <w:pPr>
        <w:pStyle w:val="HChG"/>
      </w:pPr>
      <w:r>
        <w:tab/>
      </w:r>
      <w:r>
        <w:tab/>
      </w:r>
      <w:r w:rsidRPr="001B08A2">
        <w:t>Introduction</w:t>
      </w:r>
    </w:p>
    <w:p w:rsidR="00593107" w:rsidRDefault="000502B0" w:rsidP="00741721">
      <w:pPr>
        <w:pStyle w:val="BodyText"/>
        <w:ind w:left="1134" w:right="1134"/>
        <w:jc w:val="both"/>
      </w:pPr>
      <w:r>
        <w:t xml:space="preserve">Under certain conditions, sub-section </w:t>
      </w:r>
      <w:r w:rsidR="00C05DD1">
        <w:t xml:space="preserve">4.1.3.8 </w:t>
      </w:r>
      <w:r>
        <w:t>allows for the carriage of large and robust articles, other than Class 1 articles, to be carried empty, uncleaned and unpackaged after approval from the competent authority of the country of origin. The Government of Sweden find</w:t>
      </w:r>
      <w:r w:rsidR="004A6935">
        <w:t>s</w:t>
      </w:r>
      <w:r>
        <w:t xml:space="preserve"> </w:t>
      </w:r>
      <w:r w:rsidR="004A6935">
        <w:t>the term “country of origin”</w:t>
      </w:r>
      <w:r>
        <w:t xml:space="preserve"> unclear </w:t>
      </w:r>
      <w:r w:rsidR="004A6935">
        <w:t xml:space="preserve">and would like to know </w:t>
      </w:r>
      <w:r w:rsidR="00D872A3">
        <w:t>what is intended.</w:t>
      </w:r>
    </w:p>
    <w:p w:rsidR="000D7449" w:rsidRDefault="000D7449" w:rsidP="000D7449">
      <w:pPr>
        <w:pStyle w:val="HChG"/>
        <w:jc w:val="both"/>
      </w:pPr>
      <w:r>
        <w:tab/>
      </w:r>
      <w:r>
        <w:tab/>
      </w:r>
      <w:r w:rsidR="00D91A8D" w:rsidRPr="001B08A2">
        <w:t>Background</w:t>
      </w:r>
    </w:p>
    <w:p w:rsidR="00022A1E" w:rsidRDefault="0063122B" w:rsidP="00022A1E">
      <w:pPr>
        <w:pStyle w:val="BodyText"/>
        <w:ind w:left="1134" w:right="1134"/>
        <w:jc w:val="both"/>
      </w:pPr>
      <w:r>
        <w:t>Re</w:t>
      </w:r>
      <w:r w:rsidRPr="00C05DD1">
        <w:t>cently</w:t>
      </w:r>
      <w:r w:rsidR="00C05DD1" w:rsidRPr="00C05DD1">
        <w:t xml:space="preserve">, we had a case in Sweden where </w:t>
      </w:r>
      <w:r w:rsidR="00022A1E">
        <w:t xml:space="preserve">the </w:t>
      </w:r>
      <w:r w:rsidR="00C05DD1" w:rsidRPr="00C05DD1">
        <w:t xml:space="preserve">Swedish </w:t>
      </w:r>
      <w:r w:rsidR="006F7679">
        <w:t>A</w:t>
      </w:r>
      <w:r w:rsidR="00022A1E">
        <w:t xml:space="preserve">rmed </w:t>
      </w:r>
      <w:r w:rsidR="006F7679">
        <w:t>F</w:t>
      </w:r>
      <w:r w:rsidR="00022A1E">
        <w:t xml:space="preserve">orces </w:t>
      </w:r>
      <w:r w:rsidR="00C05DD1" w:rsidRPr="00C05DD1">
        <w:t>len</w:t>
      </w:r>
      <w:r w:rsidR="00022A1E">
        <w:t>t</w:t>
      </w:r>
      <w:r w:rsidR="00C05DD1" w:rsidRPr="00C05DD1">
        <w:t xml:space="preserve"> out drop tanks to another country</w:t>
      </w:r>
      <w:r w:rsidR="00B2619F">
        <w:t xml:space="preserve"> (“Country B”)</w:t>
      </w:r>
      <w:r w:rsidR="00C05DD1" w:rsidRPr="00C05DD1">
        <w:t>.</w:t>
      </w:r>
      <w:r w:rsidR="00C05DD1">
        <w:t xml:space="preserve"> </w:t>
      </w:r>
      <w:r w:rsidR="00C05DD1" w:rsidRPr="00C05DD1">
        <w:t xml:space="preserve"> </w:t>
      </w:r>
      <w:r w:rsidR="00022A1E">
        <w:t xml:space="preserve">Since </w:t>
      </w:r>
      <w:r>
        <w:t>these</w:t>
      </w:r>
      <w:r w:rsidR="00022A1E">
        <w:t xml:space="preserve"> tanks are not approved in accordance with ADR a competent authority approval is required for their carriage. The tanks are used for the carriage of UN 1863 (aircraft fuel). When transported between missions, as from Sweden to </w:t>
      </w:r>
      <w:r w:rsidR="00022A1E">
        <w:lastRenderedPageBreak/>
        <w:t xml:space="preserve">other countries and </w:t>
      </w:r>
      <w:r w:rsidR="00B2619F">
        <w:t>in return</w:t>
      </w:r>
      <w:r w:rsidR="00022A1E">
        <w:t>, these are always carried empty. However, for practical reasons the</w:t>
      </w:r>
      <w:r w:rsidR="00B2619F">
        <w:t xml:space="preserve"> tanks </w:t>
      </w:r>
      <w:r w:rsidR="00022A1E">
        <w:t>are uncleaned and therefore the provisions in ADR applies.</w:t>
      </w:r>
    </w:p>
    <w:p w:rsidR="009031E9" w:rsidRDefault="009031E9" w:rsidP="00593107">
      <w:pPr>
        <w:pStyle w:val="SingleTxtG"/>
      </w:pPr>
      <w:r>
        <w:t xml:space="preserve">The tanks belong to a Swedish authority and, originally, the tanks come from Sweden. For the </w:t>
      </w:r>
      <w:r w:rsidR="009835A2">
        <w:t xml:space="preserve">initial </w:t>
      </w:r>
      <w:r>
        <w:t xml:space="preserve">carriage (air transport) from Sweden to Country B, the competent authority approval was issued by the Swedish Transport Agency. </w:t>
      </w:r>
    </w:p>
    <w:p w:rsidR="00593107" w:rsidRDefault="00B2619F" w:rsidP="00593107">
      <w:pPr>
        <w:pStyle w:val="SingleTxtG"/>
      </w:pPr>
      <w:r>
        <w:t xml:space="preserve">After completed mission in </w:t>
      </w:r>
      <w:r w:rsidR="004A64FD">
        <w:t xml:space="preserve">Country B </w:t>
      </w:r>
      <w:r w:rsidR="00495E8C">
        <w:t xml:space="preserve">the </w:t>
      </w:r>
      <w:r w:rsidR="00022A1E">
        <w:t>drop tanks sh</w:t>
      </w:r>
      <w:r w:rsidR="00495E8C">
        <w:t>ould</w:t>
      </w:r>
      <w:r w:rsidR="00022A1E">
        <w:t xml:space="preserve"> be returned to Sweden</w:t>
      </w:r>
      <w:r w:rsidR="004A64FD">
        <w:t xml:space="preserve">. Since </w:t>
      </w:r>
      <w:r w:rsidR="00495E8C">
        <w:t xml:space="preserve">a new </w:t>
      </w:r>
      <w:r w:rsidR="0063122B">
        <w:t>transport took place</w:t>
      </w:r>
      <w:r w:rsidR="00DD7533">
        <w:t>,</w:t>
      </w:r>
      <w:r w:rsidR="0063122B">
        <w:t xml:space="preserve"> a new </w:t>
      </w:r>
      <w:r w:rsidR="00495E8C">
        <w:t>competent authority approval had to be issued for this carriage.</w:t>
      </w:r>
      <w:r w:rsidR="004A64FD">
        <w:t xml:space="preserve"> The Swedish authority </w:t>
      </w:r>
      <w:r w:rsidR="006F7679">
        <w:t>had</w:t>
      </w:r>
      <w:r w:rsidR="00195DC6">
        <w:t xml:space="preserve"> </w:t>
      </w:r>
      <w:r w:rsidR="006F7679">
        <w:t xml:space="preserve">provided </w:t>
      </w:r>
      <w:r w:rsidR="004A6935">
        <w:t>Country B</w:t>
      </w:r>
      <w:r w:rsidR="006F7679">
        <w:t xml:space="preserve"> with consignment procedures for the return transport. Nevertheless, since the transport was arranged in</w:t>
      </w:r>
      <w:r w:rsidR="009031E9">
        <w:t>,</w:t>
      </w:r>
      <w:r w:rsidR="006F7679">
        <w:t xml:space="preserve"> and by</w:t>
      </w:r>
      <w:r w:rsidR="009031E9">
        <w:t>,</w:t>
      </w:r>
      <w:r w:rsidR="006F7679">
        <w:t xml:space="preserve"> </w:t>
      </w:r>
      <w:r w:rsidR="004A6935">
        <w:t xml:space="preserve">Country B </w:t>
      </w:r>
      <w:r w:rsidR="006F7679">
        <w:t xml:space="preserve">without any further involvement </w:t>
      </w:r>
      <w:r w:rsidR="00195DC6">
        <w:t xml:space="preserve">or insight </w:t>
      </w:r>
      <w:r w:rsidR="006F7679">
        <w:t>from the Swedish carrier</w:t>
      </w:r>
      <w:r w:rsidR="00195DC6">
        <w:t>,</w:t>
      </w:r>
      <w:r w:rsidR="006F7679">
        <w:t xml:space="preserve"> we did not </w:t>
      </w:r>
      <w:r w:rsidR="004A6935">
        <w:t xml:space="preserve">find </w:t>
      </w:r>
      <w:r w:rsidR="006F7679">
        <w:t xml:space="preserve">it completely clear that this would </w:t>
      </w:r>
      <w:r w:rsidR="00195DC6">
        <w:t>authorise</w:t>
      </w:r>
      <w:r w:rsidR="006F7679">
        <w:t xml:space="preserve"> </w:t>
      </w:r>
      <w:r w:rsidR="009031E9">
        <w:t xml:space="preserve">a Swedish Competent Authority to issue an </w:t>
      </w:r>
      <w:r w:rsidR="006F7679">
        <w:t>approval</w:t>
      </w:r>
      <w:r w:rsidR="009031E9">
        <w:t>.</w:t>
      </w:r>
      <w:r w:rsidR="00495E8C">
        <w:t xml:space="preserve"> However, the safety adviser at the Swedish Defence Material Administration </w:t>
      </w:r>
      <w:r w:rsidR="004A6935">
        <w:t xml:space="preserve">was </w:t>
      </w:r>
      <w:r w:rsidR="00495E8C">
        <w:t xml:space="preserve">informed by </w:t>
      </w:r>
      <w:r w:rsidR="004A6935">
        <w:t>the</w:t>
      </w:r>
      <w:r w:rsidR="0063122B">
        <w:t xml:space="preserve"> </w:t>
      </w:r>
      <w:r w:rsidR="00495E8C">
        <w:t xml:space="preserve">contact </w:t>
      </w:r>
      <w:r w:rsidR="004A6935">
        <w:t xml:space="preserve">person in Country B </w:t>
      </w:r>
      <w:r w:rsidR="00495E8C">
        <w:t xml:space="preserve">that the </w:t>
      </w:r>
      <w:r w:rsidR="00DD7533">
        <w:t xml:space="preserve">Swedish Competent Authority </w:t>
      </w:r>
      <w:r w:rsidR="004A6935">
        <w:t xml:space="preserve">had to </w:t>
      </w:r>
      <w:r w:rsidR="00DD7533">
        <w:t>issue the approval</w:t>
      </w:r>
      <w:r w:rsidR="0063122B">
        <w:t xml:space="preserve">. </w:t>
      </w:r>
    </w:p>
    <w:p w:rsidR="00022A1E" w:rsidRDefault="00B61FFF" w:rsidP="00593107">
      <w:pPr>
        <w:pStyle w:val="SingleTxtG"/>
      </w:pPr>
      <w:r>
        <w:t>Eventually, t</w:t>
      </w:r>
      <w:r w:rsidR="0063122B">
        <w:t xml:space="preserve">he situation was solved in good co-operation but because of the uncertainties around the issuing of the </w:t>
      </w:r>
      <w:r w:rsidR="008002AD">
        <w:t>approval,</w:t>
      </w:r>
      <w:r w:rsidR="0063122B">
        <w:t xml:space="preserve"> the transport became </w:t>
      </w:r>
      <w:r w:rsidR="00195DC6">
        <w:t>quite</w:t>
      </w:r>
      <w:r w:rsidR="0063122B">
        <w:t xml:space="preserve"> delayed. In order to eliminate a similar future situation, Sweden would like to have a clarification on what is intended with “the country of origin” in </w:t>
      </w:r>
      <w:r w:rsidR="00195DC6">
        <w:t>sub-section 4.1.3.8</w:t>
      </w:r>
      <w:r w:rsidR="0063122B">
        <w:t>.</w:t>
      </w:r>
    </w:p>
    <w:p w:rsidR="00593107" w:rsidRDefault="00A31798" w:rsidP="00593107">
      <w:pPr>
        <w:pStyle w:val="SingleTxtG"/>
      </w:pPr>
      <w:r>
        <w:tab/>
        <w:t xml:space="preserve">To facilitate the discussion, </w:t>
      </w:r>
      <w:r w:rsidR="00DD7533">
        <w:t xml:space="preserve">the above mentioned situation </w:t>
      </w:r>
      <w:r>
        <w:t xml:space="preserve">could serve as </w:t>
      </w:r>
      <w:r w:rsidR="00DD7533">
        <w:t xml:space="preserve">a basis, where </w:t>
      </w:r>
      <w:r w:rsidR="00DD7533">
        <w:tab/>
        <w:t xml:space="preserve">Sweden is </w:t>
      </w:r>
      <w:r>
        <w:t xml:space="preserve">“Country A”, and the other country </w:t>
      </w:r>
      <w:r w:rsidR="00DD7533">
        <w:t xml:space="preserve">is </w:t>
      </w:r>
      <w:r>
        <w:t>“Country B”.</w:t>
      </w:r>
      <w:r w:rsidR="007E3D83">
        <w:t xml:space="preserve"> See also extract from ADR below.</w:t>
      </w:r>
    </w:p>
    <w:p w:rsidR="00593107" w:rsidRDefault="004A6935" w:rsidP="00B61FFF">
      <w:pPr>
        <w:ind w:left="567" w:firstLine="567"/>
      </w:pPr>
      <w:r>
        <w:t xml:space="preserve">Is </w:t>
      </w:r>
      <w:r w:rsidR="00B61FFF">
        <w:t>“</w:t>
      </w:r>
      <w:r>
        <w:t>the country of origin</w:t>
      </w:r>
      <w:r w:rsidR="00B61FFF">
        <w:t>”</w:t>
      </w:r>
      <w:r>
        <w:t>:</w:t>
      </w:r>
    </w:p>
    <w:p w:rsidR="00A31798" w:rsidRDefault="00A31798" w:rsidP="00593107">
      <w:pPr>
        <w:pStyle w:val="BodyText"/>
        <w:numPr>
          <w:ilvl w:val="0"/>
          <w:numId w:val="30"/>
        </w:numPr>
        <w:spacing w:before="120" w:after="120"/>
        <w:ind w:right="1134" w:hanging="357"/>
      </w:pPr>
      <w:r>
        <w:t>C</w:t>
      </w:r>
      <w:r w:rsidR="00195DC6">
        <w:t>ountry</w:t>
      </w:r>
      <w:r>
        <w:t xml:space="preserve"> A,</w:t>
      </w:r>
      <w:r w:rsidR="00195DC6">
        <w:t xml:space="preserve"> where the </w:t>
      </w:r>
      <w:r w:rsidR="00195DC6" w:rsidRPr="00A31798">
        <w:rPr>
          <w:u w:val="single"/>
        </w:rPr>
        <w:t>tanks</w:t>
      </w:r>
      <w:r w:rsidR="00195DC6">
        <w:t xml:space="preserve"> originate </w:t>
      </w:r>
      <w:proofErr w:type="gramStart"/>
      <w:r w:rsidR="00195DC6">
        <w:t>from</w:t>
      </w:r>
      <w:r>
        <w:t>,</w:t>
      </w:r>
      <w:r w:rsidR="00195DC6">
        <w:t xml:space="preserve">  </w:t>
      </w:r>
      <w:r>
        <w:t>(</w:t>
      </w:r>
      <w:proofErr w:type="gramEnd"/>
      <w:r w:rsidR="00195DC6">
        <w:t xml:space="preserve">irrespective of the situation </w:t>
      </w:r>
      <w:r>
        <w:t xml:space="preserve">such as </w:t>
      </w:r>
      <w:r w:rsidR="00195DC6">
        <w:t>consignment</w:t>
      </w:r>
      <w:r>
        <w:t xml:space="preserve"> procedures issued by the owner </w:t>
      </w:r>
      <w:r w:rsidRPr="00A31798">
        <w:rPr>
          <w:u w:val="single"/>
        </w:rPr>
        <w:t>or</w:t>
      </w:r>
      <w:r>
        <w:t xml:space="preserve"> by the new consignor)</w:t>
      </w:r>
      <w:r w:rsidR="004A6935">
        <w:t>, or</w:t>
      </w:r>
    </w:p>
    <w:p w:rsidR="00593107" w:rsidRDefault="004A6935" w:rsidP="00593107">
      <w:pPr>
        <w:pStyle w:val="BodyText"/>
        <w:numPr>
          <w:ilvl w:val="0"/>
          <w:numId w:val="30"/>
        </w:numPr>
        <w:spacing w:before="120" w:after="120"/>
        <w:ind w:right="1134" w:hanging="357"/>
      </w:pPr>
      <w:r>
        <w:t xml:space="preserve">Country B, </w:t>
      </w:r>
      <w:r w:rsidR="00A31798">
        <w:t xml:space="preserve">where </w:t>
      </w:r>
      <w:r>
        <w:t>the consignment is prepared and where the</w:t>
      </w:r>
      <w:r w:rsidR="00A31798">
        <w:t xml:space="preserve"> </w:t>
      </w:r>
      <w:r w:rsidR="00A31798" w:rsidRPr="00593107">
        <w:rPr>
          <w:u w:val="single"/>
        </w:rPr>
        <w:t>new carriage begins</w:t>
      </w:r>
      <w:r w:rsidR="00A31798">
        <w:t>?</w:t>
      </w:r>
    </w:p>
    <w:p w:rsidR="00A31798" w:rsidRPr="00A31798" w:rsidRDefault="00853A6C" w:rsidP="00593107">
      <w:pPr>
        <w:pStyle w:val="BodyText"/>
        <w:numPr>
          <w:ilvl w:val="0"/>
          <w:numId w:val="30"/>
        </w:numPr>
        <w:spacing w:before="120" w:after="120"/>
        <w:ind w:right="1134" w:hanging="357"/>
      </w:pPr>
      <w:r>
        <w:t>Sweden would</w:t>
      </w:r>
      <w:r w:rsidRPr="00853A6C">
        <w:t xml:space="preserve"> welcome other delegations’ view on how the</w:t>
      </w:r>
      <w:r>
        <w:t>se</w:t>
      </w:r>
      <w:r w:rsidRPr="00853A6C">
        <w:t xml:space="preserve"> provisions should be </w:t>
      </w:r>
      <w:r>
        <w:t>interpreted.</w:t>
      </w:r>
    </w:p>
    <w:p w:rsidR="00022A1E" w:rsidRPr="00195DC6" w:rsidRDefault="00022A1E" w:rsidP="00C05DD1">
      <w:pPr>
        <w:pStyle w:val="BodyText"/>
        <w:ind w:left="1134" w:right="1134"/>
        <w:jc w:val="both"/>
      </w:pPr>
    </w:p>
    <w:p w:rsidR="00853A6C" w:rsidRDefault="00853A6C">
      <w:pPr>
        <w:suppressAutoHyphens w:val="0"/>
        <w:spacing w:line="240" w:lineRule="auto"/>
        <w:rPr>
          <w:b/>
        </w:rPr>
      </w:pPr>
      <w:r>
        <w:rPr>
          <w:b/>
        </w:rPr>
        <w:br w:type="page"/>
      </w:r>
    </w:p>
    <w:p w:rsidR="00593107" w:rsidRDefault="00EE65FE" w:rsidP="007E3D83">
      <w:pPr>
        <w:pStyle w:val="Heading4"/>
        <w:spacing w:after="200"/>
        <w:rPr>
          <w:b/>
        </w:rPr>
      </w:pPr>
      <w:r w:rsidRPr="00DB57B1">
        <w:rPr>
          <w:b/>
        </w:rPr>
        <w:lastRenderedPageBreak/>
        <w:t xml:space="preserve">Extract </w:t>
      </w:r>
      <w:r w:rsidR="00DB57B1" w:rsidRPr="00DB57B1">
        <w:rPr>
          <w:b/>
        </w:rPr>
        <w:t>from ADR</w:t>
      </w:r>
    </w:p>
    <w:p w:rsidR="007E3D83" w:rsidRPr="00853A6C" w:rsidRDefault="007E3D83" w:rsidP="007E3D83">
      <w:pPr>
        <w:pStyle w:val="Heading4"/>
        <w:spacing w:after="200"/>
        <w:rPr>
          <w:b/>
        </w:rPr>
      </w:pPr>
      <w:r w:rsidRPr="00853A6C">
        <w:rPr>
          <w:b/>
        </w:rPr>
        <w:t>4.1.3.8</w:t>
      </w:r>
      <w:r w:rsidR="00853A6C" w:rsidRPr="00853A6C">
        <w:rPr>
          <w:b/>
        </w:rPr>
        <w:tab/>
      </w:r>
      <w:r w:rsidR="00853A6C" w:rsidRPr="00853A6C">
        <w:rPr>
          <w:b/>
        </w:rPr>
        <w:tab/>
        <w:t xml:space="preserve">     </w:t>
      </w:r>
      <w:r w:rsidRPr="00853A6C">
        <w:rPr>
          <w:b/>
          <w:i/>
          <w:iCs/>
        </w:rPr>
        <w:t>Unpackaged articles other than Class 1 articles</w:t>
      </w:r>
    </w:p>
    <w:p w:rsidR="007E3D83" w:rsidRPr="00D90128" w:rsidRDefault="007E3D83" w:rsidP="00593107">
      <w:pPr>
        <w:spacing w:after="200"/>
        <w:ind w:left="1418" w:right="1134" w:hanging="1418"/>
        <w:jc w:val="both"/>
      </w:pPr>
      <w:r w:rsidRPr="00D90128">
        <w:t>4.1.3.8.1</w:t>
      </w:r>
      <w:r w:rsidRPr="00D90128">
        <w:tab/>
        <w:t xml:space="preserve">Where large and robust articles cannot be packaged in accordance with the requirements of Chapters 6.1 or 6.6 and they </w:t>
      </w:r>
      <w:proofErr w:type="gramStart"/>
      <w:r w:rsidRPr="00D90128">
        <w:t>have to</w:t>
      </w:r>
      <w:proofErr w:type="gramEnd"/>
      <w:r w:rsidRPr="00D90128">
        <w:t xml:space="preserve"> be carried empty, uncleaned and unpackaged, </w:t>
      </w:r>
      <w:r w:rsidRPr="00853A6C">
        <w:rPr>
          <w:highlight w:val="yellow"/>
        </w:rPr>
        <w:t>the competent authority of the country of origin</w:t>
      </w:r>
      <w:r w:rsidRPr="00853A6C">
        <w:rPr>
          <w:rStyle w:val="FootnoteReference"/>
          <w:highlight w:val="yellow"/>
        </w:rPr>
        <w:footnoteReference w:id="2"/>
      </w:r>
      <w:r w:rsidRPr="00853A6C">
        <w:rPr>
          <w:highlight w:val="yellow"/>
        </w:rPr>
        <w:t xml:space="preserve"> may approve such carriage. In doing so the competent authority shall </w:t>
      </w:r>
      <w:proofErr w:type="gramStart"/>
      <w:r w:rsidRPr="00853A6C">
        <w:rPr>
          <w:highlight w:val="yellow"/>
        </w:rPr>
        <w:t>take into account</w:t>
      </w:r>
      <w:proofErr w:type="gramEnd"/>
      <w:r w:rsidRPr="00853A6C">
        <w:rPr>
          <w:highlight w:val="yellow"/>
        </w:rPr>
        <w:t xml:space="preserve"> that:</w:t>
      </w:r>
    </w:p>
    <w:p w:rsidR="007E3D83" w:rsidRPr="00D90128" w:rsidRDefault="007E3D83" w:rsidP="00593107">
      <w:pPr>
        <w:spacing w:after="200"/>
        <w:ind w:left="1985" w:right="1134" w:hanging="567"/>
        <w:jc w:val="both"/>
      </w:pPr>
      <w:r w:rsidRPr="00D90128">
        <w:t>(a)</w:t>
      </w:r>
      <w:r w:rsidRPr="00D90128">
        <w:tab/>
        <w:t>Large and robust articles shall be strong enough to withstand the shocks and loadings normally encountered during carriage including trans</w:t>
      </w:r>
      <w:r w:rsidRPr="00D90128">
        <w:noBreakHyphen/>
        <w:t xml:space="preserve">shipment between </w:t>
      </w:r>
      <w:r>
        <w:t xml:space="preserve">cargo </w:t>
      </w:r>
      <w:r w:rsidRPr="00D90128">
        <w:t xml:space="preserve">transport units and between </w:t>
      </w:r>
      <w:r>
        <w:t xml:space="preserve">cargo </w:t>
      </w:r>
      <w:r w:rsidRPr="00D90128">
        <w:t>transport units and warehouses, as well as any removal from a pallet for subsequent manual or mechanical handling;</w:t>
      </w:r>
      <w:bookmarkStart w:id="0" w:name="_GoBack"/>
      <w:bookmarkEnd w:id="0"/>
    </w:p>
    <w:p w:rsidR="007E3D83" w:rsidRPr="00D90128" w:rsidRDefault="007E3D83" w:rsidP="00593107">
      <w:pPr>
        <w:spacing w:after="200"/>
        <w:ind w:left="1985" w:right="1134" w:hanging="567"/>
        <w:jc w:val="both"/>
      </w:pPr>
      <w:r w:rsidRPr="00D90128">
        <w:t>(b)</w:t>
      </w:r>
      <w:r w:rsidRPr="00D90128">
        <w:tab/>
        <w:t>All closures and openings shall be sealed so that there can be no loss of contents which might be caused under normal conditions of carriage, by vibration, or by changes in temperature, humidity or pressure (resulting from altitude, for example). No dangerous residue shall adhere to the outside of the large and robust articles;</w:t>
      </w:r>
    </w:p>
    <w:p w:rsidR="007E3D83" w:rsidRPr="00D90128" w:rsidRDefault="007E3D83" w:rsidP="00593107">
      <w:pPr>
        <w:keepNext/>
        <w:keepLines/>
        <w:spacing w:after="200"/>
        <w:ind w:left="1985" w:right="1134" w:hanging="567"/>
        <w:jc w:val="both"/>
      </w:pPr>
      <w:r w:rsidRPr="00D90128">
        <w:t>(c)</w:t>
      </w:r>
      <w:r w:rsidRPr="00D90128">
        <w:tab/>
        <w:t>Parts of large and robust articles, which are in direct contact with dangerous goods:</w:t>
      </w:r>
    </w:p>
    <w:p w:rsidR="007E3D83" w:rsidRPr="00D90128" w:rsidRDefault="007E3D83" w:rsidP="00593107">
      <w:pPr>
        <w:spacing w:after="200"/>
        <w:ind w:left="2552" w:right="1134" w:hanging="567"/>
        <w:jc w:val="both"/>
      </w:pPr>
      <w:r w:rsidRPr="00D90128">
        <w:t>(i)</w:t>
      </w:r>
      <w:r w:rsidRPr="00D90128">
        <w:tab/>
        <w:t>shall not be affected or significantly weakened by those dangerous goods; and</w:t>
      </w:r>
    </w:p>
    <w:p w:rsidR="007E3D83" w:rsidRPr="00D90128" w:rsidRDefault="007E3D83" w:rsidP="00593107">
      <w:pPr>
        <w:spacing w:after="200"/>
        <w:ind w:left="2552" w:right="1134" w:hanging="567"/>
        <w:jc w:val="both"/>
      </w:pPr>
      <w:r w:rsidRPr="00D90128">
        <w:t>(ii)</w:t>
      </w:r>
      <w:r w:rsidRPr="00D90128">
        <w:tab/>
        <w:t>shall not cause a dangerous effect e.g. catalysing a reaction or reacting with the dangerous goods;</w:t>
      </w:r>
    </w:p>
    <w:p w:rsidR="007E3D83" w:rsidRPr="00D90128" w:rsidRDefault="007E3D83" w:rsidP="00593107">
      <w:pPr>
        <w:spacing w:after="200"/>
        <w:ind w:left="1985" w:right="1134" w:hanging="567"/>
        <w:jc w:val="both"/>
      </w:pPr>
      <w:r w:rsidRPr="00D90128">
        <w:t>(d)</w:t>
      </w:r>
      <w:r w:rsidRPr="00D90128">
        <w:tab/>
        <w:t>Large and robust articles containing liquids shall be stowed and secured to ensure that neither leakage nor permanent distortion of the article occurs during carriage;</w:t>
      </w:r>
    </w:p>
    <w:p w:rsidR="00EE65FE" w:rsidRDefault="007E3D83" w:rsidP="00593107">
      <w:pPr>
        <w:spacing w:after="200"/>
        <w:ind w:left="1985" w:right="1134" w:hanging="567"/>
        <w:jc w:val="both"/>
      </w:pPr>
      <w:r w:rsidRPr="00D90128">
        <w:t>(e)</w:t>
      </w:r>
      <w:r w:rsidRPr="00D90128">
        <w:tab/>
        <w:t xml:space="preserve">They shall be fixed in cradles or crates or other handling devices or to the </w:t>
      </w:r>
      <w:r>
        <w:t xml:space="preserve">cargo </w:t>
      </w:r>
      <w:r w:rsidRPr="00D90128">
        <w:t>transport unit in such a way that they will not become loose during normal conditions of carriage.</w:t>
      </w:r>
    </w:p>
    <w:p w:rsidR="00593107" w:rsidRPr="00593107" w:rsidRDefault="00593107" w:rsidP="00593107">
      <w:pPr>
        <w:spacing w:before="240"/>
        <w:ind w:left="1134" w:right="1134"/>
        <w:jc w:val="center"/>
        <w:rPr>
          <w:u w:val="single"/>
        </w:rPr>
      </w:pPr>
      <w:r>
        <w:rPr>
          <w:u w:val="single"/>
        </w:rPr>
        <w:tab/>
      </w:r>
      <w:r>
        <w:rPr>
          <w:u w:val="single"/>
        </w:rPr>
        <w:tab/>
      </w:r>
      <w:r>
        <w:rPr>
          <w:u w:val="single"/>
        </w:rPr>
        <w:tab/>
      </w:r>
    </w:p>
    <w:sectPr w:rsidR="00593107" w:rsidRPr="00593107" w:rsidSect="000E7041">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510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7C" w:rsidRDefault="0015497C"/>
  </w:endnote>
  <w:endnote w:type="continuationSeparator" w:id="0">
    <w:p w:rsidR="0015497C" w:rsidRDefault="0015497C"/>
  </w:endnote>
  <w:endnote w:type="continuationNotice" w:id="1">
    <w:p w:rsidR="0015497C" w:rsidRDefault="0015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593107">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593107">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7C" w:rsidRPr="000B175B" w:rsidRDefault="0015497C" w:rsidP="000B175B">
      <w:pPr>
        <w:tabs>
          <w:tab w:val="right" w:pos="2155"/>
        </w:tabs>
        <w:spacing w:after="80"/>
        <w:ind w:left="680"/>
        <w:rPr>
          <w:u w:val="single"/>
        </w:rPr>
      </w:pPr>
      <w:r>
        <w:rPr>
          <w:u w:val="single"/>
        </w:rPr>
        <w:tab/>
      </w:r>
    </w:p>
  </w:footnote>
  <w:footnote w:type="continuationSeparator" w:id="0">
    <w:p w:rsidR="0015497C" w:rsidRPr="00FC68B7" w:rsidRDefault="0015497C" w:rsidP="00FC68B7">
      <w:pPr>
        <w:tabs>
          <w:tab w:val="left" w:pos="2155"/>
        </w:tabs>
        <w:spacing w:after="80"/>
        <w:ind w:left="680"/>
        <w:rPr>
          <w:u w:val="single"/>
        </w:rPr>
      </w:pPr>
      <w:r>
        <w:rPr>
          <w:u w:val="single"/>
        </w:rPr>
        <w:tab/>
      </w:r>
    </w:p>
  </w:footnote>
  <w:footnote w:type="continuationNotice" w:id="1">
    <w:p w:rsidR="0015497C" w:rsidRDefault="0015497C"/>
  </w:footnote>
  <w:footnote w:id="2">
    <w:p w:rsidR="007E3D83" w:rsidRPr="00593107" w:rsidRDefault="00593107" w:rsidP="00593107">
      <w:pPr>
        <w:rPr>
          <w:i/>
          <w:iCs/>
        </w:rPr>
      </w:pPr>
      <w:r>
        <w:rPr>
          <w:highlight w:val="yellow"/>
        </w:rPr>
        <w:tab/>
      </w:r>
      <w:r>
        <w:rPr>
          <w:highlight w:val="yellow"/>
        </w:rPr>
        <w:tab/>
      </w:r>
      <w:r w:rsidR="007E3D83" w:rsidRPr="00853A6C">
        <w:rPr>
          <w:rStyle w:val="FootnoteReference"/>
          <w:highlight w:val="yellow"/>
        </w:rPr>
        <w:footnoteRef/>
      </w:r>
      <w:r w:rsidR="007E3D83" w:rsidRPr="00853A6C">
        <w:rPr>
          <w:highlight w:val="yellow"/>
        </w:rPr>
        <w:t xml:space="preserve"> </w:t>
      </w:r>
      <w:r w:rsidR="007E3D83" w:rsidRPr="00853A6C">
        <w:rPr>
          <w:b/>
          <w:bCs/>
          <w:highlight w:val="yellow"/>
        </w:rPr>
        <w:tab/>
      </w:r>
      <w:r w:rsidR="007E3D83" w:rsidRPr="00853A6C">
        <w:rPr>
          <w:i/>
          <w:iCs/>
          <w:highlight w:val="yellow"/>
        </w:rPr>
        <w:t xml:space="preserve">If the country of origin is not a contracting party to ADR, the competent authority of the first </w:t>
      </w:r>
      <w:r>
        <w:rPr>
          <w:i/>
          <w:iCs/>
          <w:highlight w:val="yellow"/>
        </w:rPr>
        <w:tab/>
      </w:r>
      <w:r>
        <w:rPr>
          <w:i/>
          <w:iCs/>
          <w:highlight w:val="yellow"/>
        </w:rPr>
        <w:tab/>
      </w:r>
      <w:r>
        <w:rPr>
          <w:i/>
          <w:iCs/>
          <w:highlight w:val="yellow"/>
        </w:rPr>
        <w:tab/>
      </w:r>
      <w:r w:rsidR="007E3D83" w:rsidRPr="00853A6C">
        <w:rPr>
          <w:i/>
          <w:iCs/>
          <w:highlight w:val="yellow"/>
        </w:rPr>
        <w:t>country contracting party to the ADR reached by the consignment.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593107">
      <w:rPr>
        <w:szCs w:val="18"/>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593107">
      <w:rPr>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1"/>
        </w:tabs>
        <w:ind w:left="161"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5A4F642B"/>
    <w:multiLevelType w:val="hybridMultilevel"/>
    <w:tmpl w:val="1A1E685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6"/>
  </w:num>
  <w:num w:numId="15">
    <w:abstractNumId w:val="15"/>
  </w:num>
  <w:num w:numId="16">
    <w:abstractNumId w:val="13"/>
  </w:num>
  <w:num w:numId="17">
    <w:abstractNumId w:val="29"/>
  </w:num>
  <w:num w:numId="18">
    <w:abstractNumId w:val="27"/>
  </w:num>
  <w:num w:numId="19">
    <w:abstractNumId w:val="22"/>
  </w:num>
  <w:num w:numId="20">
    <w:abstractNumId w:val="24"/>
  </w:num>
  <w:num w:numId="21">
    <w:abstractNumId w:val="28"/>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5B8"/>
    <w:rsid w:val="00013E97"/>
    <w:rsid w:val="000149A1"/>
    <w:rsid w:val="000218B5"/>
    <w:rsid w:val="00022A1E"/>
    <w:rsid w:val="000260EE"/>
    <w:rsid w:val="000375AD"/>
    <w:rsid w:val="00037F90"/>
    <w:rsid w:val="00042C00"/>
    <w:rsid w:val="00046B0A"/>
    <w:rsid w:val="00046B1F"/>
    <w:rsid w:val="000470B0"/>
    <w:rsid w:val="00047EB7"/>
    <w:rsid w:val="000502B0"/>
    <w:rsid w:val="00050F6B"/>
    <w:rsid w:val="00057E97"/>
    <w:rsid w:val="00061528"/>
    <w:rsid w:val="0006292C"/>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0E7041"/>
    <w:rsid w:val="00101DB8"/>
    <w:rsid w:val="00103CC1"/>
    <w:rsid w:val="00104CDA"/>
    <w:rsid w:val="001103AA"/>
    <w:rsid w:val="0011119B"/>
    <w:rsid w:val="0011666B"/>
    <w:rsid w:val="0012118B"/>
    <w:rsid w:val="001211F5"/>
    <w:rsid w:val="001362A8"/>
    <w:rsid w:val="00141383"/>
    <w:rsid w:val="00142AB2"/>
    <w:rsid w:val="00154657"/>
    <w:rsid w:val="0015497C"/>
    <w:rsid w:val="00155068"/>
    <w:rsid w:val="001644E3"/>
    <w:rsid w:val="00165F3A"/>
    <w:rsid w:val="00177CE8"/>
    <w:rsid w:val="0018210E"/>
    <w:rsid w:val="00186D7B"/>
    <w:rsid w:val="00193CA7"/>
    <w:rsid w:val="0019451E"/>
    <w:rsid w:val="00195DC6"/>
    <w:rsid w:val="0019698C"/>
    <w:rsid w:val="001A1DCF"/>
    <w:rsid w:val="001A6E55"/>
    <w:rsid w:val="001B08A2"/>
    <w:rsid w:val="001B13A5"/>
    <w:rsid w:val="001B4B04"/>
    <w:rsid w:val="001C03F9"/>
    <w:rsid w:val="001C0917"/>
    <w:rsid w:val="001C46D0"/>
    <w:rsid w:val="001C5A58"/>
    <w:rsid w:val="001C6027"/>
    <w:rsid w:val="001C6663"/>
    <w:rsid w:val="001C7895"/>
    <w:rsid w:val="001C7A83"/>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27F5"/>
    <w:rsid w:val="002D2E24"/>
    <w:rsid w:val="002D4643"/>
    <w:rsid w:val="002D4B6C"/>
    <w:rsid w:val="002D5825"/>
    <w:rsid w:val="002E20D5"/>
    <w:rsid w:val="002E54D9"/>
    <w:rsid w:val="002E6E8A"/>
    <w:rsid w:val="002F175C"/>
    <w:rsid w:val="002F3C64"/>
    <w:rsid w:val="00301D76"/>
    <w:rsid w:val="00302E18"/>
    <w:rsid w:val="0030606F"/>
    <w:rsid w:val="00312976"/>
    <w:rsid w:val="00314EDE"/>
    <w:rsid w:val="003173A5"/>
    <w:rsid w:val="003229D8"/>
    <w:rsid w:val="00324058"/>
    <w:rsid w:val="0033230E"/>
    <w:rsid w:val="003358CF"/>
    <w:rsid w:val="00335D02"/>
    <w:rsid w:val="003413CA"/>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165"/>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3F7D"/>
    <w:rsid w:val="0041539A"/>
    <w:rsid w:val="00422E03"/>
    <w:rsid w:val="00426B9B"/>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95E8C"/>
    <w:rsid w:val="004A12F2"/>
    <w:rsid w:val="004A64FD"/>
    <w:rsid w:val="004A6935"/>
    <w:rsid w:val="004C2461"/>
    <w:rsid w:val="004C63B1"/>
    <w:rsid w:val="004C648F"/>
    <w:rsid w:val="004C72BF"/>
    <w:rsid w:val="004C7462"/>
    <w:rsid w:val="004C7936"/>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7049C"/>
    <w:rsid w:val="00584FAE"/>
    <w:rsid w:val="00586DB8"/>
    <w:rsid w:val="00590F4A"/>
    <w:rsid w:val="00593107"/>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122B"/>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6F7679"/>
    <w:rsid w:val="00702574"/>
    <w:rsid w:val="00703577"/>
    <w:rsid w:val="00705894"/>
    <w:rsid w:val="0071487A"/>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3D83"/>
    <w:rsid w:val="007E63F3"/>
    <w:rsid w:val="007F0F4A"/>
    <w:rsid w:val="007F10A1"/>
    <w:rsid w:val="007F23F5"/>
    <w:rsid w:val="007F2782"/>
    <w:rsid w:val="007F29A5"/>
    <w:rsid w:val="007F6611"/>
    <w:rsid w:val="007F70AF"/>
    <w:rsid w:val="007F7106"/>
    <w:rsid w:val="007F7A86"/>
    <w:rsid w:val="007F7AB8"/>
    <w:rsid w:val="008002AD"/>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3A6C"/>
    <w:rsid w:val="008544D5"/>
    <w:rsid w:val="00854501"/>
    <w:rsid w:val="008556FB"/>
    <w:rsid w:val="0085672F"/>
    <w:rsid w:val="008661C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33CD"/>
    <w:rsid w:val="008E6480"/>
    <w:rsid w:val="008F03A8"/>
    <w:rsid w:val="008F5ACB"/>
    <w:rsid w:val="008F6CE6"/>
    <w:rsid w:val="009031E9"/>
    <w:rsid w:val="00907BA5"/>
    <w:rsid w:val="0091190D"/>
    <w:rsid w:val="009223CA"/>
    <w:rsid w:val="00927829"/>
    <w:rsid w:val="00933E40"/>
    <w:rsid w:val="00934137"/>
    <w:rsid w:val="009408BB"/>
    <w:rsid w:val="00940F93"/>
    <w:rsid w:val="00943E66"/>
    <w:rsid w:val="0094558F"/>
    <w:rsid w:val="00946884"/>
    <w:rsid w:val="009536F9"/>
    <w:rsid w:val="0095462F"/>
    <w:rsid w:val="00956168"/>
    <w:rsid w:val="00961690"/>
    <w:rsid w:val="0097110C"/>
    <w:rsid w:val="009760F3"/>
    <w:rsid w:val="00977203"/>
    <w:rsid w:val="009835A2"/>
    <w:rsid w:val="00995AB4"/>
    <w:rsid w:val="0099754E"/>
    <w:rsid w:val="009A0E8D"/>
    <w:rsid w:val="009A3C75"/>
    <w:rsid w:val="009B0F25"/>
    <w:rsid w:val="009B1518"/>
    <w:rsid w:val="009B15AA"/>
    <w:rsid w:val="009B26E7"/>
    <w:rsid w:val="009B350F"/>
    <w:rsid w:val="009C454F"/>
    <w:rsid w:val="009C565B"/>
    <w:rsid w:val="009D2486"/>
    <w:rsid w:val="009D2A5B"/>
    <w:rsid w:val="009E1D30"/>
    <w:rsid w:val="009E6561"/>
    <w:rsid w:val="009F2BB8"/>
    <w:rsid w:val="00A00A3F"/>
    <w:rsid w:val="00A01489"/>
    <w:rsid w:val="00A12E50"/>
    <w:rsid w:val="00A14388"/>
    <w:rsid w:val="00A1777D"/>
    <w:rsid w:val="00A3009E"/>
    <w:rsid w:val="00A3026E"/>
    <w:rsid w:val="00A30C84"/>
    <w:rsid w:val="00A31798"/>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619F"/>
    <w:rsid w:val="00B27148"/>
    <w:rsid w:val="00B27885"/>
    <w:rsid w:val="00B30179"/>
    <w:rsid w:val="00B3090D"/>
    <w:rsid w:val="00B31424"/>
    <w:rsid w:val="00B36690"/>
    <w:rsid w:val="00B421C1"/>
    <w:rsid w:val="00B47633"/>
    <w:rsid w:val="00B51CEC"/>
    <w:rsid w:val="00B552A3"/>
    <w:rsid w:val="00B55C71"/>
    <w:rsid w:val="00B56E4A"/>
    <w:rsid w:val="00B56E9C"/>
    <w:rsid w:val="00B612DF"/>
    <w:rsid w:val="00B61320"/>
    <w:rsid w:val="00B6151A"/>
    <w:rsid w:val="00B61BB6"/>
    <w:rsid w:val="00B61FFF"/>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05DD1"/>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E7219"/>
    <w:rsid w:val="00CF3164"/>
    <w:rsid w:val="00CF7AC0"/>
    <w:rsid w:val="00D1284B"/>
    <w:rsid w:val="00D13737"/>
    <w:rsid w:val="00D13F4D"/>
    <w:rsid w:val="00D2031B"/>
    <w:rsid w:val="00D224BF"/>
    <w:rsid w:val="00D22523"/>
    <w:rsid w:val="00D25FE2"/>
    <w:rsid w:val="00D43252"/>
    <w:rsid w:val="00D44198"/>
    <w:rsid w:val="00D47EEA"/>
    <w:rsid w:val="00D47F36"/>
    <w:rsid w:val="00D5385E"/>
    <w:rsid w:val="00D550D4"/>
    <w:rsid w:val="00D56292"/>
    <w:rsid w:val="00D62742"/>
    <w:rsid w:val="00D73E6F"/>
    <w:rsid w:val="00D7419E"/>
    <w:rsid w:val="00D773DF"/>
    <w:rsid w:val="00D810EE"/>
    <w:rsid w:val="00D872A3"/>
    <w:rsid w:val="00D876F8"/>
    <w:rsid w:val="00D91A8D"/>
    <w:rsid w:val="00D9255F"/>
    <w:rsid w:val="00D95303"/>
    <w:rsid w:val="00D97453"/>
    <w:rsid w:val="00D978C6"/>
    <w:rsid w:val="00DA3C1C"/>
    <w:rsid w:val="00DA5024"/>
    <w:rsid w:val="00DB1304"/>
    <w:rsid w:val="00DB43CD"/>
    <w:rsid w:val="00DB57B1"/>
    <w:rsid w:val="00DB6E62"/>
    <w:rsid w:val="00DC12A9"/>
    <w:rsid w:val="00DD7533"/>
    <w:rsid w:val="00DE2252"/>
    <w:rsid w:val="00DE37C6"/>
    <w:rsid w:val="00DE4970"/>
    <w:rsid w:val="00DE7486"/>
    <w:rsid w:val="00DF418D"/>
    <w:rsid w:val="00E01B7D"/>
    <w:rsid w:val="00E01D54"/>
    <w:rsid w:val="00E02661"/>
    <w:rsid w:val="00E046DF"/>
    <w:rsid w:val="00E04F33"/>
    <w:rsid w:val="00E14853"/>
    <w:rsid w:val="00E15557"/>
    <w:rsid w:val="00E21502"/>
    <w:rsid w:val="00E261FA"/>
    <w:rsid w:val="00E26778"/>
    <w:rsid w:val="00E27346"/>
    <w:rsid w:val="00E51E40"/>
    <w:rsid w:val="00E54F0D"/>
    <w:rsid w:val="00E5605F"/>
    <w:rsid w:val="00E56FD4"/>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B7345"/>
    <w:rsid w:val="00EC098C"/>
    <w:rsid w:val="00EC106A"/>
    <w:rsid w:val="00EC32A0"/>
    <w:rsid w:val="00ED7A2A"/>
    <w:rsid w:val="00EE086A"/>
    <w:rsid w:val="00EE65FE"/>
    <w:rsid w:val="00EE6B3A"/>
    <w:rsid w:val="00EF1D7F"/>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4757"/>
    <w:rsid w:val="00FD7C13"/>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58BD1"/>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Rubrikitabell">
    <w:name w:val="Rubrik i tabell"/>
    <w:basedOn w:val="Normal"/>
    <w:rsid w:val="00C05DD1"/>
    <w:pPr>
      <w:suppressAutoHyphens w:val="0"/>
      <w:spacing w:before="60" w:after="60" w:line="240" w:lineRule="auto"/>
    </w:pPr>
    <w:rPr>
      <w:rFonts w:ascii="Verdana" w:hAnsi="Verdana"/>
      <w:b/>
      <w:sz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1404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ED34-E9CC-444C-B069-37056AB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747</Words>
  <Characters>4262</Characters>
  <Application>Microsoft Office Word</Application>
  <DocSecurity>0</DocSecurity>
  <Lines>35</Lines>
  <Paragraphs>9</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2017-10-19T06:29:00Z</cp:lastPrinted>
  <dcterms:created xsi:type="dcterms:W3CDTF">2018-04-19T14:55:00Z</dcterms:created>
  <dcterms:modified xsi:type="dcterms:W3CDTF">2018-04-19T15:04:00Z</dcterms:modified>
</cp:coreProperties>
</file>