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09198E">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9198E" w:rsidP="0009198E">
            <w:pPr>
              <w:jc w:val="right"/>
            </w:pPr>
            <w:r w:rsidRPr="0009198E">
              <w:rPr>
                <w:sz w:val="40"/>
              </w:rPr>
              <w:t>ST</w:t>
            </w:r>
            <w:r>
              <w:t>/SG/AC.10/C.4/2018/29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9198E" w:rsidP="00F01738">
            <w:pPr>
              <w:spacing w:before="240"/>
            </w:pPr>
            <w:r>
              <w:t>Distr. générale</w:t>
            </w:r>
          </w:p>
          <w:p w:rsidR="0009198E" w:rsidRDefault="0009198E" w:rsidP="0009198E">
            <w:pPr>
              <w:spacing w:line="240" w:lineRule="exact"/>
            </w:pPr>
            <w:r>
              <w:t>25 septembre 2018</w:t>
            </w:r>
          </w:p>
          <w:p w:rsidR="0009198E" w:rsidRDefault="0009198E" w:rsidP="0009198E">
            <w:pPr>
              <w:spacing w:line="240" w:lineRule="exact"/>
            </w:pPr>
            <w:r>
              <w:t>Français</w:t>
            </w:r>
          </w:p>
          <w:p w:rsidR="0009198E" w:rsidRPr="00DB58B5" w:rsidRDefault="0009198E" w:rsidP="0009198E">
            <w:pPr>
              <w:spacing w:line="240" w:lineRule="exact"/>
            </w:pPr>
            <w:r>
              <w:t>Original</w:t>
            </w:r>
            <w:r w:rsidR="00525BCC">
              <w:t> :</w:t>
            </w:r>
            <w:r>
              <w:t xml:space="preserve"> anglais</w:t>
            </w:r>
          </w:p>
        </w:tc>
      </w:tr>
    </w:tbl>
    <w:p w:rsidR="00AF4FAB" w:rsidRPr="00CA0680" w:rsidRDefault="00AF4FA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AF4FAB" w:rsidRPr="00CA0680" w:rsidRDefault="00AF4FAB"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AF4FAB" w:rsidRDefault="00AF4FAB" w:rsidP="000305D3">
      <w:pPr>
        <w:spacing w:before="120"/>
        <w:rPr>
          <w:b/>
        </w:rPr>
      </w:pPr>
      <w:r>
        <w:rPr>
          <w:b/>
        </w:rPr>
        <w:t>Trente-sixième</w:t>
      </w:r>
      <w:r w:rsidRPr="00CA0680">
        <w:rPr>
          <w:b/>
        </w:rPr>
        <w:t xml:space="preserve"> session</w:t>
      </w:r>
    </w:p>
    <w:p w:rsidR="00AF4FAB" w:rsidRDefault="00AF4FAB" w:rsidP="000305D3">
      <w:r>
        <w:t>Genève, 5-7 décembre 2018</w:t>
      </w:r>
    </w:p>
    <w:p w:rsidR="00AF4FAB" w:rsidRDefault="00AF4FAB" w:rsidP="000305D3">
      <w:r>
        <w:t>Point 3 d) de l’ordre du jour provisoire</w:t>
      </w:r>
    </w:p>
    <w:p w:rsidR="0009198E" w:rsidRDefault="00AF4FAB" w:rsidP="00AC3823">
      <w:r w:rsidRPr="00985EF1">
        <w:rPr>
          <w:b/>
          <w:bCs/>
          <w:szCs w:val="24"/>
        </w:rPr>
        <w:t>Critères de classification et communication des dangers y relatifs</w:t>
      </w:r>
      <w:r w:rsidR="00525BCC">
        <w:rPr>
          <w:b/>
          <w:bCs/>
          <w:szCs w:val="24"/>
        </w:rPr>
        <w:t> :</w:t>
      </w:r>
      <w:r w:rsidRPr="00985EF1">
        <w:rPr>
          <w:b/>
          <w:bCs/>
          <w:szCs w:val="24"/>
        </w:rPr>
        <w:br/>
        <w:t>Utilisation de méthodes d</w:t>
      </w:r>
      <w:r>
        <w:rPr>
          <w:b/>
          <w:bCs/>
          <w:szCs w:val="24"/>
        </w:rPr>
        <w:t>’</w:t>
      </w:r>
      <w:r w:rsidRPr="00985EF1">
        <w:rPr>
          <w:b/>
          <w:bCs/>
          <w:szCs w:val="24"/>
        </w:rPr>
        <w:t xml:space="preserve">expérimentation non animales </w:t>
      </w:r>
      <w:r>
        <w:rPr>
          <w:b/>
          <w:bCs/>
          <w:szCs w:val="24"/>
        </w:rPr>
        <w:br/>
      </w:r>
      <w:r w:rsidRPr="00985EF1">
        <w:rPr>
          <w:b/>
          <w:bCs/>
          <w:szCs w:val="24"/>
        </w:rPr>
        <w:t xml:space="preserve">pour le </w:t>
      </w:r>
      <w:r w:rsidRPr="00534AD8">
        <w:rPr>
          <w:b/>
          <w:bCs/>
          <w:szCs w:val="24"/>
        </w:rPr>
        <w:t>classement</w:t>
      </w:r>
      <w:r w:rsidRPr="00985EF1">
        <w:rPr>
          <w:b/>
          <w:bCs/>
          <w:szCs w:val="24"/>
        </w:rPr>
        <w:t xml:space="preserve"> des dangers pour la santé</w:t>
      </w:r>
    </w:p>
    <w:p w:rsidR="00EA227C" w:rsidRPr="00985EF1" w:rsidRDefault="00EA227C" w:rsidP="00B7708D">
      <w:pPr>
        <w:pStyle w:val="HChG"/>
        <w:spacing w:before="320"/>
        <w:rPr>
          <w:lang w:eastAsia="ja-JP"/>
        </w:rPr>
      </w:pPr>
      <w:r w:rsidRPr="00985EF1">
        <w:rPr>
          <w:lang w:eastAsia="ja-JP"/>
        </w:rPr>
        <w:tab/>
      </w:r>
      <w:r w:rsidRPr="00985EF1">
        <w:rPr>
          <w:lang w:eastAsia="ja-JP"/>
        </w:rPr>
        <w:tab/>
        <w:t xml:space="preserve">Révision du </w:t>
      </w:r>
      <w:r>
        <w:rPr>
          <w:lang w:eastAsia="ja-JP"/>
        </w:rPr>
        <w:t>c</w:t>
      </w:r>
      <w:r w:rsidRPr="00985EF1">
        <w:rPr>
          <w:lang w:eastAsia="ja-JP"/>
        </w:rPr>
        <w:t>hapitre 3.2 du SGH pour y incorporer pleinement les méthodes d</w:t>
      </w:r>
      <w:r>
        <w:rPr>
          <w:lang w:eastAsia="ja-JP"/>
        </w:rPr>
        <w:t>’</w:t>
      </w:r>
      <w:r w:rsidRPr="00985EF1">
        <w:rPr>
          <w:lang w:eastAsia="ja-JP"/>
        </w:rPr>
        <w:t xml:space="preserve">expérimentation </w:t>
      </w:r>
      <w:r>
        <w:rPr>
          <w:lang w:eastAsia="ja-JP"/>
        </w:rPr>
        <w:br/>
      </w:r>
      <w:r w:rsidRPr="00985EF1">
        <w:rPr>
          <w:lang w:eastAsia="ja-JP"/>
        </w:rPr>
        <w:t xml:space="preserve">non animales </w:t>
      </w:r>
    </w:p>
    <w:p w:rsidR="00EA227C" w:rsidRPr="00985EF1" w:rsidRDefault="00EA227C" w:rsidP="00B7708D">
      <w:pPr>
        <w:pStyle w:val="H1G"/>
        <w:spacing w:before="320"/>
      </w:pPr>
      <w:r w:rsidRPr="00985EF1">
        <w:tab/>
      </w:r>
      <w:r w:rsidRPr="00985EF1">
        <w:tab/>
        <w:t xml:space="preserve">Communication des experts du Royaume-Uni et des Pays-Bas </w:t>
      </w:r>
      <w:r>
        <w:br/>
      </w:r>
      <w:r w:rsidRPr="00985EF1">
        <w:t xml:space="preserve">au nom du groupe de travail informel </w:t>
      </w:r>
      <w:r>
        <w:t>de</w:t>
      </w:r>
      <w:r w:rsidRPr="00985EF1">
        <w:t xml:space="preserve"> l</w:t>
      </w:r>
      <w:r>
        <w:t>’</w:t>
      </w:r>
      <w:r w:rsidRPr="00985EF1">
        <w:t>utilisation de méthodes d</w:t>
      </w:r>
      <w:r>
        <w:t>’</w:t>
      </w:r>
      <w:r w:rsidRPr="00985EF1">
        <w:t xml:space="preserve">expérimentation non animales pour </w:t>
      </w:r>
      <w:r>
        <w:t>le classement</w:t>
      </w:r>
      <w:r w:rsidRPr="00985EF1">
        <w:t xml:space="preserve"> des dangers </w:t>
      </w:r>
      <w:r>
        <w:br/>
      </w:r>
      <w:r w:rsidRPr="00985EF1">
        <w:t>pour la santé</w:t>
      </w:r>
      <w:r w:rsidRPr="00EA227C">
        <w:rPr>
          <w:rStyle w:val="FootnoteReference"/>
          <w:b w:val="0"/>
          <w:sz w:val="20"/>
          <w:vertAlign w:val="baseline"/>
          <w:lang w:val="fr-FR"/>
        </w:rPr>
        <w:footnoteReference w:customMarkFollows="1" w:id="2"/>
        <w:t>*</w:t>
      </w:r>
    </w:p>
    <w:p w:rsidR="00EA227C" w:rsidRPr="00985EF1" w:rsidRDefault="00EA227C" w:rsidP="00B7708D">
      <w:pPr>
        <w:pStyle w:val="HChG"/>
        <w:spacing w:before="320"/>
      </w:pPr>
      <w:r w:rsidRPr="00985EF1">
        <w:tab/>
      </w:r>
      <w:r w:rsidRPr="00985EF1">
        <w:tab/>
        <w:t>Introduction</w:t>
      </w:r>
    </w:p>
    <w:p w:rsidR="00EA227C" w:rsidRPr="00985EF1" w:rsidRDefault="00EA227C" w:rsidP="00620449">
      <w:pPr>
        <w:pStyle w:val="SingleTxtG"/>
      </w:pPr>
      <w:r w:rsidRPr="00985EF1">
        <w:t>1.</w:t>
      </w:r>
      <w:r w:rsidRPr="00985EF1">
        <w:tab/>
        <w:t xml:space="preserve">Le présent document de travail résume les travaux du groupe de travail informel </w:t>
      </w:r>
      <w:r>
        <w:t>de</w:t>
      </w:r>
      <w:r w:rsidRPr="00985EF1">
        <w:t xml:space="preserve"> l</w:t>
      </w:r>
      <w:r>
        <w:t>’</w:t>
      </w:r>
      <w:r w:rsidRPr="00985EF1">
        <w:t>utilisation de méthodes d</w:t>
      </w:r>
      <w:r>
        <w:t>’</w:t>
      </w:r>
      <w:r w:rsidRPr="00985EF1">
        <w:t xml:space="preserve">expérimentation non animales pour </w:t>
      </w:r>
      <w:r>
        <w:t>le classement</w:t>
      </w:r>
      <w:r w:rsidRPr="00985EF1">
        <w:t xml:space="preserve"> des dangers pour la santé se rapportant au </w:t>
      </w:r>
      <w:r>
        <w:t>c</w:t>
      </w:r>
      <w:r w:rsidRPr="00985EF1">
        <w:t>hapitre 3.2, Corrosion cutanée/Irritation cutanée</w:t>
      </w:r>
      <w:r>
        <w:t>.</w:t>
      </w:r>
      <w:r w:rsidRPr="00985EF1">
        <w:t xml:space="preserve"> </w:t>
      </w:r>
      <w:r>
        <w:t xml:space="preserve">Considéré </w:t>
      </w:r>
      <w:r w:rsidRPr="00985EF1">
        <w:t xml:space="preserve">avec le document informel INF.6, </w:t>
      </w:r>
      <w:r>
        <w:t xml:space="preserve">il </w:t>
      </w:r>
      <w:r w:rsidRPr="00985EF1">
        <w:t xml:space="preserve">soumet au Sous-Comité pour accord une révision dudit </w:t>
      </w:r>
      <w:r>
        <w:t>c</w:t>
      </w:r>
      <w:r w:rsidRPr="00985EF1">
        <w:t>hapitre afin qu</w:t>
      </w:r>
      <w:r>
        <w:t>e celui-ci</w:t>
      </w:r>
      <w:r w:rsidRPr="00985EF1">
        <w:t xml:space="preserve"> </w:t>
      </w:r>
      <w:r>
        <w:t>rende</w:t>
      </w:r>
      <w:r w:rsidRPr="00985EF1">
        <w:t xml:space="preserve"> mieux </w:t>
      </w:r>
      <w:r>
        <w:t xml:space="preserve">compte de </w:t>
      </w:r>
      <w:r w:rsidRPr="00985EF1">
        <w:t xml:space="preserve">la capacité, </w:t>
      </w:r>
      <w:r>
        <w:t xml:space="preserve">de la </w:t>
      </w:r>
      <w:r w:rsidRPr="00985EF1">
        <w:t xml:space="preserve">disponibilité et </w:t>
      </w:r>
      <w:r>
        <w:t>de l’</w:t>
      </w:r>
      <w:r w:rsidRPr="00985EF1">
        <w:t xml:space="preserve">utilité pour </w:t>
      </w:r>
      <w:r>
        <w:t>le classement</w:t>
      </w:r>
      <w:r w:rsidRPr="00985EF1">
        <w:t xml:space="preserve"> des méthodes d</w:t>
      </w:r>
      <w:r>
        <w:t>’</w:t>
      </w:r>
      <w:r w:rsidRPr="00985EF1">
        <w:t xml:space="preserve">essai </w:t>
      </w:r>
      <w:r w:rsidRPr="00985EF1">
        <w:rPr>
          <w:i/>
        </w:rPr>
        <w:t>in vitro/ex vivo</w:t>
      </w:r>
      <w:r w:rsidRPr="00985EF1">
        <w:t xml:space="preserve"> et des méthodes non fondées sur des </w:t>
      </w:r>
      <w:r>
        <w:t>essais</w:t>
      </w:r>
      <w:r w:rsidRPr="00985EF1">
        <w:t xml:space="preserve">, comme les modèles informatiques et la lecture croisée. </w:t>
      </w:r>
    </w:p>
    <w:p w:rsidR="00EA227C" w:rsidRPr="00985EF1" w:rsidRDefault="00EA227C" w:rsidP="003E4AAD">
      <w:pPr>
        <w:pStyle w:val="HChG"/>
      </w:pPr>
      <w:r w:rsidRPr="00985EF1">
        <w:tab/>
      </w:r>
      <w:r w:rsidRPr="00985EF1">
        <w:tab/>
      </w:r>
      <w:r>
        <w:t>Contexte</w:t>
      </w:r>
    </w:p>
    <w:p w:rsidR="00EA227C" w:rsidRPr="00985EF1" w:rsidRDefault="00EA227C" w:rsidP="00620449">
      <w:pPr>
        <w:pStyle w:val="SingleTxtG"/>
      </w:pPr>
      <w:r w:rsidRPr="00985EF1">
        <w:rPr>
          <w:bCs/>
          <w:color w:val="000000"/>
          <w:spacing w:val="-4"/>
        </w:rPr>
        <w:t>2.</w:t>
      </w:r>
      <w:r w:rsidRPr="00985EF1">
        <w:rPr>
          <w:bCs/>
          <w:color w:val="000000"/>
          <w:spacing w:val="-4"/>
        </w:rPr>
        <w:tab/>
        <w:t xml:space="preserve">Le mandat confié au groupe de travail par le Sous-Comité </w:t>
      </w:r>
      <w:r w:rsidRPr="00985EF1">
        <w:t>(document informel INF.27/Rev.2 (trente et unième session)) énumère quatre activités principales</w:t>
      </w:r>
      <w:r w:rsidR="00525BCC">
        <w:t> :</w:t>
      </w:r>
    </w:p>
    <w:p w:rsidR="00EA227C" w:rsidRPr="00985EF1" w:rsidRDefault="00EA227C" w:rsidP="00F24467">
      <w:pPr>
        <w:pStyle w:val="SingleTxtG"/>
        <w:spacing w:after="100"/>
        <w:ind w:firstLine="567"/>
      </w:pPr>
      <w:r w:rsidRPr="00985EF1">
        <w:t>a)</w:t>
      </w:r>
      <w:r w:rsidRPr="00985EF1">
        <w:tab/>
        <w:t>Recense</w:t>
      </w:r>
      <w:r>
        <w:t>r</w:t>
      </w:r>
      <w:r w:rsidRPr="00985EF1">
        <w:t xml:space="preserve"> et évalu</w:t>
      </w:r>
      <w:r>
        <w:t>er</w:t>
      </w:r>
      <w:r w:rsidRPr="00985EF1">
        <w:t xml:space="preserve"> des méthodes d</w:t>
      </w:r>
      <w:r>
        <w:t>’</w:t>
      </w:r>
      <w:r w:rsidRPr="00985EF1">
        <w:t xml:space="preserve">essai </w:t>
      </w:r>
      <w:r w:rsidRPr="00985EF1">
        <w:rPr>
          <w:i/>
        </w:rPr>
        <w:t>in vitro</w:t>
      </w:r>
      <w:r w:rsidRPr="00985EF1">
        <w:t xml:space="preserve"> et </w:t>
      </w:r>
      <w:r w:rsidRPr="00985EF1">
        <w:rPr>
          <w:i/>
        </w:rPr>
        <w:t>in chemico</w:t>
      </w:r>
      <w:r w:rsidRPr="00985EF1">
        <w:t xml:space="preserve"> disponibles, validées au niveau international, et des directives existantes concernant les méthodes </w:t>
      </w:r>
      <w:r w:rsidRPr="00985EF1">
        <w:rPr>
          <w:i/>
        </w:rPr>
        <w:t>in silico</w:t>
      </w:r>
      <w:r w:rsidRPr="00251C37">
        <w:t>,</w:t>
      </w:r>
      <w:r w:rsidRPr="00985EF1">
        <w:rPr>
          <w:i/>
        </w:rPr>
        <w:t xml:space="preserve"> </w:t>
      </w:r>
      <w:r w:rsidRPr="00985EF1">
        <w:lastRenderedPageBreak/>
        <w:t>y</w:t>
      </w:r>
      <w:r w:rsidR="00D16C4F">
        <w:t> </w:t>
      </w:r>
      <w:r w:rsidRPr="00985EF1">
        <w:t xml:space="preserve">compris les méthodes de regroupement, de relations quantitatives-structure-activité (QSAR) et de lecture croisée, qui pourraient être utiles pour </w:t>
      </w:r>
      <w:r>
        <w:t>le classement</w:t>
      </w:r>
      <w:r w:rsidRPr="00985EF1">
        <w:t xml:space="preserve"> des risques du Système général harmonisé (SGH) </w:t>
      </w:r>
      <w:r>
        <w:t>s’agissant</w:t>
      </w:r>
      <w:r w:rsidRPr="00985EF1">
        <w:t xml:space="preserve"> des classes de danger pour la santé et l</w:t>
      </w:r>
      <w:r>
        <w:t>’</w:t>
      </w:r>
      <w:r w:rsidRPr="00985EF1">
        <w:t>environnement, en utilisant une approche par étapes commençant pa</w:t>
      </w:r>
      <w:r>
        <w:t>r</w:t>
      </w:r>
      <w:r w:rsidRPr="00985EF1">
        <w:t xml:space="preserve"> une classe de danger devant être déterminée par le Groupe</w:t>
      </w:r>
      <w:r w:rsidR="00525BCC">
        <w:t> ;</w:t>
      </w:r>
    </w:p>
    <w:p w:rsidR="00EA227C" w:rsidRPr="00985EF1" w:rsidRDefault="00EA227C" w:rsidP="00F24467">
      <w:pPr>
        <w:pStyle w:val="SingleTxtG"/>
        <w:spacing w:after="100"/>
        <w:ind w:firstLine="567"/>
      </w:pPr>
      <w:r w:rsidRPr="00985EF1">
        <w:t>b)</w:t>
      </w:r>
      <w:r w:rsidRPr="00985EF1">
        <w:tab/>
      </w:r>
      <w:r>
        <w:t>Déterminer, pour</w:t>
      </w:r>
      <w:r w:rsidRPr="00985EF1">
        <w:t xml:space="preserve"> chaque classe de danger</w:t>
      </w:r>
      <w:r w:rsidR="00BF7CD3">
        <w:t>,</w:t>
      </w:r>
      <w:r>
        <w:t xml:space="preserve"> la nécessité d’élaborer une</w:t>
      </w:r>
      <w:r w:rsidRPr="00985EF1">
        <w:t xml:space="preserve"> méthode d</w:t>
      </w:r>
      <w:r>
        <w:t>’</w:t>
      </w:r>
      <w:r w:rsidRPr="00985EF1">
        <w:t xml:space="preserve">évaluation intégrée ou par </w:t>
      </w:r>
      <w:r>
        <w:t>étapes</w:t>
      </w:r>
      <w:r w:rsidRPr="00985EF1">
        <w:t xml:space="preserve">, en tenant compte de toutes les informations scientifiques </w:t>
      </w:r>
      <w:r>
        <w:t>et des</w:t>
      </w:r>
      <w:r w:rsidRPr="00985EF1">
        <w:t xml:space="preserve"> combinaisons de méthodes </w:t>
      </w:r>
      <w:r>
        <w:t>de classement</w:t>
      </w:r>
      <w:r w:rsidRPr="00985EF1">
        <w:t xml:space="preserve"> des dangers </w:t>
      </w:r>
      <w:r>
        <w:t xml:space="preserve">pertinentes </w:t>
      </w:r>
      <w:r w:rsidRPr="00985EF1">
        <w:t xml:space="preserve">et, lorsque les </w:t>
      </w:r>
      <w:r>
        <w:t>substances</w:t>
      </w:r>
      <w:r w:rsidRPr="00985EF1">
        <w:t xml:space="preserve"> et les mélanges peuvent être classé</w:t>
      </w:r>
      <w:r>
        <w:t xml:space="preserve">s </w:t>
      </w:r>
      <w:r w:rsidRPr="00985EF1">
        <w:t>en ayant recours à des méthodes d</w:t>
      </w:r>
      <w:r>
        <w:t>’</w:t>
      </w:r>
      <w:r w:rsidRPr="00985EF1">
        <w:t>expérimentation non animales, si de nouveaux critères de classification doivent être introduits dans le SGH ou si les critères existants doivent être modifiés</w:t>
      </w:r>
      <w:r w:rsidR="00525BCC">
        <w:t> ;</w:t>
      </w:r>
    </w:p>
    <w:p w:rsidR="00EA227C" w:rsidRPr="00985EF1" w:rsidRDefault="00EA227C" w:rsidP="00F24467">
      <w:pPr>
        <w:pStyle w:val="SingleTxtG"/>
        <w:spacing w:after="100"/>
        <w:ind w:firstLine="567"/>
      </w:pPr>
      <w:r w:rsidRPr="00985EF1">
        <w:t>c)</w:t>
      </w:r>
      <w:r w:rsidRPr="00985EF1">
        <w:tab/>
        <w:t>Élaborer des projets de modification et d</w:t>
      </w:r>
      <w:r>
        <w:t>’</w:t>
      </w:r>
      <w:r w:rsidRPr="00985EF1">
        <w:t xml:space="preserve">ajout au SGH pour faciliter </w:t>
      </w:r>
      <w:r>
        <w:t>le classement</w:t>
      </w:r>
      <w:r w:rsidRPr="00985EF1">
        <w:t xml:space="preserve"> des dangers en utilisant des méthodes d</w:t>
      </w:r>
      <w:r>
        <w:t>’</w:t>
      </w:r>
      <w:r w:rsidRPr="00985EF1">
        <w:t>expérimentation non animales lorsqu</w:t>
      </w:r>
      <w:r>
        <w:t>’</w:t>
      </w:r>
      <w:r w:rsidRPr="00985EF1">
        <w:t xml:space="preserve">il convient, compte tenu des limites et des incertitudes pertinentes. Les modifications et </w:t>
      </w:r>
      <w:r>
        <w:t xml:space="preserve">les </w:t>
      </w:r>
      <w:r w:rsidRPr="00985EF1">
        <w:t>ajouts devraient inclure</w:t>
      </w:r>
      <w:r>
        <w:t>,</w:t>
      </w:r>
      <w:r w:rsidRPr="00985EF1">
        <w:t xml:space="preserve"> </w:t>
      </w:r>
      <w:r>
        <w:t>selon qu’il convient, les</w:t>
      </w:r>
      <w:r w:rsidRPr="00985EF1">
        <w:t xml:space="preserve"> critères de classification, notes, diagrammes de décision, évaluation par </w:t>
      </w:r>
      <w:r>
        <w:t>étapes</w:t>
      </w:r>
      <w:r w:rsidRPr="00985EF1">
        <w:t xml:space="preserve"> et directives et prendre en compte les besoins de tous les </w:t>
      </w:r>
      <w:r w:rsidR="00ED2E89">
        <w:t>secteurs</w:t>
      </w:r>
      <w:r w:rsidR="00525BCC">
        <w:t> ;</w:t>
      </w:r>
    </w:p>
    <w:p w:rsidR="00EA227C" w:rsidRPr="00985EF1" w:rsidRDefault="00EA227C" w:rsidP="00F24467">
      <w:pPr>
        <w:pStyle w:val="SingleTxtG"/>
        <w:spacing w:after="100"/>
        <w:ind w:firstLine="567"/>
      </w:pPr>
      <w:r w:rsidRPr="00985EF1">
        <w:t>d)</w:t>
      </w:r>
      <w:r w:rsidRPr="00985EF1">
        <w:tab/>
        <w:t>Signaler au Sous-Comité du SGH les progrès réalisés</w:t>
      </w:r>
      <w:r>
        <w:t>,</w:t>
      </w:r>
      <w:r w:rsidRPr="00985EF1">
        <w:t xml:space="preserve"> le cas échéant. La</w:t>
      </w:r>
      <w:r w:rsidR="00BF7CD3">
        <w:t> </w:t>
      </w:r>
      <w:r w:rsidRPr="00985EF1">
        <w:t>dernière mise à jour de l</w:t>
      </w:r>
      <w:r>
        <w:t>’</w:t>
      </w:r>
      <w:r w:rsidRPr="00985EF1">
        <w:t>état d</w:t>
      </w:r>
      <w:r>
        <w:t>’</w:t>
      </w:r>
      <w:r w:rsidRPr="00985EF1">
        <w:t xml:space="preserve">avancement </w:t>
      </w:r>
      <w:r>
        <w:t>figure</w:t>
      </w:r>
      <w:r w:rsidRPr="00985EF1">
        <w:t xml:space="preserve"> dans le document informel INF.25 </w:t>
      </w:r>
      <w:r>
        <w:t>présenté à</w:t>
      </w:r>
      <w:r w:rsidRPr="00985EF1">
        <w:t xml:space="preserve"> la trente-cinquième session. </w:t>
      </w:r>
    </w:p>
    <w:p w:rsidR="00EA227C" w:rsidRPr="00985EF1" w:rsidRDefault="00EA227C" w:rsidP="00F24467">
      <w:pPr>
        <w:pStyle w:val="SingleTxtG"/>
        <w:spacing w:after="100"/>
      </w:pPr>
      <w:r w:rsidRPr="00985EF1">
        <w:t>3.</w:t>
      </w:r>
      <w:r w:rsidRPr="00985EF1">
        <w:tab/>
        <w:t xml:space="preserve">Le groupe de travail informel compte environ </w:t>
      </w:r>
      <w:r w:rsidR="00BF7CD3">
        <w:t>50 </w:t>
      </w:r>
      <w:r w:rsidRPr="00985EF1">
        <w:t>membres, ce qui témoigne de l</w:t>
      </w:r>
      <w:r>
        <w:t>’</w:t>
      </w:r>
      <w:r w:rsidRPr="00985EF1">
        <w:t>importance de ses travaux et de l</w:t>
      </w:r>
      <w:r>
        <w:t>’</w:t>
      </w:r>
      <w:r w:rsidRPr="00985EF1">
        <w:t>intérêt qu</w:t>
      </w:r>
      <w:r>
        <w:t>’</w:t>
      </w:r>
      <w:r w:rsidRPr="00985EF1">
        <w:t>ils suscitent.</w:t>
      </w:r>
    </w:p>
    <w:p w:rsidR="00EA227C" w:rsidRPr="00985EF1" w:rsidRDefault="00EA227C" w:rsidP="00F24467">
      <w:pPr>
        <w:pStyle w:val="SingleTxtG"/>
        <w:spacing w:after="100"/>
      </w:pPr>
      <w:r w:rsidRPr="00985EF1">
        <w:t>4.</w:t>
      </w:r>
      <w:r w:rsidRPr="00985EF1">
        <w:tab/>
        <w:t xml:space="preserve">Il a </w:t>
      </w:r>
      <w:r>
        <w:t>estimé au début de ses travaux</w:t>
      </w:r>
      <w:r w:rsidRPr="00985EF1">
        <w:t xml:space="preserve"> que la corrosion</w:t>
      </w:r>
      <w:r>
        <w:t xml:space="preserve"> ou l’</w:t>
      </w:r>
      <w:r w:rsidRPr="00985EF1">
        <w:t xml:space="preserve">irritation cutanée constituerait un bon point de départ pour </w:t>
      </w:r>
      <w:r>
        <w:t>son entreprise</w:t>
      </w:r>
      <w:r w:rsidRPr="00985EF1">
        <w:t xml:space="preserve">, dans la mesure où </w:t>
      </w:r>
      <w:r>
        <w:t>l</w:t>
      </w:r>
      <w:r w:rsidRPr="00985EF1">
        <w:t>es méthodes d</w:t>
      </w:r>
      <w:r>
        <w:t>’</w:t>
      </w:r>
      <w:r w:rsidRPr="00985EF1">
        <w:t xml:space="preserve">essai </w:t>
      </w:r>
      <w:r w:rsidRPr="00985EF1">
        <w:rPr>
          <w:i/>
        </w:rPr>
        <w:t>in vitro/ex vivo</w:t>
      </w:r>
      <w:r w:rsidRPr="00985EF1">
        <w:t xml:space="preserve"> </w:t>
      </w:r>
      <w:r>
        <w:t>reconnues</w:t>
      </w:r>
      <w:r w:rsidRPr="00985EF1">
        <w:t xml:space="preserve"> et validées au plan international</w:t>
      </w:r>
      <w:r>
        <w:t xml:space="preserve"> sont </w:t>
      </w:r>
      <w:r w:rsidRPr="004E084C">
        <w:t>bien établies</w:t>
      </w:r>
      <w:r w:rsidR="00ED2E89">
        <w:t>.</w:t>
      </w:r>
    </w:p>
    <w:p w:rsidR="00EA227C" w:rsidRPr="00985EF1" w:rsidRDefault="00EA227C" w:rsidP="00F24467">
      <w:pPr>
        <w:pStyle w:val="SingleTxtG"/>
        <w:spacing w:after="100"/>
      </w:pPr>
      <w:r w:rsidRPr="00985EF1">
        <w:t>5.</w:t>
      </w:r>
      <w:r w:rsidRPr="00985EF1">
        <w:tab/>
        <w:t>Les débats au sein du groupe de travail sont animés et détaillés et le groupe a travaillé sans relâche pour s</w:t>
      </w:r>
      <w:r>
        <w:t>’</w:t>
      </w:r>
      <w:r w:rsidRPr="00985EF1">
        <w:t xml:space="preserve">acquitter de son mandat et </w:t>
      </w:r>
      <w:r>
        <w:t>trouver des</w:t>
      </w:r>
      <w:r w:rsidRPr="00985EF1">
        <w:t xml:space="preserve"> solutions </w:t>
      </w:r>
      <w:r>
        <w:t>aux problèmes qui se sont présentés</w:t>
      </w:r>
      <w:r w:rsidR="00ED2E89">
        <w:t>.</w:t>
      </w:r>
      <w:r w:rsidRPr="00985EF1">
        <w:t xml:space="preserve"> Par exemple, six webinaires </w:t>
      </w:r>
      <w:r>
        <w:t>ont été organisés</w:t>
      </w:r>
      <w:r w:rsidRPr="00985EF1">
        <w:t xml:space="preserve"> entre janvier et début septembre 2018 (26 février, 9 mars, 8 mai, 15 juin, 24 juillet et 7 septembre), </w:t>
      </w:r>
      <w:r>
        <w:t xml:space="preserve">avec pour objectif d’achever les </w:t>
      </w:r>
      <w:r w:rsidRPr="00985EF1">
        <w:t xml:space="preserve">travaux du groupe sur le </w:t>
      </w:r>
      <w:r>
        <w:t>c</w:t>
      </w:r>
      <w:r w:rsidRPr="00985EF1">
        <w:t>hapitre 3.2 au cours de l</w:t>
      </w:r>
      <w:r>
        <w:t>’</w:t>
      </w:r>
      <w:r w:rsidRPr="00985EF1">
        <w:t>exercice biennal actuel. Après chaque réunion, les Pays-Bas et le Royaume-Uni, qui codirigent le groupe, révisaient le projet de texte d</w:t>
      </w:r>
      <w:r>
        <w:t>u</w:t>
      </w:r>
      <w:r w:rsidRPr="00985EF1">
        <w:t xml:space="preserve"> </w:t>
      </w:r>
      <w:r>
        <w:t>c</w:t>
      </w:r>
      <w:r w:rsidRPr="00985EF1">
        <w:t>hapitre 3.2 et rédigeaient des documents sur les différents sujets afin de faire avancer les débats, en tenant compte des observations écrites et des informations communiquées par les membres du groupe sur des questions précises.</w:t>
      </w:r>
      <w:r w:rsidR="00525BCC">
        <w:t xml:space="preserve"> </w:t>
      </w:r>
    </w:p>
    <w:p w:rsidR="00EA227C" w:rsidRPr="00985EF1" w:rsidRDefault="00EA227C" w:rsidP="00F24467">
      <w:pPr>
        <w:pStyle w:val="SingleTxtG"/>
        <w:spacing w:after="100"/>
      </w:pPr>
      <w:r w:rsidRPr="00985EF1">
        <w:t>6.</w:t>
      </w:r>
      <w:r w:rsidRPr="00985EF1">
        <w:tab/>
        <w:t>Les paragraphes 7 à 22 ci-</w:t>
      </w:r>
      <w:r>
        <w:t>après</w:t>
      </w:r>
      <w:r w:rsidRPr="00985EF1">
        <w:t xml:space="preserve"> donnent au Sous-Comité un aperçu </w:t>
      </w:r>
      <w:r>
        <w:t xml:space="preserve">de la nature </w:t>
      </w:r>
      <w:r w:rsidRPr="00985EF1">
        <w:t xml:space="preserve">des travaux menés, des questions soulevées et des solutions adoptées. Les modifications apportées au </w:t>
      </w:r>
      <w:r>
        <w:t>c</w:t>
      </w:r>
      <w:r w:rsidRPr="00985EF1">
        <w:t>hapitre 3.2 sont résumées dans l</w:t>
      </w:r>
      <w:r>
        <w:t>’</w:t>
      </w:r>
      <w:r w:rsidRPr="00985EF1">
        <w:t>annexe au présent document. Par souci de clarté, l</w:t>
      </w:r>
      <w:r>
        <w:t>’</w:t>
      </w:r>
      <w:r w:rsidRPr="00985EF1">
        <w:t xml:space="preserve">intégralité du texte du </w:t>
      </w:r>
      <w:r>
        <w:t>c</w:t>
      </w:r>
      <w:r w:rsidRPr="00985EF1">
        <w:t xml:space="preserve">hapitre 3.2 tel que révisé figure dans le document informel INF.6 avec des annotations indiquant les changements </w:t>
      </w:r>
      <w:r>
        <w:t xml:space="preserve">effectués </w:t>
      </w:r>
      <w:r w:rsidRPr="00985EF1">
        <w:t>par rapport à la septième édition révisée du SGH.</w:t>
      </w:r>
    </w:p>
    <w:p w:rsidR="00EA227C" w:rsidRPr="00985EF1" w:rsidRDefault="00EA227C" w:rsidP="00BF7CD3">
      <w:pPr>
        <w:pStyle w:val="HChG"/>
      </w:pPr>
      <w:r w:rsidRPr="00985EF1">
        <w:tab/>
      </w:r>
      <w:r w:rsidRPr="00985EF1">
        <w:tab/>
        <w:t xml:space="preserve">Questions abordées et solutions apportées </w:t>
      </w:r>
    </w:p>
    <w:p w:rsidR="00EA227C" w:rsidRPr="00985EF1" w:rsidRDefault="00EA227C" w:rsidP="00BF7CD3">
      <w:pPr>
        <w:pStyle w:val="H1G"/>
      </w:pPr>
      <w:r w:rsidRPr="00985EF1">
        <w:tab/>
      </w:r>
      <w:r w:rsidRPr="00985EF1">
        <w:tab/>
        <w:t xml:space="preserve">Méthode intégrée ou </w:t>
      </w:r>
      <w:r>
        <w:t>par étapes</w:t>
      </w:r>
      <w:r w:rsidRPr="00985EF1">
        <w:t xml:space="preserve"> </w:t>
      </w:r>
    </w:p>
    <w:p w:rsidR="00EA227C" w:rsidRPr="00985EF1" w:rsidRDefault="00EA227C" w:rsidP="00620449">
      <w:pPr>
        <w:pStyle w:val="SingleTxtG"/>
      </w:pPr>
      <w:r w:rsidRPr="00985EF1">
        <w:t>7.</w:t>
      </w:r>
      <w:r w:rsidRPr="00985EF1">
        <w:tab/>
        <w:t xml:space="preserve">Le groupe de travail </w:t>
      </w:r>
      <w:r>
        <w:t xml:space="preserve">a </w:t>
      </w:r>
      <w:r w:rsidRPr="00985EF1">
        <w:t xml:space="preserve">longuement comparé la méthode par </w:t>
      </w:r>
      <w:r>
        <w:t>étapes</w:t>
      </w:r>
      <w:r w:rsidRPr="00985EF1">
        <w:t xml:space="preserve"> du SGH </w:t>
      </w:r>
      <w:r>
        <w:t>couplée à</w:t>
      </w:r>
      <w:r w:rsidRPr="00985EF1">
        <w:t xml:space="preserve"> la méthode d</w:t>
      </w:r>
      <w:r>
        <w:t>’</w:t>
      </w:r>
      <w:r w:rsidRPr="00985EF1">
        <w:t>évaluation d</w:t>
      </w:r>
      <w:r>
        <w:t>’</w:t>
      </w:r>
      <w:r w:rsidRPr="00985EF1">
        <w:t>ensemble de la force probante des données utilisée</w:t>
      </w:r>
      <w:r>
        <w:t xml:space="preserve"> actuellement pour le classement en matière de </w:t>
      </w:r>
      <w:r w:rsidRPr="00985EF1">
        <w:t>corrosion</w:t>
      </w:r>
      <w:r>
        <w:t xml:space="preserve"> ou d’</w:t>
      </w:r>
      <w:r w:rsidRPr="00985EF1">
        <w:t xml:space="preserve">irritation cutanée </w:t>
      </w:r>
      <w:r>
        <w:t>avec</w:t>
      </w:r>
      <w:r w:rsidRPr="00985EF1">
        <w:t xml:space="preserve"> l</w:t>
      </w:r>
      <w:r>
        <w:t>’</w:t>
      </w:r>
      <w:r w:rsidRPr="00985EF1">
        <w:t xml:space="preserve">approche intégrée qui est maintenant adoptée </w:t>
      </w:r>
      <w:r>
        <w:t>par</w:t>
      </w:r>
      <w:r w:rsidRPr="00985EF1">
        <w:t xml:space="preserve"> l</w:t>
      </w:r>
      <w:r>
        <w:t>’</w:t>
      </w:r>
      <w:r w:rsidRPr="00985EF1">
        <w:t xml:space="preserve">Organisation de coopération et de développement économiques. Il a tiré la conclusion </w:t>
      </w:r>
      <w:r>
        <w:t xml:space="preserve">générale </w:t>
      </w:r>
      <w:r w:rsidRPr="00985EF1">
        <w:t>que les deux approches n</w:t>
      </w:r>
      <w:r>
        <w:t>’</w:t>
      </w:r>
      <w:r w:rsidRPr="00985EF1">
        <w:t xml:space="preserve">étaient pas contradictoires et que </w:t>
      </w:r>
      <w:r>
        <w:t>la méthode par étapes</w:t>
      </w:r>
      <w:r w:rsidRPr="00985EF1">
        <w:t xml:space="preserve"> pouvait </w:t>
      </w:r>
      <w:r>
        <w:t>s’inscrire dans le cadre de la méthode</w:t>
      </w:r>
      <w:r w:rsidR="00F24467">
        <w:t xml:space="preserve"> intégrée.</w:t>
      </w:r>
    </w:p>
    <w:p w:rsidR="00EA227C" w:rsidRPr="00985EF1" w:rsidRDefault="00EA227C" w:rsidP="00620449">
      <w:pPr>
        <w:pStyle w:val="SingleTxtG"/>
      </w:pPr>
      <w:r w:rsidRPr="00985EF1">
        <w:t>8.</w:t>
      </w:r>
      <w:r w:rsidRPr="00985EF1">
        <w:tab/>
        <w:t xml:space="preserve">Certains membres du groupe de travail </w:t>
      </w:r>
      <w:r>
        <w:t xml:space="preserve">ont </w:t>
      </w:r>
      <w:r w:rsidRPr="00985EF1">
        <w:t>estim</w:t>
      </w:r>
      <w:r>
        <w:t>é</w:t>
      </w:r>
      <w:r w:rsidRPr="00985EF1">
        <w:t xml:space="preserve"> que </w:t>
      </w:r>
      <w:r>
        <w:t>la méthode</w:t>
      </w:r>
      <w:r w:rsidRPr="00985EF1">
        <w:t xml:space="preserve"> intégrée (qui </w:t>
      </w:r>
      <w:r>
        <w:t xml:space="preserve">examine dès le départ toutes les données selon la méthode </w:t>
      </w:r>
      <w:r w:rsidRPr="00985EF1">
        <w:t xml:space="preserve">fondée sur la force probante de </w:t>
      </w:r>
      <w:r w:rsidRPr="00985EF1">
        <w:lastRenderedPageBreak/>
        <w:t>toutes les données) était préférable, mais d</w:t>
      </w:r>
      <w:r>
        <w:t>’</w:t>
      </w:r>
      <w:r w:rsidRPr="00985EF1">
        <w:t>autres souhaitaient conserver l</w:t>
      </w:r>
      <w:r>
        <w:t>’</w:t>
      </w:r>
      <w:r w:rsidRPr="00985EF1">
        <w:t xml:space="preserve">approche par </w:t>
      </w:r>
      <w:r>
        <w:t>étapes</w:t>
      </w:r>
      <w:r w:rsidRPr="00985EF1">
        <w:t xml:space="preserve">. Le compromis </w:t>
      </w:r>
      <w:r>
        <w:t xml:space="preserve">auquel le groupe est parvenu </w:t>
      </w:r>
      <w:r w:rsidRPr="00985EF1">
        <w:t xml:space="preserve">consiste à </w:t>
      </w:r>
      <w:r>
        <w:t>conserver la méthode par étapes</w:t>
      </w:r>
      <w:r w:rsidRPr="00985EF1">
        <w:t xml:space="preserve"> en lui apportant certaines modifications et </w:t>
      </w:r>
      <w:r>
        <w:t xml:space="preserve">à </w:t>
      </w:r>
      <w:r w:rsidRPr="00985EF1">
        <w:t>appliquer une méthode d</w:t>
      </w:r>
      <w:r>
        <w:t>’</w:t>
      </w:r>
      <w:r w:rsidRPr="00985EF1">
        <w:t xml:space="preserve">évaluation de la force probante des données lorsque les informations disponibles donnent des résultats incohérents ou contradictoires </w:t>
      </w:r>
      <w:r>
        <w:t>dans une même étape et de recourir à une évaluation d’ensemble de la</w:t>
      </w:r>
      <w:r w:rsidRPr="00985EF1">
        <w:t xml:space="preserve"> force probante des données</w:t>
      </w:r>
      <w:r>
        <w:t xml:space="preserve"> en présence de résultats incohérents ou contradictoires entre les étapes. Dans le cadre de l’évaluation d’ensemble de la force probante des données</w:t>
      </w:r>
      <w:r w:rsidRPr="00985EF1">
        <w:t xml:space="preserve">, </w:t>
      </w:r>
      <w:r>
        <w:t xml:space="preserve">les données correspondant au niveau de préoccupation le plus élevé sont affectées à l’étape supérieure et font l’objet d’une évaluation plus détaillée lorsque les données de l’étape inférieure font état d’un niveau de préoccupation plus élevé que celles de l’étape supérieure. </w:t>
      </w:r>
      <w:r w:rsidRPr="00985EF1">
        <w:t>En outre, l</w:t>
      </w:r>
      <w:r>
        <w:t>’</w:t>
      </w:r>
      <w:r w:rsidRPr="00985EF1">
        <w:t>ordre relatif de certain</w:t>
      </w:r>
      <w:r>
        <w:t>e</w:t>
      </w:r>
      <w:r w:rsidRPr="00985EF1">
        <w:t xml:space="preserve">s </w:t>
      </w:r>
      <w:r>
        <w:t xml:space="preserve">étapes </w:t>
      </w:r>
      <w:r w:rsidRPr="00985EF1">
        <w:t>actuel</w:t>
      </w:r>
      <w:r>
        <w:t>le</w:t>
      </w:r>
      <w:r w:rsidRPr="00985EF1">
        <w:t>s a été revu (voir par</w:t>
      </w:r>
      <w:r w:rsidR="00251C37">
        <w:t>.</w:t>
      </w:r>
      <w:r w:rsidR="00F24467">
        <w:t> </w:t>
      </w:r>
      <w:r w:rsidRPr="00985EF1">
        <w:t>16 et 17 ci-après).</w:t>
      </w:r>
    </w:p>
    <w:p w:rsidR="00EA227C" w:rsidRPr="00985EF1" w:rsidRDefault="00EA227C" w:rsidP="00620449">
      <w:pPr>
        <w:pStyle w:val="SingleTxtG"/>
      </w:pPr>
      <w:r w:rsidRPr="00985EF1">
        <w:t>9.</w:t>
      </w:r>
      <w:r w:rsidRPr="00985EF1">
        <w:tab/>
        <w:t>L</w:t>
      </w:r>
      <w:r>
        <w:t>’</w:t>
      </w:r>
      <w:r w:rsidRPr="00985EF1">
        <w:t xml:space="preserve">examen détaillé de la méthode par </w:t>
      </w:r>
      <w:r>
        <w:t>étapes</w:t>
      </w:r>
      <w:r w:rsidRPr="00985EF1">
        <w:t xml:space="preserve"> et de la méthode intégrée, et la nécessité de </w:t>
      </w:r>
      <w:r>
        <w:t>réexaminer</w:t>
      </w:r>
      <w:r w:rsidRPr="00985EF1">
        <w:t xml:space="preserve"> l</w:t>
      </w:r>
      <w:r>
        <w:t>’</w:t>
      </w:r>
      <w:r w:rsidRPr="00985EF1">
        <w:t>ordre adéquat</w:t>
      </w:r>
      <w:r>
        <w:t xml:space="preserve">, dans la méthode par étapes, </w:t>
      </w:r>
      <w:r w:rsidRPr="00985EF1">
        <w:t xml:space="preserve">des </w:t>
      </w:r>
      <w:r>
        <w:t>essais</w:t>
      </w:r>
      <w:r w:rsidRPr="00985EF1">
        <w:t xml:space="preserve"> </w:t>
      </w:r>
      <w:r w:rsidRPr="00900022">
        <w:rPr>
          <w:i/>
        </w:rPr>
        <w:t>in vitro/ex vivo</w:t>
      </w:r>
      <w:r w:rsidRPr="00985EF1">
        <w:t xml:space="preserve"> </w:t>
      </w:r>
      <w:r>
        <w:t>validés et des données ne reposant pas sur des essais</w:t>
      </w:r>
      <w:r w:rsidRPr="00985EF1">
        <w:t>, a également amené à s</w:t>
      </w:r>
      <w:r>
        <w:t>’</w:t>
      </w:r>
      <w:r w:rsidRPr="00985EF1">
        <w:t xml:space="preserve">interroger sur les conclusions pouvant être tirées des données </w:t>
      </w:r>
      <w:r>
        <w:t>obtenues sur l’homme</w:t>
      </w:r>
      <w:r w:rsidRPr="00985EF1">
        <w:t xml:space="preserve"> et des </w:t>
      </w:r>
      <w:r w:rsidR="00251C37">
        <w:t>« </w:t>
      </w:r>
      <w:r w:rsidRPr="00985EF1">
        <w:t>autres données existantes sur des effets cutanés sur animaux</w:t>
      </w:r>
      <w:r w:rsidR="00251C37">
        <w:t> »</w:t>
      </w:r>
      <w:r w:rsidRPr="00985EF1">
        <w:t xml:space="preserve">, ce que cela recouvre </w:t>
      </w:r>
      <w:r>
        <w:t xml:space="preserve">exactement </w:t>
      </w:r>
      <w:r w:rsidRPr="00985EF1">
        <w:t xml:space="preserve">et quelles en sont les limites pour la classification dans la pratique. </w:t>
      </w:r>
    </w:p>
    <w:p w:rsidR="00EA227C" w:rsidRPr="00985EF1" w:rsidRDefault="00EA227C" w:rsidP="00F24467">
      <w:pPr>
        <w:pStyle w:val="SingleTxtG"/>
        <w:keepNext/>
      </w:pPr>
      <w:r w:rsidRPr="00985EF1">
        <w:t>10.</w:t>
      </w:r>
      <w:r w:rsidRPr="00985EF1">
        <w:tab/>
        <w:t>Des documents portant sur ces aspects ont été élaborés et examinés. Les résultats de ces discussions font l</w:t>
      </w:r>
      <w:r>
        <w:t>’</w:t>
      </w:r>
      <w:r w:rsidRPr="00985EF1">
        <w:t xml:space="preserve">objet de trois nouvelles sous-sections figurant dans les informations complémentaires au </w:t>
      </w:r>
      <w:r>
        <w:t>c</w:t>
      </w:r>
      <w:r w:rsidRPr="00985EF1">
        <w:t>hapitre</w:t>
      </w:r>
      <w:r w:rsidR="00F24467">
        <w:t xml:space="preserve"> 3.2</w:t>
      </w:r>
      <w:r w:rsidR="00525BCC">
        <w:t> :</w:t>
      </w:r>
    </w:p>
    <w:p w:rsidR="00EA227C" w:rsidRPr="00985EF1" w:rsidRDefault="00EA227C" w:rsidP="00D16C4F">
      <w:pPr>
        <w:pStyle w:val="SingleTxtG"/>
        <w:ind w:firstLine="567"/>
      </w:pPr>
      <w:r w:rsidRPr="00985EF1">
        <w:t>a)</w:t>
      </w:r>
      <w:r w:rsidRPr="00985EF1">
        <w:tab/>
        <w:t xml:space="preserve">Une orientation vers des informations utiles sur les forces et faiblesses des différentes méthodes fondées et non fondées sur des </w:t>
      </w:r>
      <w:r>
        <w:t>essais</w:t>
      </w:r>
      <w:r w:rsidRPr="00985EF1">
        <w:t>, et vers des directives utiles sur la manière d</w:t>
      </w:r>
      <w:r>
        <w:t>’</w:t>
      </w:r>
      <w:r w:rsidRPr="00985EF1">
        <w:t>appliquer une méthode fondée sur la force probante des données (3.2.5.3.1</w:t>
      </w:r>
      <w:r w:rsidR="00F24467">
        <w:t>)</w:t>
      </w:r>
      <w:r w:rsidR="00525BCC">
        <w:t> ;</w:t>
      </w:r>
      <w:r w:rsidRPr="00985EF1">
        <w:t xml:space="preserve"> </w:t>
      </w:r>
    </w:p>
    <w:p w:rsidR="00EA227C" w:rsidRPr="00985EF1" w:rsidRDefault="00EA227C" w:rsidP="00D16C4F">
      <w:pPr>
        <w:pStyle w:val="SingleTxtG"/>
        <w:ind w:firstLine="567"/>
      </w:pPr>
      <w:r w:rsidRPr="00985EF1">
        <w:t>b)</w:t>
      </w:r>
      <w:r w:rsidRPr="00985EF1">
        <w:tab/>
        <w:t>Des directives sur l</w:t>
      </w:r>
      <w:r>
        <w:t>’</w:t>
      </w:r>
      <w:r w:rsidRPr="00985EF1">
        <w:t xml:space="preserve">utilisation des données </w:t>
      </w:r>
      <w:r>
        <w:t>obtenues sur l’homme p</w:t>
      </w:r>
      <w:r w:rsidRPr="00985EF1">
        <w:t>our l</w:t>
      </w:r>
      <w:r>
        <w:t>e</w:t>
      </w:r>
      <w:r w:rsidRPr="00985EF1">
        <w:t xml:space="preserve"> class</w:t>
      </w:r>
      <w:r>
        <w:t>ement</w:t>
      </w:r>
      <w:r w:rsidRPr="00985EF1">
        <w:t xml:space="preserve"> de la corrosion ou de l</w:t>
      </w:r>
      <w:r>
        <w:t>’</w:t>
      </w:r>
      <w:r w:rsidRPr="00985EF1">
        <w:t>irritation cutanée (3.2.5.3.2</w:t>
      </w:r>
      <w:r w:rsidR="00F24467">
        <w:t>)</w:t>
      </w:r>
      <w:r w:rsidR="00525BCC">
        <w:t> ;</w:t>
      </w:r>
      <w:r w:rsidRPr="00985EF1">
        <w:t xml:space="preserve"> et </w:t>
      </w:r>
    </w:p>
    <w:p w:rsidR="00EA227C" w:rsidRPr="00985EF1" w:rsidRDefault="00EA227C" w:rsidP="00D16C4F">
      <w:pPr>
        <w:pStyle w:val="SingleTxtG"/>
        <w:ind w:firstLine="567"/>
      </w:pPr>
      <w:r w:rsidRPr="00985EF1">
        <w:t>c)</w:t>
      </w:r>
      <w:r w:rsidRPr="00985EF1">
        <w:tab/>
        <w:t>Des directives sur l</w:t>
      </w:r>
      <w:r>
        <w:t>’</w:t>
      </w:r>
      <w:r w:rsidRPr="00985EF1">
        <w:t>utilisation d</w:t>
      </w:r>
      <w:r>
        <w:t>’</w:t>
      </w:r>
      <w:r w:rsidRPr="00985EF1">
        <w:t>autres données existantes sur des effets cutanés sur animaux en vue de leur class</w:t>
      </w:r>
      <w:r>
        <w:t>ement</w:t>
      </w:r>
      <w:r w:rsidRPr="00985EF1">
        <w:t xml:space="preserve"> comme corrosion ou irritation cutanée (3.2.5.3.5).</w:t>
      </w:r>
    </w:p>
    <w:p w:rsidR="00EA227C" w:rsidRPr="00985EF1" w:rsidRDefault="00EA227C" w:rsidP="00F24467">
      <w:pPr>
        <w:pStyle w:val="H1G"/>
      </w:pPr>
      <w:r w:rsidRPr="00985EF1">
        <w:rPr>
          <w:i/>
        </w:rPr>
        <w:tab/>
      </w:r>
      <w:r w:rsidRPr="00985EF1">
        <w:rPr>
          <w:i/>
        </w:rPr>
        <w:tab/>
      </w:r>
      <w:r w:rsidRPr="00985EF1">
        <w:t>Méthodes d</w:t>
      </w:r>
      <w:r>
        <w:t>’essai</w:t>
      </w:r>
      <w:r w:rsidRPr="00985EF1">
        <w:rPr>
          <w:i/>
        </w:rPr>
        <w:t xml:space="preserve"> </w:t>
      </w:r>
      <w:r>
        <w:rPr>
          <w:i/>
        </w:rPr>
        <w:t>i</w:t>
      </w:r>
      <w:r w:rsidRPr="00985EF1">
        <w:rPr>
          <w:i/>
        </w:rPr>
        <w:t>n vitro/ex vivo</w:t>
      </w:r>
      <w:r w:rsidRPr="00985EF1">
        <w:t xml:space="preserve"> et méthodes non fondées sur des </w:t>
      </w:r>
      <w:r>
        <w:t>essais</w:t>
      </w:r>
      <w:r w:rsidRPr="00985EF1">
        <w:t xml:space="preserve"> </w:t>
      </w:r>
    </w:p>
    <w:p w:rsidR="00EA227C" w:rsidRPr="00985EF1" w:rsidRDefault="00EA227C" w:rsidP="00620449">
      <w:pPr>
        <w:pStyle w:val="SingleTxtG"/>
      </w:pPr>
      <w:r w:rsidRPr="00985EF1">
        <w:t>11.</w:t>
      </w:r>
      <w:r w:rsidRPr="00985EF1">
        <w:tab/>
        <w:t>De nouvelles sous-sections ont été ajoutées, qui indiquent comment classer la corrosion ou l</w:t>
      </w:r>
      <w:r>
        <w:t>’</w:t>
      </w:r>
      <w:r w:rsidRPr="00985EF1">
        <w:t xml:space="preserve">irritation cutanée sur la base de données </w:t>
      </w:r>
      <w:r w:rsidRPr="00985EF1">
        <w:rPr>
          <w:i/>
        </w:rPr>
        <w:t>in vitro/ex vivo</w:t>
      </w:r>
      <w:r w:rsidRPr="00985EF1">
        <w:t xml:space="preserve"> (3.2.2.3) et </w:t>
      </w:r>
      <w:r>
        <w:t xml:space="preserve">qui </w:t>
      </w:r>
      <w:r w:rsidRPr="00985EF1">
        <w:t>énumèr</w:t>
      </w:r>
      <w:r>
        <w:t>e</w:t>
      </w:r>
      <w:r w:rsidRPr="00985EF1">
        <w:t xml:space="preserve">nt les méthodes non fondées sur des </w:t>
      </w:r>
      <w:r>
        <w:t>essais</w:t>
      </w:r>
      <w:r w:rsidRPr="00985EF1">
        <w:t xml:space="preserve"> comme les modèles informatiques qui prévoient les relations structure-activité, les systèmes informatiques experts et la lecture croisée par analogie </w:t>
      </w:r>
      <w:r>
        <w:t>ou</w:t>
      </w:r>
      <w:r w:rsidRPr="00985EF1">
        <w:t xml:space="preserve"> par catégorie (3.2.2.6).</w:t>
      </w:r>
      <w:r w:rsidR="00525BCC">
        <w:t xml:space="preserve"> </w:t>
      </w:r>
      <w:r w:rsidRPr="00985EF1">
        <w:t xml:space="preserve">Le terme plus large </w:t>
      </w:r>
      <w:r w:rsidR="00F24467">
        <w:t>« </w:t>
      </w:r>
      <w:r w:rsidRPr="00985EF1">
        <w:t xml:space="preserve">méthodes non fondées sur des </w:t>
      </w:r>
      <w:r>
        <w:t>essais</w:t>
      </w:r>
      <w:r w:rsidR="00F24467">
        <w:t> »</w:t>
      </w:r>
      <w:r w:rsidRPr="00985EF1">
        <w:t xml:space="preserve"> remplace désormais « </w:t>
      </w:r>
      <w:r>
        <w:t>r</w:t>
      </w:r>
      <w:r w:rsidRPr="00985EF1">
        <w:t>elations structure-activité validées » dans la septième édition révisée du SGH.</w:t>
      </w:r>
    </w:p>
    <w:p w:rsidR="00EA227C" w:rsidRPr="00985EF1" w:rsidRDefault="00EA227C" w:rsidP="00620449">
      <w:pPr>
        <w:pStyle w:val="SingleTxtG"/>
      </w:pPr>
      <w:r w:rsidRPr="00985EF1">
        <w:t>12.</w:t>
      </w:r>
      <w:r w:rsidRPr="00985EF1">
        <w:tab/>
        <w:t xml:space="preserve">Pour </w:t>
      </w:r>
      <w:r>
        <w:t>le classement</w:t>
      </w:r>
      <w:r w:rsidRPr="00985EF1">
        <w:t xml:space="preserve"> fondé sur les données </w:t>
      </w:r>
      <w:r w:rsidRPr="00985EF1">
        <w:rPr>
          <w:i/>
        </w:rPr>
        <w:t>in vitro/ex vivo</w:t>
      </w:r>
      <w:r>
        <w:rPr>
          <w:i/>
        </w:rPr>
        <w:t>,</w:t>
      </w:r>
      <w:r w:rsidRPr="00985EF1">
        <w:t xml:space="preserve"> certains membres du groupe ont estimé qu</w:t>
      </w:r>
      <w:r>
        <w:t>’</w:t>
      </w:r>
      <w:r w:rsidRPr="00985EF1">
        <w:t>il était important d</w:t>
      </w:r>
      <w:r>
        <w:t>’</w:t>
      </w:r>
      <w:r w:rsidRPr="00985EF1">
        <w:t>établir dans le SGH les critères de classification des données obtenues par le biais des méthodes d</w:t>
      </w:r>
      <w:r>
        <w:t>’</w:t>
      </w:r>
      <w:r w:rsidRPr="00985EF1">
        <w:t>essai validées pertinentes, comme c</w:t>
      </w:r>
      <w:r>
        <w:t>’</w:t>
      </w:r>
      <w:r w:rsidRPr="00985EF1">
        <w:t>est le cas actuellement pour les données fondées, par exemple, sur les méthodes normalisées d</w:t>
      </w:r>
      <w:r>
        <w:t>’</w:t>
      </w:r>
      <w:r w:rsidRPr="00985EF1">
        <w:t xml:space="preserve">expérimentation animale </w:t>
      </w:r>
      <w:r>
        <w:t>s’appuyant sur la L</w:t>
      </w:r>
      <w:r w:rsidRPr="00985EF1">
        <w:t xml:space="preserve">igne </w:t>
      </w:r>
      <w:r>
        <w:t>d</w:t>
      </w:r>
      <w:r w:rsidRPr="00985EF1">
        <w:t xml:space="preserve">irectrice </w:t>
      </w:r>
      <w:r w:rsidR="00F10A00">
        <w:rPr>
          <w:rFonts w:eastAsia="MS Mincho"/>
        </w:rPr>
        <w:t>n</w:t>
      </w:r>
      <w:r w:rsidR="00F10A00">
        <w:rPr>
          <w:rFonts w:eastAsia="MS Mincho"/>
          <w:vertAlign w:val="superscript"/>
        </w:rPr>
        <w:t>o</w:t>
      </w:r>
      <w:r w:rsidR="00F10A00">
        <w:t> </w:t>
      </w:r>
      <w:r w:rsidRPr="00985EF1">
        <w:t>404 de l</w:t>
      </w:r>
      <w:r>
        <w:t>’</w:t>
      </w:r>
      <w:r w:rsidRPr="00985EF1">
        <w:t>OCDE. D</w:t>
      </w:r>
      <w:r>
        <w:t>’</w:t>
      </w:r>
      <w:r w:rsidRPr="00985EF1">
        <w:t>autres membres ont considéré qu</w:t>
      </w:r>
      <w:r>
        <w:t>’</w:t>
      </w:r>
      <w:r w:rsidRPr="00985EF1">
        <w:t xml:space="preserve">il ne fallait pas inclure des critères de classification spécifiques en raison des éventuels ajouts aux méthodes existantes pouvant apparaître au fil du temps et des modifications apportées aux critères. </w:t>
      </w:r>
      <w:r>
        <w:t>Un</w:t>
      </w:r>
      <w:r w:rsidRPr="00985EF1">
        <w:t xml:space="preserve"> compromis </w:t>
      </w:r>
      <w:r>
        <w:t xml:space="preserve">a été </w:t>
      </w:r>
      <w:r w:rsidRPr="00985EF1">
        <w:t>trouvé</w:t>
      </w:r>
      <w:r>
        <w:t>,</w:t>
      </w:r>
      <w:r w:rsidRPr="00985EF1">
        <w:t xml:space="preserve"> consista</w:t>
      </w:r>
      <w:r>
        <w:t>n</w:t>
      </w:r>
      <w:r w:rsidRPr="00985EF1">
        <w:t xml:space="preserve">t à présenter les critères des données </w:t>
      </w:r>
      <w:r w:rsidRPr="00985EF1">
        <w:rPr>
          <w:i/>
        </w:rPr>
        <w:t>in vitro/ex vivo</w:t>
      </w:r>
      <w:r w:rsidRPr="00985EF1">
        <w:t xml:space="preserve"> sous forme de « commentaires et informations complémentaires » dans le </w:t>
      </w:r>
      <w:r>
        <w:t>t</w:t>
      </w:r>
      <w:r w:rsidRPr="00985EF1">
        <w:t xml:space="preserve">ableau 3.2.6 (pour la corrosion cutanée) et dans le </w:t>
      </w:r>
      <w:r>
        <w:t>t</w:t>
      </w:r>
      <w:r w:rsidRPr="00985EF1">
        <w:t>ableau</w:t>
      </w:r>
      <w:r w:rsidR="008C69FD">
        <w:t> </w:t>
      </w:r>
      <w:r w:rsidRPr="00985EF1">
        <w:t>3.2.7 (pour l</w:t>
      </w:r>
      <w:r>
        <w:t>’</w:t>
      </w:r>
      <w:r w:rsidRPr="00985EF1">
        <w:t>irritation cutanée). Ces tableaux fournissent les éléments essentiels d</w:t>
      </w:r>
      <w:r>
        <w:t>’</w:t>
      </w:r>
      <w:r w:rsidRPr="00985EF1">
        <w:t xml:space="preserve">une nouvelle sous-section dans les commentaires et informations complémentaires (3.2.5.3.4, Classification fondée sur des données </w:t>
      </w:r>
      <w:r w:rsidRPr="00985EF1">
        <w:rPr>
          <w:i/>
        </w:rPr>
        <w:t>in vitro/ex vivo</w:t>
      </w:r>
      <w:r w:rsidRPr="00985EF1">
        <w:t>).</w:t>
      </w:r>
    </w:p>
    <w:p w:rsidR="00EA227C" w:rsidRPr="00985EF1" w:rsidRDefault="00EA227C" w:rsidP="00620449">
      <w:pPr>
        <w:pStyle w:val="SingleTxtG"/>
      </w:pPr>
      <w:r w:rsidRPr="00985EF1">
        <w:t>13.</w:t>
      </w:r>
      <w:r w:rsidRPr="00985EF1">
        <w:tab/>
        <w:t>Un problème a surgi dans l</w:t>
      </w:r>
      <w:r>
        <w:t>’</w:t>
      </w:r>
      <w:r w:rsidRPr="00985EF1">
        <w:t xml:space="preserve">élaboration du </w:t>
      </w:r>
      <w:r>
        <w:t>t</w:t>
      </w:r>
      <w:r w:rsidRPr="00985EF1">
        <w:t>ableau 3.2.6 en raison de l</w:t>
      </w:r>
      <w:r>
        <w:t>a présence, dans l</w:t>
      </w:r>
      <w:r w:rsidRPr="004C11C3">
        <w:t xml:space="preserve">a Ligne directrice </w:t>
      </w:r>
      <w:r w:rsidR="00F10A00">
        <w:rPr>
          <w:rFonts w:eastAsia="MS Mincho"/>
        </w:rPr>
        <w:t>n</w:t>
      </w:r>
      <w:r w:rsidR="00F10A00">
        <w:rPr>
          <w:rFonts w:eastAsia="MS Mincho"/>
          <w:vertAlign w:val="superscript"/>
        </w:rPr>
        <w:t>o</w:t>
      </w:r>
      <w:r w:rsidR="00F10A00">
        <w:t> </w:t>
      </w:r>
      <w:r w:rsidRPr="004C11C3">
        <w:t>431 de l</w:t>
      </w:r>
      <w:r>
        <w:t>’</w:t>
      </w:r>
      <w:r w:rsidRPr="004C11C3">
        <w:t>OCDE</w:t>
      </w:r>
      <w:r>
        <w:t>,</w:t>
      </w:r>
      <w:r w:rsidRPr="004C11C3">
        <w:t xml:space="preserve"> </w:t>
      </w:r>
      <w:r w:rsidRPr="00985EF1">
        <w:t xml:space="preserve">de plusieurs méthodes, chacune </w:t>
      </w:r>
      <w:r>
        <w:t>assortie</w:t>
      </w:r>
      <w:r w:rsidRPr="00985EF1">
        <w:t xml:space="preserve"> de critères de classification différents. Actuellement les différentes méthodes sont désignées au niveau de </w:t>
      </w:r>
      <w:r w:rsidRPr="00985EF1">
        <w:lastRenderedPageBreak/>
        <w:t>l</w:t>
      </w:r>
      <w:r>
        <w:t>’</w:t>
      </w:r>
      <w:r w:rsidRPr="00985EF1">
        <w:t xml:space="preserve">OCDE par des noms de marque comme EpiSkin™ et EpiDerm™. Cependant, les </w:t>
      </w:r>
      <w:r>
        <w:t xml:space="preserve">noms de </w:t>
      </w:r>
      <w:r w:rsidRPr="00985EF1">
        <w:t xml:space="preserve">marque ne </w:t>
      </w:r>
      <w:r>
        <w:t>doivent pas apparaître</w:t>
      </w:r>
      <w:r w:rsidRPr="00985EF1">
        <w:t xml:space="preserve"> dans les publications de l</w:t>
      </w:r>
      <w:r>
        <w:t>’</w:t>
      </w:r>
      <w:r w:rsidRPr="00985EF1">
        <w:t>ONU</w:t>
      </w:r>
      <w:r w:rsidR="00525BCC">
        <w:t> ;</w:t>
      </w:r>
      <w:r w:rsidRPr="00985EF1">
        <w:t xml:space="preserve"> il a donc fallu trouver un autre moyen de </w:t>
      </w:r>
      <w:r>
        <w:t>relier</w:t>
      </w:r>
      <w:r w:rsidRPr="00985EF1">
        <w:t xml:space="preserve"> les méthodes </w:t>
      </w:r>
      <w:r>
        <w:t>de</w:t>
      </w:r>
      <w:r w:rsidRPr="00985EF1">
        <w:t xml:space="preserve"> l</w:t>
      </w:r>
      <w:r>
        <w:t>’</w:t>
      </w:r>
      <w:r w:rsidRPr="00985EF1">
        <w:t xml:space="preserve">OCDE aux critères du </w:t>
      </w:r>
      <w:r>
        <w:t>t</w:t>
      </w:r>
      <w:r w:rsidRPr="00985EF1">
        <w:t>ableau</w:t>
      </w:r>
      <w:r w:rsidR="008C69FD">
        <w:t xml:space="preserve"> 3.2.6. </w:t>
      </w:r>
      <w:r w:rsidRPr="00985EF1">
        <w:t>Le problème a été résolu avec l</w:t>
      </w:r>
      <w:r>
        <w:t>’</w:t>
      </w:r>
      <w:r w:rsidRPr="00985EF1">
        <w:t>aide du secrétariat de l</w:t>
      </w:r>
      <w:r>
        <w:t>’</w:t>
      </w:r>
      <w:r w:rsidRPr="00985EF1">
        <w:t xml:space="preserve">OCDE, en énumérant les différentes méthodes de la </w:t>
      </w:r>
      <w:r>
        <w:t>L</w:t>
      </w:r>
      <w:r w:rsidRPr="00985EF1">
        <w:t xml:space="preserve">igne directrice </w:t>
      </w:r>
      <w:r w:rsidR="008C69FD">
        <w:rPr>
          <w:rFonts w:eastAsia="MS Mincho"/>
        </w:rPr>
        <w:t>n</w:t>
      </w:r>
      <w:r w:rsidR="008C69FD">
        <w:rPr>
          <w:rFonts w:eastAsia="MS Mincho"/>
          <w:vertAlign w:val="superscript"/>
        </w:rPr>
        <w:t>o</w:t>
      </w:r>
      <w:r w:rsidR="008C69FD">
        <w:t> </w:t>
      </w:r>
      <w:r w:rsidRPr="00985EF1">
        <w:t>431 comme méthode 1, 2, 3</w:t>
      </w:r>
      <w:r w:rsidR="008C69FD">
        <w:t xml:space="preserve">, </w:t>
      </w:r>
      <w:r w:rsidRPr="00985EF1">
        <w:t xml:space="preserve">etc. La </w:t>
      </w:r>
      <w:r>
        <w:t>L</w:t>
      </w:r>
      <w:r w:rsidRPr="00985EF1">
        <w:t xml:space="preserve">igne directrice sera mise à jour en conséquence et publiée avant la fin </w:t>
      </w:r>
      <w:r w:rsidR="00056EF1">
        <w:t xml:space="preserve">de </w:t>
      </w:r>
      <w:r w:rsidRPr="00985EF1">
        <w:t xml:space="preserve">2018. Le groupe de travail informel </w:t>
      </w:r>
      <w:r>
        <w:t>remercie vivement le</w:t>
      </w:r>
      <w:r w:rsidRPr="00985EF1">
        <w:t xml:space="preserve"> secrétariat de l</w:t>
      </w:r>
      <w:r>
        <w:t>’</w:t>
      </w:r>
      <w:r w:rsidRPr="00985EF1">
        <w:t>OCDE pour l</w:t>
      </w:r>
      <w:r>
        <w:t>’</w:t>
      </w:r>
      <w:r w:rsidRPr="00985EF1">
        <w:t>aide qu</w:t>
      </w:r>
      <w:r>
        <w:t>’</w:t>
      </w:r>
      <w:r w:rsidRPr="00985EF1">
        <w:t>il lui a apportée dans la résolution de ce problème administratif.</w:t>
      </w:r>
    </w:p>
    <w:p w:rsidR="00EA227C" w:rsidRPr="00985EF1" w:rsidRDefault="00EA227C" w:rsidP="00620449">
      <w:pPr>
        <w:pStyle w:val="SingleTxtG"/>
      </w:pPr>
      <w:r w:rsidRPr="00985EF1">
        <w:t>14.</w:t>
      </w:r>
      <w:r w:rsidRPr="00985EF1">
        <w:tab/>
      </w:r>
      <w:r w:rsidRPr="008C69FD">
        <w:rPr>
          <w:spacing w:val="-1"/>
        </w:rPr>
        <w:t>Il est désormais établi que lorsque l’autorité compétente n’a pas adopté</w:t>
      </w:r>
      <w:r w:rsidR="008C69FD">
        <w:rPr>
          <w:spacing w:val="-1"/>
        </w:rPr>
        <w:t xml:space="preserve"> la catégorie </w:t>
      </w:r>
      <w:r w:rsidRPr="008C69FD">
        <w:rPr>
          <w:spacing w:val="-1"/>
        </w:rPr>
        <w:t>3,</w:t>
      </w:r>
      <w:r w:rsidRPr="00985EF1">
        <w:t xml:space="preserve"> le résultat négatif d</w:t>
      </w:r>
      <w:r>
        <w:t>’</w:t>
      </w:r>
      <w:r w:rsidRPr="00985EF1">
        <w:t>un</w:t>
      </w:r>
      <w:r>
        <w:t xml:space="preserve"> essai</w:t>
      </w:r>
      <w:r w:rsidRPr="00985EF1">
        <w:t xml:space="preserve"> </w:t>
      </w:r>
      <w:r w:rsidRPr="00985EF1">
        <w:rPr>
          <w:i/>
        </w:rPr>
        <w:t>in vitro/ex vivo</w:t>
      </w:r>
      <w:r w:rsidRPr="00985EF1">
        <w:t xml:space="preserve"> </w:t>
      </w:r>
      <w:r>
        <w:t>visant à déterminer l’irritation cutanée reconnu</w:t>
      </w:r>
      <w:r w:rsidRPr="00985EF1">
        <w:t xml:space="preserve"> et validé au plan international peut être utilisé pour conclure à </w:t>
      </w:r>
      <w:r>
        <w:t>la non</w:t>
      </w:r>
      <w:r w:rsidR="008C69FD">
        <w:noBreakHyphen/>
      </w:r>
      <w:r>
        <w:t>classification pour l’</w:t>
      </w:r>
      <w:r w:rsidRPr="00985EF1">
        <w:t>irritation cutanée. De la même façon, il est maintenant indiqué explicitement que compte dûment tenu de la fiabilité et de l</w:t>
      </w:r>
      <w:r>
        <w:t>’</w:t>
      </w:r>
      <w:r w:rsidRPr="00985EF1">
        <w:t xml:space="preserve">applicabilité au cas par cas, un résultat négatif </w:t>
      </w:r>
      <w:r>
        <w:t xml:space="preserve">obtenu au moyen d’une méthode </w:t>
      </w:r>
      <w:r w:rsidRPr="00985EF1">
        <w:t xml:space="preserve">non fondée sur des </w:t>
      </w:r>
      <w:r>
        <w:t>essais</w:t>
      </w:r>
      <w:r w:rsidRPr="00985EF1">
        <w:t xml:space="preserve"> peut </w:t>
      </w:r>
      <w:r>
        <w:t>conclure au non-classement</w:t>
      </w:r>
      <w:r w:rsidRPr="00985EF1">
        <w:t xml:space="preserve">. </w:t>
      </w:r>
    </w:p>
    <w:p w:rsidR="00EA227C" w:rsidRPr="00985EF1" w:rsidRDefault="00EA227C" w:rsidP="00620449">
      <w:pPr>
        <w:pStyle w:val="SingleTxtG"/>
      </w:pPr>
      <w:r w:rsidRPr="00985EF1">
        <w:t>15.</w:t>
      </w:r>
      <w:r w:rsidRPr="00985EF1">
        <w:tab/>
        <w:t>Le groupe de travail informel a remarqué qu</w:t>
      </w:r>
      <w:r>
        <w:t>’</w:t>
      </w:r>
      <w:r w:rsidRPr="00985EF1">
        <w:t>à mesure que les travaux relatifs à d</w:t>
      </w:r>
      <w:r>
        <w:t>’</w:t>
      </w:r>
      <w:r w:rsidRPr="00985EF1">
        <w:t xml:space="preserve">autres classes de dangers pour la santé progressent, il est possible que le texte </w:t>
      </w:r>
      <w:r>
        <w:t xml:space="preserve">qu’il a élaboré </w:t>
      </w:r>
      <w:r w:rsidRPr="00985EF1">
        <w:t xml:space="preserve">ou un texte similaire sur la classification ayant recours à des méthodes non fondées sur des </w:t>
      </w:r>
      <w:r>
        <w:t>essais</w:t>
      </w:r>
      <w:r w:rsidRPr="00985EF1">
        <w:t xml:space="preserve"> puisse s</w:t>
      </w:r>
      <w:r>
        <w:t>’</w:t>
      </w:r>
      <w:r w:rsidRPr="00985EF1">
        <w:t>appliquer à toutes les classes de dangers pour la santé du SGH. Si</w:t>
      </w:r>
      <w:r w:rsidR="008C69FD">
        <w:t> </w:t>
      </w:r>
      <w:r w:rsidRPr="00985EF1">
        <w:t>cela est avéré, un tel texte aura davantage sa place dans la section 1.3. Cependant, le choix qui est fait pour le moment est celui d</w:t>
      </w:r>
      <w:r>
        <w:t>’</w:t>
      </w:r>
      <w:r w:rsidRPr="00985EF1">
        <w:t xml:space="preserve">une nouvelle sous-section sur les méthodes non fondées sur les </w:t>
      </w:r>
      <w:r>
        <w:t>essais</w:t>
      </w:r>
      <w:r w:rsidRPr="00985EF1">
        <w:t xml:space="preserve"> (3.2.2.6).</w:t>
      </w:r>
    </w:p>
    <w:p w:rsidR="00EA227C" w:rsidRPr="00985EF1" w:rsidRDefault="00EA227C" w:rsidP="00EE185C">
      <w:pPr>
        <w:pStyle w:val="H1G"/>
      </w:pPr>
      <w:r w:rsidRPr="00985EF1">
        <w:tab/>
      </w:r>
      <w:r w:rsidRPr="00985EF1">
        <w:tab/>
        <w:t>Présentation des critères de classification et de l</w:t>
      </w:r>
      <w:r>
        <w:t>’</w:t>
      </w:r>
      <w:r w:rsidRPr="00985EF1">
        <w:t xml:space="preserve">ordre des </w:t>
      </w:r>
      <w:r>
        <w:t>étapes</w:t>
      </w:r>
      <w:r w:rsidRPr="00985EF1">
        <w:t xml:space="preserve"> </w:t>
      </w:r>
    </w:p>
    <w:p w:rsidR="00EA227C" w:rsidRPr="00985EF1" w:rsidRDefault="00EA227C" w:rsidP="00620449">
      <w:pPr>
        <w:pStyle w:val="SingleTxtG"/>
      </w:pPr>
      <w:r w:rsidRPr="00985EF1">
        <w:t>16.</w:t>
      </w:r>
      <w:r w:rsidRPr="00985EF1">
        <w:tab/>
        <w:t>De la même façon que des sous-sections portant sur la manière de classer la corrosion cutanée et l</w:t>
      </w:r>
      <w:r>
        <w:t>’</w:t>
      </w:r>
      <w:r w:rsidRPr="00985EF1">
        <w:t xml:space="preserve">irritation cutanée </w:t>
      </w:r>
      <w:r>
        <w:t>basée</w:t>
      </w:r>
      <w:r w:rsidRPr="00985EF1">
        <w:t xml:space="preserve"> sur des données </w:t>
      </w:r>
      <w:r w:rsidRPr="00985EF1">
        <w:rPr>
          <w:i/>
        </w:rPr>
        <w:t xml:space="preserve">in vitro </w:t>
      </w:r>
      <w:r w:rsidRPr="00985EF1">
        <w:t>et</w:t>
      </w:r>
      <w:r w:rsidRPr="00985EF1">
        <w:rPr>
          <w:i/>
        </w:rPr>
        <w:t xml:space="preserve"> ex vivo</w:t>
      </w:r>
      <w:r w:rsidRPr="00985EF1">
        <w:t xml:space="preserve"> (3.2.2.3) et sur des méthodes non fondées sur des </w:t>
      </w:r>
      <w:r>
        <w:t>essais</w:t>
      </w:r>
      <w:r w:rsidRPr="00985EF1">
        <w:t xml:space="preserve"> (3.2.2.6) ont été ajoutées, la révision a été l</w:t>
      </w:r>
      <w:r>
        <w:t>’</w:t>
      </w:r>
      <w:r w:rsidRPr="00985EF1">
        <w:t xml:space="preserve">occasion de rassembler dans une sous-section (3.2.2.1) les dispositions existantes sur la classification des données humaines, en renvoyant aux commentaires et informations correspondants. </w:t>
      </w:r>
    </w:p>
    <w:p w:rsidR="00EA227C" w:rsidRPr="00985EF1" w:rsidRDefault="00EA227C" w:rsidP="00620449">
      <w:pPr>
        <w:pStyle w:val="SingleTxtG"/>
      </w:pPr>
      <w:r w:rsidRPr="00985EF1">
        <w:t>17.</w:t>
      </w:r>
      <w:r w:rsidRPr="00985EF1">
        <w:tab/>
        <w:t>Comme indiqué dans le paragraphe 8 ci-dessus, l</w:t>
      </w:r>
      <w:r>
        <w:t>’</w:t>
      </w:r>
      <w:r w:rsidRPr="00985EF1">
        <w:t>introduction de critères de classification plus détaillés utilisant des méthodes d</w:t>
      </w:r>
      <w:r>
        <w:t>’essai</w:t>
      </w:r>
      <w:r w:rsidRPr="00985EF1">
        <w:t xml:space="preserve"> </w:t>
      </w:r>
      <w:r w:rsidRPr="00985EF1">
        <w:rPr>
          <w:i/>
        </w:rPr>
        <w:t>in vitro/ex vivo</w:t>
      </w:r>
      <w:r w:rsidRPr="00985EF1">
        <w:t xml:space="preserve"> et des méthodes non fondées sur des </w:t>
      </w:r>
      <w:r>
        <w:t>essais</w:t>
      </w:r>
      <w:r w:rsidRPr="00985EF1">
        <w:t xml:space="preserve"> ont amené le groupe de travail</w:t>
      </w:r>
      <w:r>
        <w:t xml:space="preserve"> informel</w:t>
      </w:r>
      <w:r w:rsidRPr="00985EF1">
        <w:t xml:space="preserve"> à examiner l</w:t>
      </w:r>
      <w:r>
        <w:t>’</w:t>
      </w:r>
      <w:r w:rsidRPr="00985EF1">
        <w:t xml:space="preserve">ordre des </w:t>
      </w:r>
      <w:r>
        <w:t>étapes</w:t>
      </w:r>
      <w:r w:rsidRPr="00985EF1">
        <w:t xml:space="preserve">. Il résulte notamment de cet </w:t>
      </w:r>
      <w:r>
        <w:t>exercice</w:t>
      </w:r>
      <w:r w:rsidRPr="00985EF1">
        <w:t xml:space="preserve"> que dans la </w:t>
      </w:r>
      <w:r>
        <w:t>f</w:t>
      </w:r>
      <w:r w:rsidRPr="00985EF1">
        <w:t>igure 3.2.1, l</w:t>
      </w:r>
      <w:r>
        <w:t>’</w:t>
      </w:r>
      <w:r w:rsidRPr="00985EF1">
        <w:t xml:space="preserve">évaluation par </w:t>
      </w:r>
      <w:r>
        <w:t>étapes</w:t>
      </w:r>
      <w:r w:rsidRPr="00985EF1">
        <w:t xml:space="preserve"> s</w:t>
      </w:r>
      <w:r>
        <w:t>’</w:t>
      </w:r>
      <w:r w:rsidRPr="00985EF1">
        <w:t>effectue désormais en suivant l</w:t>
      </w:r>
      <w:r>
        <w:t>’</w:t>
      </w:r>
      <w:r w:rsidRPr="00985EF1">
        <w:t xml:space="preserve">ordre ci-après, et que le texte de la section 3.2.2, Critères de classification des substances, reprend cet ordre. En particulier, </w:t>
      </w:r>
      <w:r>
        <w:t>l</w:t>
      </w:r>
      <w:r w:rsidRPr="00985EF1">
        <w:t xml:space="preserve">es données, </w:t>
      </w:r>
      <w:r w:rsidRPr="00985EF1">
        <w:rPr>
          <w:i/>
        </w:rPr>
        <w:t>in</w:t>
      </w:r>
      <w:r w:rsidR="00EE185C">
        <w:rPr>
          <w:i/>
        </w:rPr>
        <w:t> </w:t>
      </w:r>
      <w:r w:rsidRPr="00985EF1">
        <w:rPr>
          <w:i/>
        </w:rPr>
        <w:t>vitro/ex</w:t>
      </w:r>
      <w:r w:rsidR="00EE185C">
        <w:rPr>
          <w:i/>
        </w:rPr>
        <w:t> </w:t>
      </w:r>
      <w:r w:rsidRPr="00985EF1">
        <w:rPr>
          <w:i/>
        </w:rPr>
        <w:t>vivo</w:t>
      </w:r>
      <w:r w:rsidRPr="00985EF1">
        <w:t xml:space="preserve"> sont désormais classées </w:t>
      </w:r>
      <w:r>
        <w:t>dans l’étape</w:t>
      </w:r>
      <w:r w:rsidRPr="00985EF1">
        <w:t xml:space="preserve"> 2, alors qu</w:t>
      </w:r>
      <w:r>
        <w:t>’</w:t>
      </w:r>
      <w:r w:rsidRPr="00985EF1">
        <w:t xml:space="preserve">elles se trouvaient dans </w:t>
      </w:r>
      <w:r>
        <w:t>l’étape</w:t>
      </w:r>
      <w:r w:rsidRPr="00985EF1">
        <w:t xml:space="preserve"> 3 dans la septième édition révisée du SGH.</w:t>
      </w:r>
    </w:p>
    <w:p w:rsidR="00EA227C" w:rsidRPr="00985EF1" w:rsidRDefault="00EA227C" w:rsidP="00FE6A33">
      <w:pPr>
        <w:pStyle w:val="SingleTxtG"/>
        <w:spacing w:after="100"/>
        <w:ind w:left="1985" w:hanging="851"/>
      </w:pPr>
      <w:r>
        <w:t>Étape</w:t>
      </w:r>
      <w:r w:rsidRPr="00985EF1">
        <w:t xml:space="preserve"> 1 </w:t>
      </w:r>
      <w:r w:rsidR="00F250D9">
        <w:t>−</w:t>
      </w:r>
      <w:r w:rsidRPr="00985EF1">
        <w:t xml:space="preserve"> </w:t>
      </w:r>
      <w:r>
        <w:t xml:space="preserve">Données existantes relatives à la corrosion ou à l’irritation cutanée obtenues sur l’homme ou données animales normalisées </w:t>
      </w:r>
    </w:p>
    <w:p w:rsidR="00EA227C" w:rsidRPr="00985EF1" w:rsidRDefault="00EA227C" w:rsidP="00FE6A33">
      <w:pPr>
        <w:pStyle w:val="SingleTxtG"/>
        <w:spacing w:after="100"/>
        <w:ind w:left="1985" w:hanging="851"/>
      </w:pPr>
      <w:r w:rsidRPr="00C7645C">
        <w:t>Étape</w:t>
      </w:r>
      <w:r w:rsidRPr="00985EF1">
        <w:t xml:space="preserve"> 2 </w:t>
      </w:r>
      <w:r w:rsidR="00F250D9">
        <w:t xml:space="preserve">− </w:t>
      </w:r>
      <w:r>
        <w:t>D</w:t>
      </w:r>
      <w:r w:rsidRPr="00985EF1">
        <w:t xml:space="preserve">onnées </w:t>
      </w:r>
      <w:r w:rsidRPr="00985EF1">
        <w:rPr>
          <w:i/>
        </w:rPr>
        <w:t>in vitro/ex</w:t>
      </w:r>
      <w:r>
        <w:rPr>
          <w:i/>
        </w:rPr>
        <w:t xml:space="preserve"> </w:t>
      </w:r>
      <w:r w:rsidRPr="00985EF1">
        <w:rPr>
          <w:i/>
        </w:rPr>
        <w:t>vivo</w:t>
      </w:r>
      <w:r w:rsidRPr="00985EF1">
        <w:t xml:space="preserve"> existantes </w:t>
      </w:r>
      <w:r>
        <w:t>en matière de</w:t>
      </w:r>
      <w:r w:rsidRPr="00985EF1">
        <w:t xml:space="preserve"> corrosion</w:t>
      </w:r>
      <w:r>
        <w:t xml:space="preserve"> ou d’</w:t>
      </w:r>
      <w:r w:rsidRPr="00985EF1">
        <w:t xml:space="preserve">irritation cutanée </w:t>
      </w:r>
    </w:p>
    <w:p w:rsidR="00EA227C" w:rsidRPr="00985EF1" w:rsidRDefault="00EA227C" w:rsidP="00FE6A33">
      <w:pPr>
        <w:pStyle w:val="SingleTxtG"/>
        <w:spacing w:after="100"/>
        <w:ind w:left="1985" w:hanging="851"/>
      </w:pPr>
      <w:r w:rsidRPr="00C7645C">
        <w:t>Étape</w:t>
      </w:r>
      <w:r w:rsidRPr="00985EF1">
        <w:t xml:space="preserve"> 3 </w:t>
      </w:r>
      <w:r w:rsidR="00F250D9">
        <w:t>−</w:t>
      </w:r>
      <w:r w:rsidRPr="00985EF1">
        <w:t xml:space="preserve"> </w:t>
      </w:r>
      <w:r>
        <w:t>D’</w:t>
      </w:r>
      <w:r w:rsidRPr="00985EF1">
        <w:t xml:space="preserve">autres données existantes sur des effets cutanés sur animaux </w:t>
      </w:r>
    </w:p>
    <w:p w:rsidR="00EA227C" w:rsidRPr="00985EF1" w:rsidRDefault="00EA227C" w:rsidP="00FE6A33">
      <w:pPr>
        <w:pStyle w:val="SingleTxtG"/>
        <w:spacing w:after="100"/>
        <w:ind w:left="1985" w:hanging="851"/>
      </w:pPr>
      <w:r w:rsidRPr="00C7645C">
        <w:t>Étape</w:t>
      </w:r>
      <w:r w:rsidRPr="00985EF1">
        <w:t xml:space="preserve"> 4 </w:t>
      </w:r>
      <w:r w:rsidR="00F250D9">
        <w:t>−</w:t>
      </w:r>
      <w:r w:rsidRPr="00985EF1">
        <w:t xml:space="preserve"> </w:t>
      </w:r>
      <w:r>
        <w:t>É</w:t>
      </w:r>
      <w:r w:rsidRPr="00985EF1">
        <w:t xml:space="preserve">valuation fondée sur le pH </w:t>
      </w:r>
    </w:p>
    <w:p w:rsidR="00EA227C" w:rsidRPr="00985EF1" w:rsidRDefault="00EA227C" w:rsidP="00FE6A33">
      <w:pPr>
        <w:pStyle w:val="SingleTxtG"/>
        <w:spacing w:after="100"/>
        <w:ind w:left="1985" w:hanging="851"/>
      </w:pPr>
      <w:r w:rsidRPr="00C7645C">
        <w:t>Étape</w:t>
      </w:r>
      <w:r w:rsidRPr="00985EF1">
        <w:t xml:space="preserve"> 5 </w:t>
      </w:r>
      <w:r w:rsidR="00F250D9">
        <w:t>−</w:t>
      </w:r>
      <w:r w:rsidRPr="00985EF1">
        <w:t xml:space="preserve"> </w:t>
      </w:r>
      <w:r>
        <w:t>M</w:t>
      </w:r>
      <w:r w:rsidRPr="00985EF1">
        <w:t>éthode</w:t>
      </w:r>
      <w:r>
        <w:t>s</w:t>
      </w:r>
      <w:r w:rsidRPr="00985EF1">
        <w:t xml:space="preserve"> non fondées sur les </w:t>
      </w:r>
      <w:r>
        <w:t>essai</w:t>
      </w:r>
      <w:r w:rsidRPr="00985EF1">
        <w:t>s</w:t>
      </w:r>
    </w:p>
    <w:p w:rsidR="00EA227C" w:rsidRPr="00985EF1" w:rsidRDefault="00EA227C" w:rsidP="00FE6A33">
      <w:pPr>
        <w:pStyle w:val="SingleTxtG"/>
        <w:spacing w:after="100"/>
        <w:ind w:left="1985" w:hanging="851"/>
      </w:pPr>
      <w:r w:rsidRPr="00C7645C">
        <w:t>Étape</w:t>
      </w:r>
      <w:r w:rsidRPr="00985EF1">
        <w:t xml:space="preserve"> 6 </w:t>
      </w:r>
      <w:r w:rsidR="00F250D9">
        <w:t>−</w:t>
      </w:r>
      <w:r w:rsidRPr="00985EF1">
        <w:t xml:space="preserve"> </w:t>
      </w:r>
      <w:r>
        <w:t>Prise en compte de l’ensemble des données convaincantes</w:t>
      </w:r>
      <w:r w:rsidRPr="00985EF1">
        <w:t xml:space="preserve"> </w:t>
      </w:r>
    </w:p>
    <w:p w:rsidR="00EA227C" w:rsidRPr="00985EF1" w:rsidRDefault="00EA227C" w:rsidP="00620449">
      <w:pPr>
        <w:pStyle w:val="SingleTxtG"/>
      </w:pPr>
      <w:r w:rsidRPr="00985EF1">
        <w:t>18.</w:t>
      </w:r>
      <w:r w:rsidRPr="00985EF1">
        <w:tab/>
        <w:t xml:space="preserve">Le groupe de travail informel a </w:t>
      </w:r>
      <w:r>
        <w:t>mis au point</w:t>
      </w:r>
      <w:r w:rsidRPr="00985EF1">
        <w:t xml:space="preserve"> une version modifiée de la </w:t>
      </w:r>
      <w:r>
        <w:t>f</w:t>
      </w:r>
      <w:r w:rsidRPr="00985EF1">
        <w:t>igure</w:t>
      </w:r>
      <w:r w:rsidR="00FE6A33">
        <w:t> </w:t>
      </w:r>
      <w:r w:rsidRPr="00985EF1">
        <w:t>3.2.1 qui illustre l</w:t>
      </w:r>
      <w:r>
        <w:t>’</w:t>
      </w:r>
      <w:r w:rsidRPr="00985EF1">
        <w:t>ordre révisé des étapes et d</w:t>
      </w:r>
      <w:r>
        <w:t>’</w:t>
      </w:r>
      <w:r w:rsidRPr="00985EF1">
        <w:t xml:space="preserve">autres changements détaillés. </w:t>
      </w:r>
      <w:r>
        <w:t>Il</w:t>
      </w:r>
      <w:r w:rsidRPr="00985EF1">
        <w:t xml:space="preserve"> a aussi expérimenté un nouveau diagramme afin d</w:t>
      </w:r>
      <w:r>
        <w:t>’</w:t>
      </w:r>
      <w:r w:rsidRPr="00985EF1">
        <w:t xml:space="preserve">illustrer plus clairement la démarche liée à </w:t>
      </w:r>
      <w:r>
        <w:t>la méthode</w:t>
      </w:r>
      <w:r w:rsidRPr="00985EF1">
        <w:t xml:space="preserve"> par étapes. Le nouveau diagramme est plus conceptuel et contient moins de détails que la </w:t>
      </w:r>
      <w:r>
        <w:t>f</w:t>
      </w:r>
      <w:r w:rsidRPr="00985EF1">
        <w:t xml:space="preserve">igure 3.2.1 de la septième édition révisée du SGH. Cependant, </w:t>
      </w:r>
      <w:r>
        <w:t>il</w:t>
      </w:r>
      <w:r w:rsidRPr="00985EF1">
        <w:t xml:space="preserve"> fait clairement ressortir le fait </w:t>
      </w:r>
      <w:r>
        <w:t>qu’il faut avoir recours à la méthode de prise en compte des données convaincantes lorsqu’il est possible de classer les données dans une étape</w:t>
      </w:r>
      <w:r w:rsidRPr="00985EF1">
        <w:t>, mais que d</w:t>
      </w:r>
      <w:r>
        <w:t>’</w:t>
      </w:r>
      <w:r w:rsidRPr="00985EF1">
        <w:t>autres données provenant d</w:t>
      </w:r>
      <w:r>
        <w:t>’</w:t>
      </w:r>
      <w:r w:rsidRPr="00985EF1">
        <w:t>un</w:t>
      </w:r>
      <w:r>
        <w:t>e étape inférieure</w:t>
      </w:r>
      <w:r w:rsidRPr="00985EF1">
        <w:t xml:space="preserve"> </w:t>
      </w:r>
      <w:r>
        <w:t xml:space="preserve">orientent vers un classement plus strict. </w:t>
      </w:r>
      <w:r w:rsidRPr="00985EF1">
        <w:t xml:space="preserve">Au cours des débats, le groupe de travail informel a estimé que le diagramme constituait une amélioration importante. </w:t>
      </w:r>
    </w:p>
    <w:p w:rsidR="00EA227C" w:rsidRPr="00985EF1" w:rsidRDefault="00EA227C" w:rsidP="00620449">
      <w:pPr>
        <w:pStyle w:val="SingleTxtG"/>
      </w:pPr>
      <w:r w:rsidRPr="00985EF1">
        <w:lastRenderedPageBreak/>
        <w:t>19.</w:t>
      </w:r>
      <w:r w:rsidRPr="00985EF1">
        <w:tab/>
      </w:r>
      <w:r w:rsidRPr="002D675E">
        <w:rPr>
          <w:spacing w:val="-1"/>
        </w:rPr>
        <w:t>Le nouveau diagramme a été inclus dans la proposition de texte révisé du c</w:t>
      </w:r>
      <w:r w:rsidR="002D675E">
        <w:rPr>
          <w:spacing w:val="-1"/>
        </w:rPr>
        <w:t>hapitre </w:t>
      </w:r>
      <w:r w:rsidRPr="002D675E">
        <w:rPr>
          <w:spacing w:val="-1"/>
        </w:rPr>
        <w:t>3.2</w:t>
      </w:r>
      <w:r w:rsidRPr="00985EF1">
        <w:t xml:space="preserve"> (voir </w:t>
      </w:r>
      <w:r>
        <w:t>l’a</w:t>
      </w:r>
      <w:r w:rsidRPr="00985EF1">
        <w:t xml:space="preserve">nnexe et </w:t>
      </w:r>
      <w:r>
        <w:t xml:space="preserve">le </w:t>
      </w:r>
      <w:r w:rsidRPr="00985EF1">
        <w:t xml:space="preserve">document informel INF.6). Le groupe de travail informel est satisfait de constater que tous les éléments importants de la </w:t>
      </w:r>
      <w:r>
        <w:t>f</w:t>
      </w:r>
      <w:r w:rsidRPr="00985EF1">
        <w:t xml:space="preserve">igure 3.2.1 ont été intégrés </w:t>
      </w:r>
      <w:r>
        <w:t>au</w:t>
      </w:r>
      <w:r w:rsidRPr="00985EF1">
        <w:t xml:space="preserve"> chapitre</w:t>
      </w:r>
      <w:r w:rsidR="002D675E">
        <w:t> </w:t>
      </w:r>
      <w:r w:rsidRPr="00985EF1">
        <w:t>3.2</w:t>
      </w:r>
      <w:r>
        <w:t xml:space="preserve"> </w:t>
      </w:r>
      <w:r w:rsidRPr="00C7645C">
        <w:t>révisé</w:t>
      </w:r>
      <w:r w:rsidRPr="00985EF1">
        <w:t>, soit dans le texte</w:t>
      </w:r>
      <w:r>
        <w:t>,</w:t>
      </w:r>
      <w:r w:rsidRPr="00985EF1">
        <w:t xml:space="preserve"> soit dans le nouveau diagramme et dans les notes qui s</w:t>
      </w:r>
      <w:r>
        <w:t>’</w:t>
      </w:r>
      <w:r w:rsidRPr="00985EF1">
        <w:t>y rattachent. Il est toutefois conscient du fait que, si le Sous-Comité approuve le chapitre</w:t>
      </w:r>
      <w:r w:rsidR="002D675E">
        <w:t> </w:t>
      </w:r>
      <w:r w:rsidRPr="00985EF1">
        <w:t>3.2 révisé, il s</w:t>
      </w:r>
      <w:r>
        <w:t>’</w:t>
      </w:r>
      <w:r w:rsidRPr="00985EF1">
        <w:t xml:space="preserve">ensuivra une période intérimaire au cours de laquelle la </w:t>
      </w:r>
      <w:r>
        <w:t>f</w:t>
      </w:r>
      <w:r w:rsidRPr="00985EF1">
        <w:t>igure</w:t>
      </w:r>
      <w:r w:rsidR="002D675E">
        <w:t> </w:t>
      </w:r>
      <w:r w:rsidRPr="00985EF1">
        <w:t>3.2.1 se</w:t>
      </w:r>
      <w:r w:rsidR="002D675E">
        <w:t> </w:t>
      </w:r>
      <w:r w:rsidRPr="00985EF1">
        <w:t xml:space="preserve">présentera différemment de la </w:t>
      </w:r>
      <w:r>
        <w:t>f</w:t>
      </w:r>
      <w:r w:rsidRPr="00985EF1">
        <w:t>igure 3.3.1 correspondante pour les lésions oculaire/l</w:t>
      </w:r>
      <w:r>
        <w:t>’</w:t>
      </w:r>
      <w:r w:rsidRPr="00985EF1">
        <w:t>irritation oculaire grave. Comme indiqué dans le paragraphe</w:t>
      </w:r>
      <w:r w:rsidR="002D675E">
        <w:t> </w:t>
      </w:r>
      <w:r w:rsidRPr="00985EF1">
        <w:t xml:space="preserve">23 ci-après, si le Sous-Comité prolonge le mandat du groupe de travail informel pour le prochain exercice biennal, la modification du </w:t>
      </w:r>
      <w:r w:rsidR="002D675E">
        <w:t>c</w:t>
      </w:r>
      <w:r w:rsidRPr="00985EF1">
        <w:t>hapitre</w:t>
      </w:r>
      <w:r w:rsidR="002D675E">
        <w:t> </w:t>
      </w:r>
      <w:r w:rsidRPr="00985EF1">
        <w:t>3.3 de manière à ce qu</w:t>
      </w:r>
      <w:r>
        <w:t>’</w:t>
      </w:r>
      <w:r w:rsidRPr="00985EF1">
        <w:t>il reflète mieux les méthodes d</w:t>
      </w:r>
      <w:r>
        <w:t>’</w:t>
      </w:r>
      <w:r w:rsidRPr="00985EF1">
        <w:t xml:space="preserve">expérimentation non animales </w:t>
      </w:r>
      <w:r>
        <w:t>f</w:t>
      </w:r>
      <w:r w:rsidRPr="00985EF1">
        <w:t xml:space="preserve">era </w:t>
      </w:r>
      <w:r>
        <w:t>partie de ses</w:t>
      </w:r>
      <w:r w:rsidRPr="00985EF1">
        <w:t xml:space="preserve"> principales priorités.</w:t>
      </w:r>
    </w:p>
    <w:p w:rsidR="00EA227C" w:rsidRPr="00985EF1" w:rsidRDefault="00EA227C" w:rsidP="00620449">
      <w:pPr>
        <w:pStyle w:val="SingleTxtG"/>
      </w:pPr>
      <w:r w:rsidRPr="00985EF1">
        <w:t>20.</w:t>
      </w:r>
      <w:r w:rsidRPr="00985EF1">
        <w:tab/>
        <w:t xml:space="preserve">Des modifications correspondantes ont été apportées </w:t>
      </w:r>
      <w:r>
        <w:t>au diagramme</w:t>
      </w:r>
      <w:r w:rsidRPr="00985EF1">
        <w:t xml:space="preserve"> de décision </w:t>
      </w:r>
      <w:r>
        <w:t>des</w:t>
      </w:r>
      <w:r w:rsidRPr="00985EF1">
        <w:t xml:space="preserve"> 3.2.1 et 3.2.2.</w:t>
      </w:r>
    </w:p>
    <w:p w:rsidR="00EA227C" w:rsidRPr="00985EF1" w:rsidRDefault="00EA227C" w:rsidP="00620449">
      <w:pPr>
        <w:pStyle w:val="SingleTxtG"/>
      </w:pPr>
      <w:r w:rsidRPr="00985EF1">
        <w:t>21.</w:t>
      </w:r>
      <w:r w:rsidRPr="00985EF1">
        <w:tab/>
        <w:t>En examinant l</w:t>
      </w:r>
      <w:r>
        <w:t>’</w:t>
      </w:r>
      <w:r w:rsidRPr="00985EF1">
        <w:t xml:space="preserve">application de </w:t>
      </w:r>
      <w:r>
        <w:t>la méthode</w:t>
      </w:r>
      <w:r w:rsidRPr="00985EF1">
        <w:t xml:space="preserve"> par étapes lors de l</w:t>
      </w:r>
      <w:r>
        <w:t>’</w:t>
      </w:r>
      <w:r w:rsidRPr="00985EF1">
        <w:t>application d</w:t>
      </w:r>
      <w:r>
        <w:t>es</w:t>
      </w:r>
      <w:r w:rsidRPr="00985EF1">
        <w:t xml:space="preserve"> critère</w:t>
      </w:r>
      <w:r>
        <w:t>s</w:t>
      </w:r>
      <w:r w:rsidRPr="00985EF1">
        <w:t xml:space="preserve"> de class</w:t>
      </w:r>
      <w:r>
        <w:t>ification</w:t>
      </w:r>
      <w:r w:rsidRPr="00985EF1">
        <w:t xml:space="preserve"> utilisant la mesure du pH (étape 4), le groupe de travail informel a observé dans certains cas un manque de cohérence dans la septième édition révisée du SGH entre le texte du 3.2.2.2.5 (et du 3.2.3.1.2 pour les mélanges), la </w:t>
      </w:r>
      <w:r>
        <w:t>f</w:t>
      </w:r>
      <w:r w:rsidRPr="00985EF1">
        <w:t xml:space="preserve">igure 3.2.1, et </w:t>
      </w:r>
      <w:r>
        <w:t>le diagramme</w:t>
      </w:r>
      <w:r w:rsidRPr="00985EF1">
        <w:t xml:space="preserve"> de décision</w:t>
      </w:r>
      <w:r w:rsidR="00266BF6">
        <w:t> </w:t>
      </w:r>
      <w:r w:rsidRPr="00985EF1">
        <w:t xml:space="preserve">3.2.1. </w:t>
      </w:r>
      <w:r>
        <w:t xml:space="preserve">L’existence de classifications différentes pourrait aboutir à une situation dans laquelle on trouve </w:t>
      </w:r>
      <w:r w:rsidRPr="00985EF1">
        <w:t>un pH extrême, une faible capacité tampon et aucune autre donnée pour confirmer que la substance ou le mélange n</w:t>
      </w:r>
      <w:r>
        <w:t>’</w:t>
      </w:r>
      <w:r w:rsidRPr="00985EF1">
        <w:t>est pas corrosif. Au cours de ses débats, le groupe de travail a estimé que</w:t>
      </w:r>
      <w:r>
        <w:t>,</w:t>
      </w:r>
      <w:r w:rsidRPr="00985EF1">
        <w:t xml:space="preserve"> dans de tels cas</w:t>
      </w:r>
      <w:r>
        <w:t>,</w:t>
      </w:r>
      <w:r w:rsidRPr="00985EF1">
        <w:t xml:space="preserve"> il faudrait indiquer que le classement est non concluant. Les modifications correspondantes ont été apportées à la proposition de r</w:t>
      </w:r>
      <w:r>
        <w:t>é</w:t>
      </w:r>
      <w:r w:rsidRPr="00985EF1">
        <w:t xml:space="preserve">vision du </w:t>
      </w:r>
      <w:r>
        <w:t>c</w:t>
      </w:r>
      <w:r w:rsidRPr="00985EF1">
        <w:t xml:space="preserve">hapitre 3.2 pour garantir la cohérence dans ces </w:t>
      </w:r>
      <w:r>
        <w:t>cas de figure</w:t>
      </w:r>
      <w:r w:rsidRPr="00985EF1">
        <w:t>.</w:t>
      </w:r>
    </w:p>
    <w:p w:rsidR="00EA227C" w:rsidRPr="00985EF1" w:rsidRDefault="00EA227C" w:rsidP="00266BF6">
      <w:pPr>
        <w:pStyle w:val="H1G"/>
      </w:pPr>
      <w:r w:rsidRPr="00985EF1">
        <w:tab/>
      </w:r>
      <w:r w:rsidRPr="00985EF1">
        <w:tab/>
        <w:t>Indépendance par rapport aux méthodes d</w:t>
      </w:r>
      <w:r>
        <w:t>’</w:t>
      </w:r>
      <w:r w:rsidRPr="00985EF1">
        <w:t>essai</w:t>
      </w:r>
      <w:r w:rsidR="00056EF1">
        <w:t>s</w:t>
      </w:r>
      <w:r w:rsidRPr="00985EF1">
        <w:t>/épreuve</w:t>
      </w:r>
      <w:r w:rsidR="00056EF1">
        <w:t>s</w:t>
      </w:r>
    </w:p>
    <w:p w:rsidR="00EA227C" w:rsidRPr="00985EF1" w:rsidRDefault="00EA227C" w:rsidP="00620449">
      <w:pPr>
        <w:pStyle w:val="SingleTxtG"/>
      </w:pPr>
      <w:r w:rsidRPr="00985EF1">
        <w:t>22.</w:t>
      </w:r>
      <w:r w:rsidRPr="00985EF1">
        <w:tab/>
        <w:t>Pour déterminer les dangers pour la santé et l</w:t>
      </w:r>
      <w:r>
        <w:t>’</w:t>
      </w:r>
      <w:r w:rsidRPr="00985EF1">
        <w:t>environnement, le paragraphe</w:t>
      </w:r>
      <w:r w:rsidR="00266BF6">
        <w:t> </w:t>
      </w:r>
      <w:r w:rsidRPr="00985EF1">
        <w:t>1.3.2.4.3 du SGH établit le principe selon lequel « </w:t>
      </w:r>
      <w:r>
        <w:t>l</w:t>
      </w:r>
      <w:r w:rsidRPr="00985EF1">
        <w:t>es essais/épreuves pour l</w:t>
      </w:r>
      <w:r>
        <w:t>’</w:t>
      </w:r>
      <w:r w:rsidRPr="00985EF1">
        <w:t>évaluation des propriétés dangereuses, qui sont réalisé(e)s conformément aux principes scientifiques reconnus internationalement, peuvent être utilisé(e)s pour déterminer les dangers […]. Les critères du SGH […] sont indépendants des méthodes d</w:t>
      </w:r>
      <w:r>
        <w:t>’</w:t>
      </w:r>
      <w:r w:rsidRPr="00985EF1">
        <w:t>essais/d</w:t>
      </w:r>
      <w:r>
        <w:t>’</w:t>
      </w:r>
      <w:r w:rsidRPr="00985EF1">
        <w:t>épreuves, ce qui permet d</w:t>
      </w:r>
      <w:r>
        <w:t>’</w:t>
      </w:r>
      <w:r w:rsidRPr="00985EF1">
        <w:t>utiliser différentes approches à la condition que ces dernières soient scientifiquement valables et qu</w:t>
      </w:r>
      <w:r>
        <w:t>’</w:t>
      </w:r>
      <w:r w:rsidRPr="00985EF1">
        <w:t>elles aient été validées selon des procédures internationales et des critères déjà établis dans les systèmes existants pour les dangers visés et produisent des données acceptables pour toutes les parties ». Cependant, des exemples précis de ces méthodes sont souvent donnés pour aider les utilisateurs du SGH. Au cours de la révision du chapitre 3.2, le groupe de travail informel a fait tout son possible pour maintenir ce principe tout en continuant à donner des informations pratiques aux utilisateurs du SGH.</w:t>
      </w:r>
    </w:p>
    <w:p w:rsidR="00EA227C" w:rsidRPr="00985EF1" w:rsidRDefault="00EA227C" w:rsidP="00266BF6">
      <w:pPr>
        <w:pStyle w:val="H1G"/>
      </w:pPr>
      <w:r w:rsidRPr="00985EF1">
        <w:tab/>
      </w:r>
      <w:r w:rsidRPr="00985EF1">
        <w:tab/>
        <w:t>Mesures à prendre et étapes suivantes</w:t>
      </w:r>
    </w:p>
    <w:p w:rsidR="00EA227C" w:rsidRPr="00985EF1" w:rsidRDefault="00EA227C" w:rsidP="00620449">
      <w:pPr>
        <w:pStyle w:val="SingleTxtG"/>
      </w:pPr>
      <w:r w:rsidRPr="00985EF1">
        <w:t>23.</w:t>
      </w:r>
      <w:r w:rsidRPr="00985EF1">
        <w:tab/>
        <w:t xml:space="preserve">Le Sous-Comité est invité à adopter le </w:t>
      </w:r>
      <w:r>
        <w:t>c</w:t>
      </w:r>
      <w:r w:rsidRPr="00985EF1">
        <w:t>hapitre 3.2 révisé tel qu</w:t>
      </w:r>
      <w:r>
        <w:t>’</w:t>
      </w:r>
      <w:r w:rsidRPr="00985EF1">
        <w:t>il est présenté dans l</w:t>
      </w:r>
      <w:r>
        <w:t>’a</w:t>
      </w:r>
      <w:r w:rsidRPr="00985EF1">
        <w:t>nnexe au présent document et dans le document informel INF.6.</w:t>
      </w:r>
    </w:p>
    <w:p w:rsidR="00EA227C" w:rsidRPr="00985EF1" w:rsidRDefault="00EA227C" w:rsidP="00620449">
      <w:pPr>
        <w:pStyle w:val="SingleTxtG"/>
      </w:pPr>
      <w:r w:rsidRPr="00985EF1">
        <w:t>24.</w:t>
      </w:r>
      <w:r w:rsidRPr="00985EF1">
        <w:tab/>
        <w:t xml:space="preserve">Pour </w:t>
      </w:r>
      <w:r>
        <w:t>la suite</w:t>
      </w:r>
      <w:r w:rsidRPr="00985EF1">
        <w:t xml:space="preserve">, le groupe de travail informel </w:t>
      </w:r>
      <w:r>
        <w:t>rappelle que</w:t>
      </w:r>
      <w:r w:rsidRPr="00985EF1">
        <w:t xml:space="preserve"> son objectif à long terme est de s</w:t>
      </w:r>
      <w:r>
        <w:t>’</w:t>
      </w:r>
      <w:r w:rsidRPr="00985EF1">
        <w:t>assurer que des méthodes d</w:t>
      </w:r>
      <w:r>
        <w:t>’</w:t>
      </w:r>
      <w:r w:rsidRPr="00985EF1">
        <w:t>expérimentation non animales soient systématiquement intégrées dans le SGH de manière à rendre compte de leur importance croissante et de leur intérêt scientifique, tout en reconnaissant leurs limites. Avec l</w:t>
      </w:r>
      <w:r>
        <w:t>’</w:t>
      </w:r>
      <w:r w:rsidRPr="00985EF1">
        <w:t>accord du Sous-Comité, les activités prévues pour le prochain exercice biennal comprennent la mise à jour des chapitres sur les classes de dangers portant sur les irritation</w:t>
      </w:r>
      <w:r>
        <w:t>s</w:t>
      </w:r>
      <w:r w:rsidRPr="00985EF1">
        <w:t xml:space="preserve"> oculaire</w:t>
      </w:r>
      <w:r>
        <w:t>s</w:t>
      </w:r>
      <w:r w:rsidRPr="00985EF1">
        <w:t>/lésions oculaires graves et la sensibilisation cutanée</w:t>
      </w:r>
      <w:r>
        <w:t>,</w:t>
      </w:r>
      <w:r w:rsidRPr="00985EF1">
        <w:t xml:space="preserve"> </w:t>
      </w:r>
      <w:r>
        <w:t>en application de son mandat</w:t>
      </w:r>
      <w:r w:rsidRPr="00985EF1">
        <w:t>.</w:t>
      </w:r>
    </w:p>
    <w:p w:rsidR="00EA227C" w:rsidRPr="00985EF1" w:rsidRDefault="00EA227C" w:rsidP="00266BF6">
      <w:pPr>
        <w:pStyle w:val="HChG"/>
      </w:pPr>
      <w:r w:rsidRPr="00985EF1">
        <w:br w:type="page"/>
      </w:r>
      <w:r w:rsidRPr="00985EF1">
        <w:lastRenderedPageBreak/>
        <w:t xml:space="preserve">Annexe </w:t>
      </w:r>
    </w:p>
    <w:p w:rsidR="00EA227C" w:rsidRPr="00985EF1" w:rsidRDefault="00EA227C" w:rsidP="00266BF6">
      <w:pPr>
        <w:pStyle w:val="HChG"/>
      </w:pPr>
      <w:r w:rsidRPr="00985EF1">
        <w:tab/>
      </w:r>
      <w:r w:rsidRPr="00985EF1">
        <w:tab/>
        <w:t>Modifications qu</w:t>
      </w:r>
      <w:r>
        <w:t>’</w:t>
      </w:r>
      <w:r w:rsidRPr="00985EF1">
        <w:t>il est proposé d</w:t>
      </w:r>
      <w:r>
        <w:t>’</w:t>
      </w:r>
      <w:r w:rsidRPr="00985EF1">
        <w:t xml:space="preserve">apporter au </w:t>
      </w:r>
      <w:r>
        <w:t>c</w:t>
      </w:r>
      <w:r w:rsidRPr="00985EF1">
        <w:t>hapitre 3.2</w:t>
      </w:r>
    </w:p>
    <w:p w:rsidR="00EA227C" w:rsidRPr="00985EF1" w:rsidRDefault="00EA227C" w:rsidP="00266BF6">
      <w:pPr>
        <w:pStyle w:val="SingleTxtG"/>
      </w:pPr>
      <w:r w:rsidRPr="00985EF1">
        <w:t xml:space="preserve">Modifier le chapitre 3.2 comme </w:t>
      </w:r>
      <w:r w:rsidR="00266BF6">
        <w:t>suit</w:t>
      </w:r>
      <w:r w:rsidR="00525BCC">
        <w:t> :</w:t>
      </w:r>
    </w:p>
    <w:p w:rsidR="00EA227C" w:rsidRDefault="00EA227C" w:rsidP="00266BF6">
      <w:pPr>
        <w:pStyle w:val="SingleTxtG"/>
        <w:ind w:left="2268" w:hanging="1134"/>
      </w:pPr>
      <w:r w:rsidRPr="00985EF1">
        <w:t>3.2.1</w:t>
      </w:r>
      <w:r w:rsidRPr="00985EF1">
        <w:tab/>
        <w:t xml:space="preserve">Remplacer le 3.2.1.2 par le </w:t>
      </w:r>
      <w:r>
        <w:t>texte</w:t>
      </w:r>
      <w:r w:rsidRPr="00985EF1">
        <w:t xml:space="preserve"> suivant</w:t>
      </w:r>
      <w:r w:rsidR="00525BCC">
        <w:t> :</w:t>
      </w:r>
    </w:p>
    <w:p w:rsidR="00EA227C" w:rsidRPr="00985EF1" w:rsidRDefault="00AD2707" w:rsidP="00AD2707">
      <w:pPr>
        <w:pStyle w:val="SingleTxtG"/>
        <w:ind w:left="2268" w:hanging="1134"/>
      </w:pPr>
      <w:r>
        <w:t>« </w:t>
      </w:r>
      <w:r w:rsidR="00EA227C" w:rsidRPr="00985EF1">
        <w:t>3.2.1.2</w:t>
      </w:r>
      <w:r w:rsidR="00EA227C" w:rsidRPr="00985EF1">
        <w:tab/>
        <w:t xml:space="preserve">À des fins de classement, toutes les informations disponibles </w:t>
      </w:r>
      <w:r w:rsidR="00EA227C">
        <w:t xml:space="preserve">et </w:t>
      </w:r>
      <w:r w:rsidR="00EA227C" w:rsidRPr="00985EF1">
        <w:t>utiles sur la corrosion</w:t>
      </w:r>
      <w:r w:rsidR="00EA227C">
        <w:t xml:space="preserve"> et l’</w:t>
      </w:r>
      <w:r w:rsidR="00EA227C" w:rsidRPr="00985EF1">
        <w:t xml:space="preserve">irritation cutanée sont collectées et leur qualité </w:t>
      </w:r>
      <w:r w:rsidR="00EA227C" w:rsidRPr="00AB1E82">
        <w:t xml:space="preserve">est évaluée </w:t>
      </w:r>
      <w:r w:rsidR="00EA227C" w:rsidRPr="00985EF1">
        <w:t>en termes de pertinence et de fiabilité. Lorsque cela est possible, le classement devrait être fondé sur des données produites à l</w:t>
      </w:r>
      <w:r w:rsidR="00EA227C">
        <w:t>’</w:t>
      </w:r>
      <w:r w:rsidR="00EA227C" w:rsidRPr="00985EF1">
        <w:t xml:space="preserve">aide de méthodes </w:t>
      </w:r>
      <w:r w:rsidR="00EA227C">
        <w:t>reconnues</w:t>
      </w:r>
      <w:r w:rsidR="00EA227C" w:rsidRPr="00985EF1">
        <w:t xml:space="preserve"> et validées sur le plan international, comme les </w:t>
      </w:r>
      <w:r w:rsidR="00EA227C">
        <w:t>L</w:t>
      </w:r>
      <w:r w:rsidR="00EA227C" w:rsidRPr="00985EF1">
        <w:t>ignes directrices de l</w:t>
      </w:r>
      <w:r w:rsidR="00EA227C">
        <w:t>’</w:t>
      </w:r>
      <w:r w:rsidR="00EA227C" w:rsidRPr="00985EF1">
        <w:t xml:space="preserve">OCDE </w:t>
      </w:r>
      <w:r w:rsidR="00EA227C">
        <w:t xml:space="preserve">pour les essais de produits chimiques </w:t>
      </w:r>
      <w:r w:rsidR="00EA227C" w:rsidRPr="00985EF1">
        <w:t>ou de</w:t>
      </w:r>
      <w:r w:rsidR="00EA227C">
        <w:t>s</w:t>
      </w:r>
      <w:r w:rsidR="00EA227C" w:rsidRPr="00985EF1">
        <w:t xml:space="preserve"> méthodes équivalentes. On trouvera dans les sections 3.2.2.1 à 3.2.2.6 des critères de class</w:t>
      </w:r>
      <w:r w:rsidR="00EA227C">
        <w:t>ification</w:t>
      </w:r>
      <w:r w:rsidR="00EA227C" w:rsidRPr="00985EF1">
        <w:t xml:space="preserve"> pour les différents types d</w:t>
      </w:r>
      <w:r w:rsidR="00EA227C">
        <w:t>’</w:t>
      </w:r>
      <w:r w:rsidR="00EA227C" w:rsidRPr="00985EF1">
        <w:t>information</w:t>
      </w:r>
      <w:r w:rsidR="00EA227C">
        <w:t>s</w:t>
      </w:r>
      <w:r w:rsidR="00EA227C" w:rsidRPr="00985EF1">
        <w:t xml:space="preserve"> pouvant être disponibles.</w:t>
      </w:r>
      <w:r>
        <w:t> »</w:t>
      </w:r>
      <w:r w:rsidR="00EA227C">
        <w:t>.</w:t>
      </w:r>
    </w:p>
    <w:p w:rsidR="00EA227C" w:rsidRPr="00985EF1" w:rsidRDefault="00EA227C" w:rsidP="00AD2707">
      <w:pPr>
        <w:pStyle w:val="SingleTxtG"/>
        <w:keepNext/>
      </w:pPr>
      <w:r w:rsidRPr="00985EF1">
        <w:t>Ajouter deux nouveaux paragraphes comme suit</w:t>
      </w:r>
      <w:r w:rsidR="00525BCC">
        <w:t> :</w:t>
      </w:r>
    </w:p>
    <w:p w:rsidR="00EA227C" w:rsidRPr="00985EF1" w:rsidRDefault="00AD2707" w:rsidP="00AD2707">
      <w:pPr>
        <w:pStyle w:val="SingleTxtG"/>
        <w:ind w:left="2268" w:hanging="1134"/>
      </w:pPr>
      <w:r>
        <w:t>« </w:t>
      </w:r>
      <w:r w:rsidR="00EA227C" w:rsidRPr="00985EF1">
        <w:t>3.2.1.3</w:t>
      </w:r>
      <w:r w:rsidR="00EA227C" w:rsidRPr="00985EF1">
        <w:tab/>
        <w:t xml:space="preserve">Une approche par étapes (voir 3.2.2.7) organise les informations disponibles en niveaux/étapes </w:t>
      </w:r>
      <w:r w:rsidR="00EA227C">
        <w:t>permettant une</w:t>
      </w:r>
      <w:r w:rsidR="00EA227C" w:rsidRPr="00985EF1">
        <w:t xml:space="preserve"> prise de décision</w:t>
      </w:r>
      <w:r w:rsidR="00EA227C">
        <w:t>s</w:t>
      </w:r>
      <w:r w:rsidR="00EA227C" w:rsidRPr="00985EF1">
        <w:t xml:space="preserve"> d</w:t>
      </w:r>
      <w:r w:rsidR="00EA227C">
        <w:t>’</w:t>
      </w:r>
      <w:r w:rsidR="00EA227C" w:rsidRPr="00985EF1">
        <w:t xml:space="preserve">une manière structurée et </w:t>
      </w:r>
      <w:r w:rsidR="00EA227C">
        <w:t>progressive</w:t>
      </w:r>
      <w:r w:rsidR="00EA227C" w:rsidRPr="00985EF1">
        <w:t xml:space="preserve">. Le classement </w:t>
      </w:r>
      <w:r w:rsidR="00EA227C">
        <w:t>est effectué</w:t>
      </w:r>
      <w:r w:rsidR="00EA227C" w:rsidRPr="00985EF1">
        <w:t xml:space="preserve"> </w:t>
      </w:r>
      <w:r w:rsidR="00EA227C">
        <w:t>automatiquement</w:t>
      </w:r>
      <w:r w:rsidR="00EA227C" w:rsidRPr="00985EF1">
        <w:t xml:space="preserve"> </w:t>
      </w:r>
      <w:r w:rsidR="00EA227C">
        <w:t>quand</w:t>
      </w:r>
      <w:r w:rsidR="00EA227C" w:rsidRPr="00985EF1">
        <w:t xml:space="preserve"> les informations répondent systématiquement aux critères. Cependant, lorsque les informations disponibles donnent des résultats incohérents ou contradictoires </w:t>
      </w:r>
      <w:r w:rsidR="00EA227C">
        <w:t>à</w:t>
      </w:r>
      <w:r w:rsidR="00EA227C" w:rsidRPr="00985EF1">
        <w:t xml:space="preserve"> un</w:t>
      </w:r>
      <w:r w:rsidR="00EA227C">
        <w:t>e</w:t>
      </w:r>
      <w:r w:rsidR="00EA227C" w:rsidRPr="00985EF1">
        <w:t xml:space="preserve"> même </w:t>
      </w:r>
      <w:r w:rsidR="00EA227C">
        <w:t>étape</w:t>
      </w:r>
      <w:r w:rsidR="00EA227C" w:rsidRPr="00985EF1">
        <w:t>, le classement d</w:t>
      </w:r>
      <w:r w:rsidR="00EA227C">
        <w:t>’</w:t>
      </w:r>
      <w:r w:rsidR="00EA227C" w:rsidRPr="00985EF1">
        <w:t>une substance ou d</w:t>
      </w:r>
      <w:r w:rsidR="00EA227C">
        <w:t>’</w:t>
      </w:r>
      <w:r w:rsidR="00EA227C" w:rsidRPr="00985EF1">
        <w:t>un mélange s</w:t>
      </w:r>
      <w:r w:rsidR="00EA227C">
        <w:t>’</w:t>
      </w:r>
      <w:r w:rsidR="00EA227C" w:rsidRPr="00985EF1">
        <w:t xml:space="preserve">effectue sur la base de la force probante des données à </w:t>
      </w:r>
      <w:r w:rsidR="00EA227C">
        <w:t>cette étape</w:t>
      </w:r>
      <w:r w:rsidR="00EA227C" w:rsidRPr="00985EF1">
        <w:t xml:space="preserve">. Dans certains cas, lorsque les informations </w:t>
      </w:r>
      <w:r w:rsidR="00EA227C">
        <w:t>provenant</w:t>
      </w:r>
      <w:r w:rsidR="00EA227C" w:rsidRPr="00985EF1">
        <w:t xml:space="preserve"> de différent</w:t>
      </w:r>
      <w:r w:rsidR="00EA227C">
        <w:t>e</w:t>
      </w:r>
      <w:r w:rsidR="00EA227C" w:rsidRPr="00985EF1">
        <w:t xml:space="preserve">s </w:t>
      </w:r>
      <w:r w:rsidR="00EA227C">
        <w:t>étapes</w:t>
      </w:r>
      <w:r w:rsidR="00EA227C" w:rsidRPr="00985EF1">
        <w:t xml:space="preserve"> donnent des résultats incohérents ou contradictoires (voir 3.2.2.7.3)</w:t>
      </w:r>
      <w:r w:rsidR="00EA227C">
        <w:t>,</w:t>
      </w:r>
      <w:r w:rsidR="00EA227C" w:rsidRPr="00985EF1">
        <w:t xml:space="preserve"> ou lorsque, prises séparément, les données ne sont pas suffisantes pour déterminer le classement, </w:t>
      </w:r>
      <w:r w:rsidR="00EA227C">
        <w:t xml:space="preserve">on a recours à </w:t>
      </w:r>
      <w:r w:rsidR="00EA227C" w:rsidRPr="00985EF1">
        <w:t xml:space="preserve">une évaluation globale de la force probante des données (voir 1.3.2.4.9 </w:t>
      </w:r>
      <w:r w:rsidR="00EA227C">
        <w:t>et</w:t>
      </w:r>
      <w:r w:rsidR="00EA227C" w:rsidRPr="00985EF1">
        <w:t xml:space="preserve"> 3.2.5.3.1).</w:t>
      </w:r>
    </w:p>
    <w:p w:rsidR="00EA227C" w:rsidRPr="00985EF1" w:rsidRDefault="00EA227C" w:rsidP="00AD2707">
      <w:pPr>
        <w:pStyle w:val="SingleTxtG"/>
        <w:ind w:left="2268" w:hanging="1134"/>
      </w:pPr>
      <w:r w:rsidRPr="00985EF1">
        <w:t>3.2.1.4</w:t>
      </w:r>
      <w:r w:rsidRPr="00985EF1">
        <w:tab/>
      </w:r>
      <w:r w:rsidRPr="00985EF1">
        <w:tab/>
        <w:t xml:space="preserve">On trouve dans le 3.2.5.3. des </w:t>
      </w:r>
      <w:r>
        <w:t xml:space="preserve">indications </w:t>
      </w:r>
      <w:r w:rsidRPr="00985EF1">
        <w:t>relatives à l</w:t>
      </w:r>
      <w:r>
        <w:t>’</w:t>
      </w:r>
      <w:r w:rsidRPr="00985EF1">
        <w:t xml:space="preserve">interprétation des critères et des renvois </w:t>
      </w:r>
      <w:r>
        <w:t>aux documents d’orientation</w:t>
      </w:r>
      <w:r w:rsidRPr="00985EF1">
        <w:t xml:space="preserve"> pertinents.</w:t>
      </w:r>
      <w:r w:rsidR="00AD2707">
        <w:t> »</w:t>
      </w:r>
      <w:r>
        <w:t>.</w:t>
      </w:r>
    </w:p>
    <w:p w:rsidR="00EA227C" w:rsidRPr="00985EF1" w:rsidRDefault="00E36C5A" w:rsidP="00367C1C">
      <w:pPr>
        <w:pStyle w:val="SingleTxtG"/>
        <w:keepNext/>
      </w:pPr>
      <w:r w:rsidRPr="00985EF1">
        <w:t>3.2.2</w:t>
      </w:r>
      <w:r>
        <w:tab/>
      </w:r>
      <w:r w:rsidR="00EA227C" w:rsidRPr="00985EF1">
        <w:t>Modifier le 3.2.2</w:t>
      </w:r>
      <w:r w:rsidR="00EA227C" w:rsidRPr="009743CC">
        <w:t xml:space="preserve"> </w:t>
      </w:r>
      <w:r w:rsidR="00EA227C" w:rsidRPr="00985EF1">
        <w:t>comme suit</w:t>
      </w:r>
      <w:r w:rsidR="00525BCC">
        <w:t> :</w:t>
      </w:r>
    </w:p>
    <w:p w:rsidR="00EA227C" w:rsidRPr="00985EF1" w:rsidRDefault="00FA5A41" w:rsidP="00E36C5A">
      <w:pPr>
        <w:pStyle w:val="SingleTxtG"/>
        <w:ind w:left="2268"/>
      </w:pPr>
      <w:r>
        <w:t>« </w:t>
      </w:r>
      <w:r w:rsidR="00EA227C" w:rsidRPr="00985EF1">
        <w:t>Les substances peuvent être affectées à l</w:t>
      </w:r>
      <w:r w:rsidR="00EA227C">
        <w:t>’</w:t>
      </w:r>
      <w:r w:rsidR="00EA227C" w:rsidRPr="00985EF1">
        <w:t>une des trois catégories suivantes de cette classe de da</w:t>
      </w:r>
      <w:r>
        <w:t>nger</w:t>
      </w:r>
      <w:r w:rsidR="00525BCC">
        <w:t> :</w:t>
      </w:r>
    </w:p>
    <w:p w:rsidR="00EA227C" w:rsidRPr="00985EF1" w:rsidRDefault="00EA227C" w:rsidP="007E67E1">
      <w:pPr>
        <w:pStyle w:val="SingleTxtG"/>
        <w:ind w:left="2835" w:hanging="567"/>
      </w:pPr>
      <w:r w:rsidRPr="00985EF1">
        <w:t>a)</w:t>
      </w:r>
      <w:r w:rsidRPr="00985EF1">
        <w:tab/>
        <w:t>Catégorie 1 (corrosion cutanée)</w:t>
      </w:r>
      <w:r w:rsidR="00525BCC">
        <w:t> :</w:t>
      </w:r>
    </w:p>
    <w:p w:rsidR="00EA227C" w:rsidRPr="00985EF1" w:rsidRDefault="00EA227C" w:rsidP="007E67E1">
      <w:pPr>
        <w:pStyle w:val="SingleTxtG"/>
        <w:ind w:left="2268"/>
      </w:pPr>
      <w:r w:rsidRPr="00985EF1">
        <w:t>Cette catégorie peut être subdivisée en trois sous-catégories (1A, 1B et 1C) auxquelles peuvent avoir recours les autorités qui ont besoin de plus d</w:t>
      </w:r>
      <w:r>
        <w:t>’</w:t>
      </w:r>
      <w:r w:rsidRPr="00985EF1">
        <w:t>une classe d</w:t>
      </w:r>
      <w:r>
        <w:t>’</w:t>
      </w:r>
      <w:r w:rsidRPr="00985EF1">
        <w:t xml:space="preserve">effets corrosifs. </w:t>
      </w:r>
    </w:p>
    <w:p w:rsidR="00EA227C" w:rsidRPr="00985EF1" w:rsidRDefault="00EA227C" w:rsidP="007E67E1">
      <w:pPr>
        <w:pStyle w:val="SingleTxtG"/>
        <w:ind w:left="2268"/>
      </w:pPr>
      <w:r w:rsidRPr="00985EF1">
        <w:t xml:space="preserve">Les substances corrosives doivent être classées dans la </w:t>
      </w:r>
      <w:r w:rsidR="00056EF1">
        <w:t>c</w:t>
      </w:r>
      <w:r w:rsidRPr="00985EF1">
        <w:t>atégorie 1 quand la classification dans une sous-catégorie n</w:t>
      </w:r>
      <w:r>
        <w:t>’</w:t>
      </w:r>
      <w:r w:rsidRPr="00985EF1">
        <w:t>est pas exigée par une autorité compétente ou quand les données permettant la classification dans une sous</w:t>
      </w:r>
      <w:r w:rsidR="00056EF1">
        <w:noBreakHyphen/>
      </w:r>
      <w:r w:rsidRPr="00985EF1">
        <w:t>catégorie sont insuffisantes.</w:t>
      </w:r>
    </w:p>
    <w:p w:rsidR="00EA227C" w:rsidRPr="00985EF1" w:rsidRDefault="00EA227C" w:rsidP="007E67E1">
      <w:pPr>
        <w:pStyle w:val="SingleTxtG"/>
        <w:ind w:left="2268"/>
      </w:pPr>
      <w:r w:rsidRPr="00985EF1">
        <w:t>S</w:t>
      </w:r>
      <w:r>
        <w:t>’</w:t>
      </w:r>
      <w:r w:rsidRPr="00985EF1">
        <w:t>il existe des données suffisantes et si la classification dans une sous</w:t>
      </w:r>
      <w:r w:rsidR="00056EF1">
        <w:noBreakHyphen/>
      </w:r>
      <w:r w:rsidRPr="00985EF1">
        <w:t>catégorie est exigée par une autorité compétente, les substances peuvent être classées dans l</w:t>
      </w:r>
      <w:r>
        <w:t>’</w:t>
      </w:r>
      <w:r w:rsidRPr="00985EF1">
        <w:t>une des trois sous-catégories 1A, 1B ou 1C</w:t>
      </w:r>
      <w:r w:rsidR="00525BCC">
        <w:t> ;</w:t>
      </w:r>
    </w:p>
    <w:p w:rsidR="00EA227C" w:rsidRPr="00985EF1" w:rsidRDefault="00EA227C" w:rsidP="007E67E1">
      <w:pPr>
        <w:pStyle w:val="SingleTxtG"/>
        <w:ind w:left="2835" w:hanging="567"/>
      </w:pPr>
      <w:r w:rsidRPr="00985EF1">
        <w:t>b)</w:t>
      </w:r>
      <w:r w:rsidRPr="00985EF1">
        <w:tab/>
        <w:t>Catégorie 2 (irritation cutanée)</w:t>
      </w:r>
      <w:r w:rsidR="00525BCC">
        <w:t> ;</w:t>
      </w:r>
    </w:p>
    <w:p w:rsidR="00EA227C" w:rsidRPr="00985EF1" w:rsidRDefault="00EA227C" w:rsidP="007E67E1">
      <w:pPr>
        <w:pStyle w:val="SingleTxtG"/>
        <w:ind w:left="2835" w:hanging="567"/>
      </w:pPr>
      <w:r w:rsidRPr="00985EF1">
        <w:t>c)</w:t>
      </w:r>
      <w:r w:rsidRPr="00985EF1">
        <w:tab/>
        <w:t>Catégorie 3 (légère irritation cutanée</w:t>
      </w:r>
      <w:r w:rsidR="00BA6F98">
        <w:t>)</w:t>
      </w:r>
      <w:r w:rsidR="00525BCC">
        <w:t> :</w:t>
      </w:r>
    </w:p>
    <w:p w:rsidR="00EA227C" w:rsidRPr="00985EF1" w:rsidRDefault="00EA227C" w:rsidP="007E67E1">
      <w:pPr>
        <w:pStyle w:val="SingleTxtG"/>
        <w:ind w:left="2268"/>
      </w:pPr>
      <w:r w:rsidRPr="00985EF1">
        <w:t>Cette catégorie est à la disposition des autorités qui souhaitent utiliser plus d</w:t>
      </w:r>
      <w:r>
        <w:t>’</w:t>
      </w:r>
      <w:r w:rsidRPr="00985EF1">
        <w:t>une catégorie d</w:t>
      </w:r>
      <w:r>
        <w:t>’</w:t>
      </w:r>
      <w:r w:rsidRPr="00985EF1">
        <w:t>irritation cutanée (par exemple pour classer les pesticides).</w:t>
      </w:r>
      <w:r w:rsidR="007E67E1">
        <w:t> »</w:t>
      </w:r>
      <w:r>
        <w:t>.</w:t>
      </w:r>
    </w:p>
    <w:p w:rsidR="00EA227C" w:rsidRPr="00985EF1" w:rsidRDefault="00EA227C" w:rsidP="0054170E">
      <w:pPr>
        <w:pStyle w:val="SingleTxtG"/>
        <w:keepNext/>
        <w:tabs>
          <w:tab w:val="left" w:pos="1843"/>
        </w:tabs>
        <w:spacing w:after="100"/>
      </w:pPr>
      <w:r w:rsidRPr="00985EF1">
        <w:lastRenderedPageBreak/>
        <w:t>3.2.2.1</w:t>
      </w:r>
      <w:r w:rsidRPr="00985EF1">
        <w:tab/>
        <w:t>Modifier comme suit le titre du 3.2.2.1</w:t>
      </w:r>
      <w:r w:rsidR="00525BCC">
        <w:t> :</w:t>
      </w:r>
      <w:r w:rsidRPr="00985EF1">
        <w:t xml:space="preserve"> </w:t>
      </w:r>
      <w:r w:rsidR="00BA6F98">
        <w:t>« </w:t>
      </w:r>
      <w:r w:rsidRPr="00985EF1">
        <w:t xml:space="preserve">Classification </w:t>
      </w:r>
      <w:r>
        <w:t>fond</w:t>
      </w:r>
      <w:r w:rsidRPr="00985EF1">
        <w:t xml:space="preserve">ée sur </w:t>
      </w:r>
      <w:r>
        <w:t>d</w:t>
      </w:r>
      <w:r w:rsidRPr="00985EF1">
        <w:t xml:space="preserve">es données </w:t>
      </w:r>
      <w:r>
        <w:t>obtenues sur l’homme</w:t>
      </w:r>
      <w:r w:rsidR="00BA6F98">
        <w:t> »</w:t>
      </w:r>
      <w:r w:rsidR="008B2747">
        <w:t>.</w:t>
      </w:r>
    </w:p>
    <w:p w:rsidR="00EA227C" w:rsidRPr="00985EF1" w:rsidRDefault="00EA227C" w:rsidP="0052799A">
      <w:pPr>
        <w:pStyle w:val="SingleTxtG"/>
        <w:keepNext/>
        <w:spacing w:after="100"/>
      </w:pPr>
      <w:r w:rsidRPr="00985EF1">
        <w:t xml:space="preserve">Modifier comme suit le </w:t>
      </w:r>
      <w:r>
        <w:t xml:space="preserve">texte du </w:t>
      </w:r>
      <w:r w:rsidRPr="00985EF1">
        <w:t xml:space="preserve">3.2.2.1 et les paragraphes qui le </w:t>
      </w:r>
      <w:r w:rsidR="00F26BFB">
        <w:t>composent</w:t>
      </w:r>
      <w:r w:rsidR="00525BCC">
        <w:t> :</w:t>
      </w:r>
    </w:p>
    <w:p w:rsidR="00EA227C" w:rsidRPr="00985EF1" w:rsidRDefault="00F26BFB" w:rsidP="0052799A">
      <w:pPr>
        <w:pStyle w:val="SingleTxtG"/>
        <w:spacing w:after="100"/>
        <w:ind w:left="2268"/>
      </w:pPr>
      <w:r>
        <w:t>« </w:t>
      </w:r>
      <w:r w:rsidR="00EA227C" w:rsidRPr="00985EF1">
        <w:t xml:space="preserve">Les données </w:t>
      </w:r>
      <w:r w:rsidR="00EA227C" w:rsidRPr="00214508">
        <w:t xml:space="preserve">fiables et de bonne qualité </w:t>
      </w:r>
      <w:r w:rsidR="00EA227C" w:rsidRPr="00AE4752">
        <w:t>existantes relatives à la corrosion/</w:t>
      </w:r>
      <w:r w:rsidR="00EA227C">
        <w:t>l’</w:t>
      </w:r>
      <w:r w:rsidR="00EA227C" w:rsidRPr="00AE4752">
        <w:t xml:space="preserve">irritation cutanée </w:t>
      </w:r>
      <w:r w:rsidR="00EA227C" w:rsidRPr="00214508">
        <w:t>obtenues sur l</w:t>
      </w:r>
      <w:r w:rsidR="00EA227C">
        <w:t>’</w:t>
      </w:r>
      <w:r w:rsidR="00EA227C" w:rsidRPr="00214508">
        <w:t xml:space="preserve">homme </w:t>
      </w:r>
      <w:r w:rsidR="00EA227C" w:rsidRPr="00985EF1">
        <w:t>devraient être dûment exploitées lorsqu</w:t>
      </w:r>
      <w:r w:rsidR="00EA227C">
        <w:t>’</w:t>
      </w:r>
      <w:r w:rsidR="00EA227C" w:rsidRPr="00985EF1">
        <w:t xml:space="preserve">elles présentent un intérêt pour </w:t>
      </w:r>
      <w:r w:rsidR="00EA227C">
        <w:t>le classement</w:t>
      </w:r>
      <w:r w:rsidR="00EA227C" w:rsidRPr="00985EF1">
        <w:t xml:space="preserve"> (voir</w:t>
      </w:r>
      <w:r>
        <w:t> </w:t>
      </w:r>
      <w:r w:rsidR="00EA227C" w:rsidRPr="00985EF1">
        <w:t xml:space="preserve">3.2.5.3.2). Les </w:t>
      </w:r>
      <w:r w:rsidR="00EA227C">
        <w:t xml:space="preserve">données tirées de </w:t>
      </w:r>
      <w:r w:rsidR="00EA227C" w:rsidRPr="00985EF1">
        <w:t>l</w:t>
      </w:r>
      <w:r w:rsidR="00EA227C">
        <w:t>’</w:t>
      </w:r>
      <w:r w:rsidR="00EA227C" w:rsidRPr="00985EF1">
        <w:t xml:space="preserve">exposition humaine devraient être évaluées en premier lieu, dans la mesure où elles donnent des informations en relation directe avec les effets sur la peau. Les données </w:t>
      </w:r>
      <w:r w:rsidR="00EA227C" w:rsidRPr="00214508">
        <w:t xml:space="preserve">existantes </w:t>
      </w:r>
      <w:r w:rsidR="00EA227C">
        <w:t>obtenues sur l’homme</w:t>
      </w:r>
      <w:r w:rsidR="00EA227C" w:rsidRPr="00985EF1">
        <w:t xml:space="preserve"> peuvent résulter d</w:t>
      </w:r>
      <w:r w:rsidR="00EA227C">
        <w:t xml:space="preserve">’une </w:t>
      </w:r>
      <w:r w:rsidR="00EA227C" w:rsidRPr="00985EF1">
        <w:t xml:space="preserve">exposition unique ou </w:t>
      </w:r>
      <w:r w:rsidR="00EA227C">
        <w:t xml:space="preserve">d’expositions </w:t>
      </w:r>
      <w:r w:rsidR="00EA227C" w:rsidRPr="00985EF1">
        <w:t>répétées</w:t>
      </w:r>
      <w:r w:rsidR="00EA227C">
        <w:t xml:space="preserve"> dans divers cas de figure</w:t>
      </w:r>
      <w:r w:rsidR="00EA227C" w:rsidRPr="00985EF1">
        <w:t xml:space="preserve"> relevant, par exemple, </w:t>
      </w:r>
      <w:r w:rsidR="00EA227C">
        <w:t xml:space="preserve">de la vie professionnelle, </w:t>
      </w:r>
      <w:r w:rsidR="00EA227C" w:rsidRPr="00985EF1">
        <w:t>de la consommation, des transports ou des interventions d</w:t>
      </w:r>
      <w:r w:rsidR="00EA227C">
        <w:t>’</w:t>
      </w:r>
      <w:r w:rsidR="00EA227C" w:rsidRPr="00985EF1">
        <w:t>urgence</w:t>
      </w:r>
      <w:r w:rsidR="00EA227C">
        <w:t>,</w:t>
      </w:r>
      <w:r w:rsidR="00EA227C" w:rsidRPr="00985EF1">
        <w:t xml:space="preserve"> et être rapportées dans des études cliniques et épidémiologiques et</w:t>
      </w:r>
      <w:r w:rsidR="008565D3">
        <w:t> </w:t>
      </w:r>
      <w:r w:rsidR="00EA227C" w:rsidRPr="00985EF1">
        <w:t>dans des études de cas et des observations bien étayées (</w:t>
      </w:r>
      <w:r w:rsidR="008565D3">
        <w:t>voir le paragraphe </w:t>
      </w:r>
      <w:r w:rsidR="00EA227C" w:rsidRPr="00985EF1">
        <w:t>1.1.2.5 c) du chapitre 1.1 et les paragraphes 1.3.2.4.7 et 1.3.2.4.9 du chapitre</w:t>
      </w:r>
      <w:r w:rsidR="008565D3">
        <w:t> </w:t>
      </w:r>
      <w:r w:rsidR="00EA227C" w:rsidRPr="00985EF1">
        <w:t xml:space="preserve">1.3). Bien que les données </w:t>
      </w:r>
      <w:r w:rsidR="00EA227C">
        <w:t>obtenues sur l’homme</w:t>
      </w:r>
      <w:r w:rsidR="00EA227C" w:rsidRPr="00985EF1">
        <w:t xml:space="preserve"> provenant de base</w:t>
      </w:r>
      <w:r w:rsidR="00EA227C">
        <w:t>s</w:t>
      </w:r>
      <w:r w:rsidR="00EA227C" w:rsidRPr="00985EF1">
        <w:t xml:space="preserve"> de données </w:t>
      </w:r>
      <w:r w:rsidR="00EA227C">
        <w:t xml:space="preserve">sur les accidents ou de centres </w:t>
      </w:r>
      <w:r w:rsidR="00EA227C" w:rsidRPr="00985EF1">
        <w:t xml:space="preserve">antipoison puissent servir </w:t>
      </w:r>
      <w:r w:rsidR="00EA227C">
        <w:t xml:space="preserve">aux fins de </w:t>
      </w:r>
      <w:r w:rsidR="00EA227C" w:rsidRPr="00985EF1">
        <w:t>la classification, l</w:t>
      </w:r>
      <w:r w:rsidR="00EA227C">
        <w:t>’</w:t>
      </w:r>
      <w:r w:rsidR="00EA227C" w:rsidRPr="00985EF1">
        <w:t>absence d</w:t>
      </w:r>
      <w:r w:rsidR="00EA227C">
        <w:t>’</w:t>
      </w:r>
      <w:r w:rsidR="00EA227C" w:rsidRPr="00985EF1">
        <w:t>incidents ne suffit pas à elle seule à justifier l</w:t>
      </w:r>
      <w:r w:rsidR="00EA227C">
        <w:t>’</w:t>
      </w:r>
      <w:r w:rsidR="00EA227C" w:rsidRPr="00985EF1">
        <w:t>absence de classification, étant donné que les expositions sont généralement inconnues ou incertaines</w:t>
      </w:r>
      <w:r w:rsidR="00EA227C">
        <w:t>.</w:t>
      </w:r>
      <w:r>
        <w:t> »</w:t>
      </w:r>
      <w:r w:rsidR="00EA227C" w:rsidRPr="00985EF1">
        <w:t>.</w:t>
      </w:r>
    </w:p>
    <w:p w:rsidR="00EA227C" w:rsidRPr="00985EF1" w:rsidRDefault="00EA227C" w:rsidP="00D179F1">
      <w:pPr>
        <w:pStyle w:val="SingleTxtG"/>
        <w:tabs>
          <w:tab w:val="left" w:pos="1843"/>
        </w:tabs>
        <w:spacing w:after="100"/>
      </w:pPr>
      <w:r w:rsidRPr="00985EF1">
        <w:t>3.2.2.1</w:t>
      </w:r>
      <w:r w:rsidRPr="00985EF1">
        <w:tab/>
        <w:t xml:space="preserve">Le titre </w:t>
      </w:r>
      <w:r w:rsidR="0054170E">
        <w:t>« </w:t>
      </w:r>
      <w:r w:rsidRPr="00985EF1">
        <w:t>Classification basée sur les résultats d</w:t>
      </w:r>
      <w:r>
        <w:t>’</w:t>
      </w:r>
      <w:r w:rsidRPr="00985EF1">
        <w:t>essais normalisés sur les animaux</w:t>
      </w:r>
      <w:r w:rsidR="0054170E">
        <w:t> »</w:t>
      </w:r>
      <w:r w:rsidRPr="00985EF1">
        <w:t xml:space="preserve"> devient </w:t>
      </w:r>
      <w:r>
        <w:t>le titre</w:t>
      </w:r>
      <w:r w:rsidRPr="00985EF1">
        <w:t xml:space="preserve"> du 3.2.2.2.</w:t>
      </w:r>
    </w:p>
    <w:p w:rsidR="00EA227C" w:rsidRPr="00985EF1" w:rsidRDefault="00EA227C" w:rsidP="0052799A">
      <w:pPr>
        <w:pStyle w:val="SingleTxtG"/>
        <w:keepNext/>
        <w:spacing w:after="100"/>
      </w:pPr>
      <w:r w:rsidRPr="00985EF1">
        <w:t xml:space="preserve">Ajouter </w:t>
      </w:r>
      <w:r>
        <w:t>un nouveau</w:t>
      </w:r>
      <w:r w:rsidRPr="00985EF1">
        <w:t xml:space="preserve"> texte </w:t>
      </w:r>
      <w:r>
        <w:t>au</w:t>
      </w:r>
      <w:r w:rsidRPr="00985EF1">
        <w:t xml:space="preserve"> 3.2.2.2, sous le titre </w:t>
      </w:r>
      <w:r w:rsidR="00CB65BF">
        <w:t>« </w:t>
      </w:r>
      <w:r w:rsidRPr="00985EF1">
        <w:t>Classification basée sur les résultats d</w:t>
      </w:r>
      <w:r>
        <w:t>’</w:t>
      </w:r>
      <w:r w:rsidRPr="00985EF1">
        <w:t>es</w:t>
      </w:r>
      <w:r w:rsidR="00CB65BF">
        <w:t>sais normalisés sur les animaux »</w:t>
      </w:r>
      <w:r w:rsidR="00525BCC">
        <w:t> :</w:t>
      </w:r>
    </w:p>
    <w:p w:rsidR="00EA227C" w:rsidRPr="00985EF1" w:rsidRDefault="00CB65BF" w:rsidP="0052799A">
      <w:pPr>
        <w:pStyle w:val="SingleTxtG"/>
        <w:spacing w:after="100"/>
        <w:ind w:left="2268"/>
      </w:pPr>
      <w:r>
        <w:t>« </w:t>
      </w:r>
      <w:r w:rsidR="00EA227C" w:rsidRPr="00985EF1">
        <w:t xml:space="preserve">La </w:t>
      </w:r>
      <w:r w:rsidR="00EA227C">
        <w:t>L</w:t>
      </w:r>
      <w:r w:rsidR="00EA227C" w:rsidRPr="00985EF1">
        <w:t xml:space="preserve">igne directrice </w:t>
      </w:r>
      <w:r w:rsidR="00DE2736">
        <w:rPr>
          <w:rFonts w:eastAsia="MS Mincho"/>
        </w:rPr>
        <w:t>n</w:t>
      </w:r>
      <w:r w:rsidR="00DE2736">
        <w:rPr>
          <w:rFonts w:eastAsia="MS Mincho"/>
          <w:vertAlign w:val="superscript"/>
        </w:rPr>
        <w:t>o</w:t>
      </w:r>
      <w:r w:rsidR="00DE2736">
        <w:t> </w:t>
      </w:r>
      <w:r w:rsidR="00EA227C" w:rsidRPr="00985EF1">
        <w:t xml:space="preserve">404 </w:t>
      </w:r>
      <w:r w:rsidR="00EA227C">
        <w:t>de l’</w:t>
      </w:r>
      <w:r w:rsidR="00EA227C" w:rsidRPr="00AE4752">
        <w:t xml:space="preserve">OCDE </w:t>
      </w:r>
      <w:r w:rsidR="00EA227C" w:rsidRPr="00985EF1">
        <w:t>est la méthode d</w:t>
      </w:r>
      <w:r w:rsidR="00EA227C">
        <w:t>’</w:t>
      </w:r>
      <w:r w:rsidR="00EA227C" w:rsidRPr="00985EF1">
        <w:t>essai sur les animaux validée et acceptée au plan international aux fins de la classification comme substance corrosive ou irritante pour la peau (voir tableaux</w:t>
      </w:r>
      <w:r>
        <w:t> </w:t>
      </w:r>
      <w:r w:rsidR="00EA227C" w:rsidRPr="00985EF1">
        <w:t>3.2.1 et</w:t>
      </w:r>
      <w:r>
        <w:t> </w:t>
      </w:r>
      <w:r w:rsidR="00EA227C" w:rsidRPr="00985EF1">
        <w:t xml:space="preserve">3.2.2, respectivement) </w:t>
      </w:r>
      <w:r w:rsidR="004B1D0B">
        <w:t xml:space="preserve">disponible actuellement </w:t>
      </w:r>
      <w:r w:rsidR="00EA227C">
        <w:t xml:space="preserve">et </w:t>
      </w:r>
      <w:r w:rsidR="00EA227C" w:rsidRPr="00985EF1">
        <w:t>constitu</w:t>
      </w:r>
      <w:r w:rsidR="00EA227C">
        <w:t>ant</w:t>
      </w:r>
      <w:r w:rsidR="00EA227C" w:rsidRPr="00985EF1">
        <w:t xml:space="preserve"> l</w:t>
      </w:r>
      <w:r w:rsidR="00EA227C">
        <w:t>’</w:t>
      </w:r>
      <w:r w:rsidR="00EA227C" w:rsidRPr="00985EF1">
        <w:t xml:space="preserve">essai normalisé sur les animaux. </w:t>
      </w:r>
      <w:r w:rsidR="00EA227C">
        <w:t>Dans sa</w:t>
      </w:r>
      <w:r w:rsidR="00EA227C" w:rsidRPr="00985EF1">
        <w:t xml:space="preserve"> version actuelle</w:t>
      </w:r>
      <w:r w:rsidR="00EA227C">
        <w:t>, la L</w:t>
      </w:r>
      <w:r w:rsidR="00EA227C" w:rsidRPr="00985EF1">
        <w:t xml:space="preserve">igne directrice </w:t>
      </w:r>
      <w:r>
        <w:rPr>
          <w:rFonts w:eastAsia="MS Mincho"/>
        </w:rPr>
        <w:t>n</w:t>
      </w:r>
      <w:r>
        <w:rPr>
          <w:rFonts w:eastAsia="MS Mincho"/>
          <w:vertAlign w:val="superscript"/>
        </w:rPr>
        <w:t>o</w:t>
      </w:r>
      <w:r>
        <w:t> </w:t>
      </w:r>
      <w:r w:rsidR="00EA227C" w:rsidRPr="00985EF1">
        <w:t xml:space="preserve">404 </w:t>
      </w:r>
      <w:r w:rsidR="00EA227C">
        <w:t>de l’</w:t>
      </w:r>
      <w:r w:rsidR="00EA227C" w:rsidRPr="00AE4752">
        <w:t xml:space="preserve">OCDE </w:t>
      </w:r>
      <w:r w:rsidR="00EA227C" w:rsidRPr="00985EF1">
        <w:t xml:space="preserve">utilise au maximum trois animaux. Les résultats des études menées sur les animaux en application des précédentes versions de la </w:t>
      </w:r>
      <w:r w:rsidR="00EA227C">
        <w:t>L</w:t>
      </w:r>
      <w:r w:rsidR="00EA227C" w:rsidRPr="00985EF1">
        <w:t xml:space="preserve">igne directrice </w:t>
      </w:r>
      <w:r>
        <w:rPr>
          <w:rFonts w:eastAsia="MS Mincho"/>
        </w:rPr>
        <w:t>n</w:t>
      </w:r>
      <w:r>
        <w:rPr>
          <w:rFonts w:eastAsia="MS Mincho"/>
          <w:vertAlign w:val="superscript"/>
        </w:rPr>
        <w:t>o</w:t>
      </w:r>
      <w:r>
        <w:t> </w:t>
      </w:r>
      <w:r w:rsidR="00EA227C" w:rsidRPr="00985EF1">
        <w:t>404</w:t>
      </w:r>
      <w:r w:rsidR="00EA227C">
        <w:t xml:space="preserve"> de l’</w:t>
      </w:r>
      <w:r w:rsidR="00EA227C" w:rsidRPr="00AE4752">
        <w:t>OCDE</w:t>
      </w:r>
      <w:r w:rsidR="00EA227C" w:rsidRPr="00985EF1">
        <w:t xml:space="preserve">, </w:t>
      </w:r>
      <w:r w:rsidR="00EA227C">
        <w:t xml:space="preserve">pour lesquelles on </w:t>
      </w:r>
      <w:r w:rsidR="00EA227C" w:rsidRPr="00985EF1">
        <w:t>utilisait plus de trois animaux, sont également considérés comme des essais normalisés sur les animaux lorsqu</w:t>
      </w:r>
      <w:r w:rsidR="00EA227C">
        <w:t>’</w:t>
      </w:r>
      <w:r w:rsidR="00EA227C" w:rsidRPr="00985EF1">
        <w:t>ils sont interprétés conformément au 3.2.5.3.3.</w:t>
      </w:r>
      <w:r w:rsidR="0057624E">
        <w:t> ».</w:t>
      </w:r>
    </w:p>
    <w:p w:rsidR="00EA227C" w:rsidRPr="00985EF1" w:rsidRDefault="00EA227C" w:rsidP="0052799A">
      <w:pPr>
        <w:pStyle w:val="SingleTxtG"/>
        <w:spacing w:after="100"/>
      </w:pPr>
      <w:r w:rsidRPr="00985EF1">
        <w:t xml:space="preserve">Le titre </w:t>
      </w:r>
      <w:r w:rsidR="0057624E">
        <w:t>« </w:t>
      </w:r>
      <w:r w:rsidRPr="00985EF1">
        <w:t>Corrosion cutanée</w:t>
      </w:r>
      <w:r w:rsidR="0057624E">
        <w:t> »</w:t>
      </w:r>
      <w:r>
        <w:t>,</w:t>
      </w:r>
      <w:r w:rsidRPr="00985EF1">
        <w:t xml:space="preserve"> qui apparaissait sous le 3.2.2.1.1</w:t>
      </w:r>
      <w:r>
        <w:t>,</w:t>
      </w:r>
      <w:r w:rsidRPr="00985EF1">
        <w:t xml:space="preserve"> figure désormais </w:t>
      </w:r>
      <w:r>
        <w:t>sous le</w:t>
      </w:r>
      <w:r w:rsidR="0057624E">
        <w:t> </w:t>
      </w:r>
      <w:r w:rsidRPr="00985EF1">
        <w:t>3.2.2.2.1.</w:t>
      </w:r>
    </w:p>
    <w:p w:rsidR="00EA227C" w:rsidRPr="00985EF1" w:rsidRDefault="00EA227C" w:rsidP="0052799A">
      <w:pPr>
        <w:pStyle w:val="SingleTxtG"/>
        <w:spacing w:after="100"/>
      </w:pPr>
      <w:r w:rsidRPr="00985EF1">
        <w:t>Le 3.2.2.1.1.2 devient le 3.2.2.2.1.1 et le 3.2.2.1.1.4</w:t>
      </w:r>
      <w:r>
        <w:t>,</w:t>
      </w:r>
      <w:r w:rsidRPr="00985EF1">
        <w:t xml:space="preserve"> le 3.2.2.2.1.2. Supprimer les 3.2.2.1.1.2 et 3.2.2.1.1.3. </w:t>
      </w:r>
    </w:p>
    <w:p w:rsidR="00EA227C" w:rsidRPr="00985EF1" w:rsidRDefault="00EA227C" w:rsidP="0052799A">
      <w:pPr>
        <w:pStyle w:val="SingleTxtG"/>
        <w:spacing w:after="100"/>
      </w:pPr>
      <w:r w:rsidRPr="00985EF1">
        <w:t xml:space="preserve">Supprimer la note </w:t>
      </w:r>
      <w:r>
        <w:t>a</w:t>
      </w:r>
      <w:r w:rsidRPr="00985EF1">
        <w:t xml:space="preserve"> du tableau 3.2.1.</w:t>
      </w:r>
    </w:p>
    <w:p w:rsidR="00EA227C" w:rsidRPr="00985EF1" w:rsidRDefault="00EA227C" w:rsidP="0052799A">
      <w:pPr>
        <w:pStyle w:val="SingleTxtG"/>
        <w:spacing w:after="100"/>
      </w:pPr>
      <w:r w:rsidRPr="00985EF1">
        <w:t xml:space="preserve">La section 3.2.2.1.2 et les </w:t>
      </w:r>
      <w:r>
        <w:t xml:space="preserve">paragraphes </w:t>
      </w:r>
      <w:r w:rsidRPr="00985EF1">
        <w:t>3.2.2.1.2.1 à 3.2.2.1.2.5 deviennent la section 3.2.2.2.2 et les</w:t>
      </w:r>
      <w:r>
        <w:t xml:space="preserve"> paragraphes</w:t>
      </w:r>
      <w:r w:rsidR="004B1D0B">
        <w:t xml:space="preserve"> 3.2.2.2.2.1 à 3.2.2.</w:t>
      </w:r>
      <w:r>
        <w:t>2.</w:t>
      </w:r>
      <w:r w:rsidRPr="00985EF1">
        <w:t xml:space="preserve">5 respectivement. </w:t>
      </w:r>
    </w:p>
    <w:p w:rsidR="00EA227C" w:rsidRPr="00985EF1" w:rsidRDefault="00EA227C" w:rsidP="0052799A">
      <w:pPr>
        <w:pStyle w:val="SingleTxtG"/>
        <w:spacing w:after="100"/>
      </w:pPr>
      <w:r w:rsidRPr="00985EF1">
        <w:t>Supprimer la note c (L</w:t>
      </w:r>
      <w:r>
        <w:t>’</w:t>
      </w:r>
      <w:r w:rsidRPr="00985EF1">
        <w:t>évaluation d</w:t>
      </w:r>
      <w:r>
        <w:t>’</w:t>
      </w:r>
      <w:r w:rsidRPr="00985EF1">
        <w:t xml:space="preserve">une étude portant sur </w:t>
      </w:r>
      <w:r>
        <w:t>quatre</w:t>
      </w:r>
      <w:r w:rsidRPr="00985EF1">
        <w:t xml:space="preserve">, </w:t>
      </w:r>
      <w:r>
        <w:t>cinq</w:t>
      </w:r>
      <w:r w:rsidRPr="00985EF1">
        <w:t xml:space="preserve"> ou </w:t>
      </w:r>
      <w:r>
        <w:t>six</w:t>
      </w:r>
      <w:r w:rsidRPr="00985EF1">
        <w:t xml:space="preserve"> animaux doit </w:t>
      </w:r>
      <w:r>
        <w:t xml:space="preserve">se faire selon </w:t>
      </w:r>
      <w:r w:rsidRPr="00985EF1">
        <w:t>les critères du 3.2.5.3) du tableau 3.2.2.</w:t>
      </w:r>
    </w:p>
    <w:p w:rsidR="00EA227C" w:rsidRPr="00985EF1" w:rsidRDefault="00EA227C" w:rsidP="00D179F1">
      <w:pPr>
        <w:pStyle w:val="SingleTxtG"/>
        <w:tabs>
          <w:tab w:val="left" w:pos="1843"/>
        </w:tabs>
        <w:spacing w:after="100"/>
      </w:pPr>
      <w:r w:rsidRPr="00985EF1">
        <w:t>3.2.2.3</w:t>
      </w:r>
      <w:r w:rsidRPr="00985EF1">
        <w:tab/>
        <w:t>Ajouter le nouveau sous-titre suivant</w:t>
      </w:r>
      <w:r w:rsidR="00525BCC">
        <w:t> :</w:t>
      </w:r>
      <w:r w:rsidRPr="00985EF1">
        <w:t xml:space="preserve"> </w:t>
      </w:r>
      <w:r w:rsidR="0057624E">
        <w:t>« </w:t>
      </w:r>
      <w:r w:rsidRPr="00985EF1">
        <w:t xml:space="preserve">3.2.2.3 Classification basée sur des données </w:t>
      </w:r>
      <w:r w:rsidRPr="00985EF1">
        <w:rPr>
          <w:i/>
        </w:rPr>
        <w:t>in vitro/ex vivo</w:t>
      </w:r>
      <w:r w:rsidR="0057624E">
        <w:t> »</w:t>
      </w:r>
      <w:r>
        <w:t>.</w:t>
      </w:r>
    </w:p>
    <w:p w:rsidR="00EA227C" w:rsidRPr="00985EF1" w:rsidRDefault="0052799A" w:rsidP="0052799A">
      <w:pPr>
        <w:pStyle w:val="SingleTxtG"/>
        <w:keepNext/>
        <w:spacing w:after="100"/>
      </w:pPr>
      <w:r>
        <w:t>3.2.2.3.1-3.2.2.3.4.3</w:t>
      </w:r>
      <w:r>
        <w:tab/>
      </w:r>
      <w:r w:rsidR="00EA227C" w:rsidRPr="00985EF1">
        <w:t>Ajouter les nouveaux paragraphes suivants</w:t>
      </w:r>
      <w:r w:rsidR="00525BCC">
        <w:t> :</w:t>
      </w:r>
    </w:p>
    <w:p w:rsidR="00EA227C" w:rsidRPr="00985EF1" w:rsidRDefault="0052799A" w:rsidP="0052799A">
      <w:pPr>
        <w:pStyle w:val="SingleTxtG"/>
        <w:spacing w:after="100"/>
        <w:ind w:left="2268" w:hanging="1134"/>
      </w:pPr>
      <w:r>
        <w:t>« </w:t>
      </w:r>
      <w:r w:rsidR="00EA227C" w:rsidRPr="00985EF1">
        <w:t xml:space="preserve">3.2.2.3.1 </w:t>
      </w:r>
      <w:r w:rsidR="00EA227C" w:rsidRPr="00985EF1">
        <w:tab/>
        <w:t>Les méthodes d</w:t>
      </w:r>
      <w:r w:rsidR="00EA227C">
        <w:t>’</w:t>
      </w:r>
      <w:r w:rsidR="00EA227C" w:rsidRPr="00985EF1">
        <w:t xml:space="preserve">essai </w:t>
      </w:r>
      <w:r w:rsidR="00EA227C">
        <w:t>individuelles</w:t>
      </w:r>
      <w:r w:rsidR="00EA227C" w:rsidRPr="00985EF1">
        <w:t xml:space="preserve"> </w:t>
      </w:r>
      <w:r w:rsidR="00EA227C" w:rsidRPr="00985EF1">
        <w:rPr>
          <w:i/>
        </w:rPr>
        <w:t>in vitro/ex vivo</w:t>
      </w:r>
      <w:r w:rsidR="00EA227C" w:rsidRPr="00985EF1">
        <w:t xml:space="preserve"> disponibles actuellement portent soit sur l</w:t>
      </w:r>
      <w:r w:rsidR="00EA227C">
        <w:t>’</w:t>
      </w:r>
      <w:r w:rsidR="00EA227C" w:rsidRPr="00985EF1">
        <w:t>irritation cutanée</w:t>
      </w:r>
      <w:r w:rsidR="00EA227C">
        <w:t>,</w:t>
      </w:r>
      <w:r w:rsidR="00EA227C" w:rsidRPr="00985EF1">
        <w:t xml:space="preserve"> soit sur la corrosion cutanée, mais pas </w:t>
      </w:r>
      <w:r w:rsidR="00EA227C">
        <w:t xml:space="preserve">sur </w:t>
      </w:r>
      <w:r w:rsidR="00EA227C" w:rsidRPr="00985EF1">
        <w:t>les deux effets en même temps. Par conséquent, l</w:t>
      </w:r>
      <w:r w:rsidR="00EA227C">
        <w:t>e</w:t>
      </w:r>
      <w:r w:rsidR="00EA227C" w:rsidRPr="00985EF1">
        <w:t xml:space="preserve"> </w:t>
      </w:r>
      <w:r w:rsidR="00EA227C">
        <w:t>classement fondé</w:t>
      </w:r>
      <w:r w:rsidR="00EA227C" w:rsidRPr="00985EF1">
        <w:t xml:space="preserve"> uniquement sur les résultats des essais </w:t>
      </w:r>
      <w:r w:rsidR="00EA227C" w:rsidRPr="00985EF1">
        <w:rPr>
          <w:i/>
        </w:rPr>
        <w:t>in vitro/ex vivo</w:t>
      </w:r>
      <w:r w:rsidR="00EA227C" w:rsidRPr="00985EF1">
        <w:t xml:space="preserve"> peut </w:t>
      </w:r>
      <w:r w:rsidR="00EA227C">
        <w:t>requérir</w:t>
      </w:r>
      <w:r w:rsidR="00EA227C" w:rsidRPr="00985EF1">
        <w:t xml:space="preserve"> des données obtenues à partir de plusieurs méthodes. Pour les autorités utilisant la catégorie 3, il est important de noter que les méthodes d</w:t>
      </w:r>
      <w:r w:rsidR="00EA227C">
        <w:t>’</w:t>
      </w:r>
      <w:r w:rsidR="00EA227C" w:rsidRPr="00985EF1">
        <w:t xml:space="preserve">essai </w:t>
      </w:r>
      <w:r w:rsidR="00EA227C" w:rsidRPr="00985EF1">
        <w:rPr>
          <w:i/>
        </w:rPr>
        <w:t>in</w:t>
      </w:r>
      <w:r>
        <w:rPr>
          <w:i/>
        </w:rPr>
        <w:t> </w:t>
      </w:r>
      <w:r w:rsidR="00EA227C" w:rsidRPr="00985EF1">
        <w:rPr>
          <w:i/>
        </w:rPr>
        <w:t>vitro/ex</w:t>
      </w:r>
      <w:r>
        <w:rPr>
          <w:i/>
        </w:rPr>
        <w:t> </w:t>
      </w:r>
      <w:r w:rsidR="00EA227C" w:rsidRPr="00985EF1">
        <w:rPr>
          <w:i/>
        </w:rPr>
        <w:t>vivo</w:t>
      </w:r>
      <w:r w:rsidR="00EA227C" w:rsidRPr="00985EF1">
        <w:t xml:space="preserve"> disponibles actuellement ne permettent pas l</w:t>
      </w:r>
      <w:r w:rsidR="00EA227C">
        <w:t>’</w:t>
      </w:r>
      <w:r w:rsidR="00EA227C" w:rsidRPr="00985EF1">
        <w:t>identification des substances classées dans la catégorie 3.</w:t>
      </w:r>
    </w:p>
    <w:p w:rsidR="00EA227C" w:rsidRPr="00985EF1" w:rsidRDefault="00EA227C" w:rsidP="008565D3">
      <w:pPr>
        <w:pStyle w:val="SingleTxtG"/>
        <w:ind w:left="2268" w:hanging="1134"/>
      </w:pPr>
      <w:r w:rsidRPr="00985EF1">
        <w:lastRenderedPageBreak/>
        <w:t xml:space="preserve">3.2.2.3.2 </w:t>
      </w:r>
      <w:r w:rsidRPr="00985EF1">
        <w:tab/>
        <w:t>Dans la mesure du possible, la classification devrait être basée sur des données produites en utilisant des méthodes d</w:t>
      </w:r>
      <w:r>
        <w:t>’</w:t>
      </w:r>
      <w:r w:rsidRPr="00985EF1">
        <w:t xml:space="preserve">essai </w:t>
      </w:r>
      <w:r w:rsidRPr="00985EF1">
        <w:rPr>
          <w:i/>
        </w:rPr>
        <w:t>in vitro/ex vivo</w:t>
      </w:r>
      <w:r w:rsidRPr="00985EF1">
        <w:t xml:space="preserve"> validées et acceptées au plan international, et </w:t>
      </w:r>
      <w:r>
        <w:t xml:space="preserve">en appliquant </w:t>
      </w:r>
      <w:r w:rsidRPr="00985EF1">
        <w:t>les critères de class</w:t>
      </w:r>
      <w:r>
        <w:t>ification</w:t>
      </w:r>
      <w:r w:rsidRPr="00985EF1">
        <w:t xml:space="preserve"> </w:t>
      </w:r>
      <w:r>
        <w:t>prévus par</w:t>
      </w:r>
      <w:r w:rsidRPr="00985EF1">
        <w:t xml:space="preserve"> ces méthodes. Les données </w:t>
      </w:r>
      <w:r>
        <w:rPr>
          <w:i/>
        </w:rPr>
        <w:t>i</w:t>
      </w:r>
      <w:r w:rsidRPr="00985EF1">
        <w:rPr>
          <w:i/>
        </w:rPr>
        <w:t>n vitro/ex vivo</w:t>
      </w:r>
      <w:r w:rsidRPr="00985EF1">
        <w:t xml:space="preserve"> ne peuvent être utilisées à des fins de classement que lorsque la substance soumise à l</w:t>
      </w:r>
      <w:r>
        <w:t>’</w:t>
      </w:r>
      <w:r w:rsidRPr="00985EF1">
        <w:t xml:space="preserve">essai </w:t>
      </w:r>
      <w:r>
        <w:t>relève du</w:t>
      </w:r>
      <w:r w:rsidRPr="00985EF1">
        <w:t xml:space="preserve"> domaine d</w:t>
      </w:r>
      <w:r>
        <w:t>’</w:t>
      </w:r>
      <w:r w:rsidRPr="00985EF1">
        <w:t>application des méthodes d</w:t>
      </w:r>
      <w:r>
        <w:t>’</w:t>
      </w:r>
      <w:r w:rsidRPr="00985EF1">
        <w:t>essai utilisées. Les limites supplémentaires décrites dans les documents publiés doivent également être prises en compte.</w:t>
      </w:r>
    </w:p>
    <w:p w:rsidR="00EA227C" w:rsidRPr="00985EF1" w:rsidRDefault="00EA227C" w:rsidP="000C681A">
      <w:pPr>
        <w:pStyle w:val="SingleTxtG"/>
        <w:keepNext/>
        <w:ind w:left="2268" w:hanging="1134"/>
        <w:jc w:val="left"/>
      </w:pPr>
      <w:r w:rsidRPr="00985EF1">
        <w:t>3.2.2.3.3</w:t>
      </w:r>
      <w:r w:rsidRPr="00985EF1">
        <w:tab/>
        <w:t>Corrosion cutanée</w:t>
      </w:r>
    </w:p>
    <w:p w:rsidR="00EA227C" w:rsidRPr="00985EF1" w:rsidRDefault="000C681A" w:rsidP="008565D3">
      <w:pPr>
        <w:pStyle w:val="SingleTxtG"/>
        <w:ind w:left="2268" w:hanging="1134"/>
      </w:pPr>
      <w:r>
        <w:t>3.2.2.3.3.1</w:t>
      </w:r>
      <w:r>
        <w:tab/>
      </w:r>
      <w:r w:rsidR="00EA227C" w:rsidRPr="00985EF1">
        <w:t xml:space="preserve">Lorsque des essais ont été menés conformément aux </w:t>
      </w:r>
      <w:r w:rsidR="00EA227C">
        <w:t>L</w:t>
      </w:r>
      <w:r w:rsidR="00EA227C" w:rsidRPr="00985EF1">
        <w:t xml:space="preserve">ignes directrices </w:t>
      </w:r>
      <w:r>
        <w:rPr>
          <w:rFonts w:eastAsia="MS Mincho"/>
        </w:rPr>
        <w:t>n</w:t>
      </w:r>
      <w:r>
        <w:rPr>
          <w:rFonts w:eastAsia="MS Mincho"/>
          <w:vertAlign w:val="superscript"/>
        </w:rPr>
        <w:t>o</w:t>
      </w:r>
      <w:r>
        <w:t> </w:t>
      </w:r>
      <w:r w:rsidR="00EA227C" w:rsidRPr="00985EF1">
        <w:t>430, 431 ou 435</w:t>
      </w:r>
      <w:r w:rsidR="00EA227C">
        <w:t xml:space="preserve"> </w:t>
      </w:r>
      <w:r w:rsidR="00EA227C" w:rsidRPr="003E5CDC">
        <w:t>de l</w:t>
      </w:r>
      <w:r w:rsidR="00EA227C">
        <w:t>’</w:t>
      </w:r>
      <w:r w:rsidR="00EA227C" w:rsidRPr="003E5CDC">
        <w:t>OCDE</w:t>
      </w:r>
      <w:r w:rsidR="00EA227C" w:rsidRPr="00985EF1">
        <w:t xml:space="preserve">, une substance est classée </w:t>
      </w:r>
      <w:r w:rsidR="00EA227C">
        <w:t xml:space="preserve">pour la corrosion cutanée </w:t>
      </w:r>
      <w:r w:rsidR="00EA227C" w:rsidRPr="00985EF1">
        <w:t xml:space="preserve">dans la catégorie 1 (et, si possible, dans les sous-catégories 1A, 1B ou 1C) sur la base des critères </w:t>
      </w:r>
      <w:r w:rsidR="00EA227C">
        <w:t>indiqués</w:t>
      </w:r>
      <w:r w:rsidR="00EA227C" w:rsidRPr="00985EF1">
        <w:t xml:space="preserve"> dans le tableau 3.2.6. </w:t>
      </w:r>
    </w:p>
    <w:p w:rsidR="00EA227C" w:rsidRPr="00985EF1" w:rsidRDefault="00EA227C" w:rsidP="008565D3">
      <w:pPr>
        <w:pStyle w:val="SingleTxtG"/>
        <w:ind w:left="2268" w:hanging="1134"/>
      </w:pPr>
      <w:r w:rsidRPr="00985EF1">
        <w:t>3.2.2.3.3.2</w:t>
      </w:r>
      <w:r w:rsidRPr="00985EF1">
        <w:tab/>
        <w:t xml:space="preserve"> Certaines méthodes </w:t>
      </w:r>
      <w:r w:rsidRPr="00985EF1">
        <w:rPr>
          <w:i/>
        </w:rPr>
        <w:t>in vitro/ex vivo</w:t>
      </w:r>
      <w:r w:rsidRPr="00985EF1">
        <w:t xml:space="preserve"> ne permettent pas d</w:t>
      </w:r>
      <w:r>
        <w:t>’</w:t>
      </w:r>
      <w:r w:rsidRPr="00985EF1">
        <w:t xml:space="preserve">établir </w:t>
      </w:r>
      <w:r>
        <w:t>une</w:t>
      </w:r>
      <w:r w:rsidRPr="00985EF1">
        <w:t xml:space="preserve"> distinction entre les sous-catégories 1B et 1C (voir tableau 3.2.6). Lorsque les autorités compétentes demandent que </w:t>
      </w:r>
      <w:r>
        <w:t>d</w:t>
      </w:r>
      <w:r w:rsidRPr="00985EF1">
        <w:t xml:space="preserve">es sous-catégories soient indiquées et que les données </w:t>
      </w:r>
      <w:r w:rsidRPr="00985EF1">
        <w:rPr>
          <w:i/>
        </w:rPr>
        <w:t>in vitro/ex vivo</w:t>
      </w:r>
      <w:r w:rsidRPr="00985EF1">
        <w:t xml:space="preserve"> existantes ne </w:t>
      </w:r>
      <w:r>
        <w:t xml:space="preserve">le </w:t>
      </w:r>
      <w:r w:rsidRPr="00985EF1">
        <w:t xml:space="preserve">permettent pas, des informations </w:t>
      </w:r>
      <w:r>
        <w:t>com</w:t>
      </w:r>
      <w:r w:rsidRPr="00985EF1">
        <w:t xml:space="preserve">plémentaires doivent être prises en compte pour établir une distinction entre </w:t>
      </w:r>
      <w:r>
        <w:t>ces deux sous-catégories</w:t>
      </w:r>
      <w:r w:rsidRPr="00985EF1">
        <w:t>. La catégorie 1 est celle qui s</w:t>
      </w:r>
      <w:r>
        <w:t>’</w:t>
      </w:r>
      <w:r w:rsidRPr="00985EF1">
        <w:t>applique en l</w:t>
      </w:r>
      <w:r>
        <w:t>’</w:t>
      </w:r>
      <w:r w:rsidRPr="00985EF1">
        <w:t>absence d</w:t>
      </w:r>
      <w:r>
        <w:t>’</w:t>
      </w:r>
      <w:r w:rsidRPr="00985EF1">
        <w:t xml:space="preserve">informations </w:t>
      </w:r>
      <w:r>
        <w:t>com</w:t>
      </w:r>
      <w:r w:rsidRPr="00985EF1">
        <w:t>plémentaires ou lorsque celles-ci sont insuffisantes.</w:t>
      </w:r>
      <w:r w:rsidR="00525BCC">
        <w:t xml:space="preserve"> </w:t>
      </w:r>
    </w:p>
    <w:p w:rsidR="00EA227C" w:rsidRPr="00985EF1" w:rsidRDefault="00EA227C" w:rsidP="008565D3">
      <w:pPr>
        <w:pStyle w:val="SingleTxtG"/>
        <w:ind w:left="2268" w:hanging="1134"/>
      </w:pPr>
      <w:r w:rsidRPr="00985EF1">
        <w:t>3.2.2.3.3.3</w:t>
      </w:r>
      <w:r w:rsidRPr="00985EF1">
        <w:tab/>
        <w:t xml:space="preserve">Une substance </w:t>
      </w:r>
      <w:r>
        <w:t>reconnue</w:t>
      </w:r>
      <w:r w:rsidRPr="00985EF1">
        <w:t xml:space="preserve"> non corrosive devrait être </w:t>
      </w:r>
      <w:r>
        <w:t xml:space="preserve">prise en considération </w:t>
      </w:r>
      <w:r w:rsidRPr="00985EF1">
        <w:t xml:space="preserve">aux fins de </w:t>
      </w:r>
      <w:r>
        <w:t>son classement</w:t>
      </w:r>
      <w:r w:rsidRPr="00985EF1">
        <w:t xml:space="preserve"> comme substance irritante pour la peau.</w:t>
      </w:r>
    </w:p>
    <w:p w:rsidR="00EA227C" w:rsidRPr="00985EF1" w:rsidRDefault="00EA227C" w:rsidP="000C681A">
      <w:pPr>
        <w:pStyle w:val="SingleTxtG"/>
        <w:keepNext/>
        <w:ind w:left="2268" w:hanging="1134"/>
        <w:jc w:val="left"/>
      </w:pPr>
      <w:r w:rsidRPr="00985EF1">
        <w:t>3.2.2.3.4</w:t>
      </w:r>
      <w:r w:rsidRPr="00985EF1">
        <w:tab/>
        <w:t>Irritation cutanée</w:t>
      </w:r>
    </w:p>
    <w:p w:rsidR="00EA227C" w:rsidRPr="00985EF1" w:rsidRDefault="00EA227C" w:rsidP="008565D3">
      <w:pPr>
        <w:pStyle w:val="SingleTxtG"/>
        <w:ind w:left="2268" w:hanging="1134"/>
      </w:pPr>
      <w:r w:rsidRPr="00985EF1">
        <w:t xml:space="preserve">3.2.2.3.4.1 </w:t>
      </w:r>
      <w:r w:rsidRPr="00985EF1">
        <w:tab/>
        <w:t>Lorsque l</w:t>
      </w:r>
      <w:r>
        <w:t>’</w:t>
      </w:r>
      <w:r w:rsidRPr="00985EF1">
        <w:t xml:space="preserve">on peut exclure la corrosivité et que les essais ont été menés conformément à la </w:t>
      </w:r>
      <w:r>
        <w:t>L</w:t>
      </w:r>
      <w:r w:rsidRPr="00985EF1">
        <w:t xml:space="preserve">igne directrice </w:t>
      </w:r>
      <w:r w:rsidR="000C681A">
        <w:rPr>
          <w:rFonts w:eastAsia="MS Mincho"/>
        </w:rPr>
        <w:t>n</w:t>
      </w:r>
      <w:r w:rsidR="000C681A">
        <w:rPr>
          <w:rFonts w:eastAsia="MS Mincho"/>
          <w:vertAlign w:val="superscript"/>
        </w:rPr>
        <w:t>o</w:t>
      </w:r>
      <w:r w:rsidR="000C681A">
        <w:t> </w:t>
      </w:r>
      <w:r w:rsidRPr="00985EF1">
        <w:t>439</w:t>
      </w:r>
      <w:r>
        <w:t xml:space="preserve"> </w:t>
      </w:r>
      <w:r w:rsidRPr="003E5CDC">
        <w:t>de l</w:t>
      </w:r>
      <w:r>
        <w:t>’</w:t>
      </w:r>
      <w:r w:rsidRPr="003E5CDC">
        <w:t>OCDE</w:t>
      </w:r>
      <w:r w:rsidRPr="00985EF1">
        <w:t xml:space="preserve">, une substance est classée </w:t>
      </w:r>
      <w:r>
        <w:t>dans la</w:t>
      </w:r>
      <w:r w:rsidRPr="00985EF1">
        <w:t xml:space="preserve"> catégorie 2 comme </w:t>
      </w:r>
      <w:r>
        <w:t xml:space="preserve">irritante pour la peau, </w:t>
      </w:r>
      <w:r w:rsidRPr="00985EF1">
        <w:t xml:space="preserve">sur la base des critères établis dans le tableau 3.2.7. </w:t>
      </w:r>
    </w:p>
    <w:p w:rsidR="00EA227C" w:rsidRPr="00985EF1" w:rsidRDefault="00EA227C" w:rsidP="008565D3">
      <w:pPr>
        <w:pStyle w:val="SingleTxtG"/>
        <w:ind w:left="2268" w:hanging="1134"/>
      </w:pPr>
      <w:r w:rsidRPr="00985EF1">
        <w:t xml:space="preserve">3.2.2.3.4.2 </w:t>
      </w:r>
      <w:r w:rsidRPr="00985EF1">
        <w:tab/>
        <w:t>Si les autorités co</w:t>
      </w:r>
      <w:r w:rsidR="000C681A">
        <w:t>mpétentes adoptent la catégorie </w:t>
      </w:r>
      <w:r w:rsidRPr="00985EF1">
        <w:t>3, il est important de signaler que les méthodes d</w:t>
      </w:r>
      <w:r>
        <w:t>’</w:t>
      </w:r>
      <w:r w:rsidRPr="00985EF1">
        <w:t xml:space="preserve">essai </w:t>
      </w:r>
      <w:r w:rsidRPr="00985EF1">
        <w:rPr>
          <w:i/>
        </w:rPr>
        <w:t>in vitro/ex vivo</w:t>
      </w:r>
      <w:r w:rsidRPr="00985EF1">
        <w:t xml:space="preserve"> disponibles actuellement pour l</w:t>
      </w:r>
      <w:r>
        <w:t>’</w:t>
      </w:r>
      <w:r w:rsidRPr="00985EF1">
        <w:t xml:space="preserve">irritation cutanée (par exemple la </w:t>
      </w:r>
      <w:r>
        <w:t>L</w:t>
      </w:r>
      <w:r w:rsidRPr="00985EF1">
        <w:t xml:space="preserve">igne directrice </w:t>
      </w:r>
      <w:r w:rsidR="000C681A">
        <w:rPr>
          <w:rFonts w:eastAsia="MS Mincho"/>
        </w:rPr>
        <w:t>n</w:t>
      </w:r>
      <w:r w:rsidR="000C681A">
        <w:rPr>
          <w:rFonts w:eastAsia="MS Mincho"/>
          <w:vertAlign w:val="superscript"/>
        </w:rPr>
        <w:t>o</w:t>
      </w:r>
      <w:r w:rsidR="000C681A">
        <w:t> </w:t>
      </w:r>
      <w:r w:rsidRPr="00985EF1">
        <w:t>439</w:t>
      </w:r>
      <w:r>
        <w:t xml:space="preserve"> </w:t>
      </w:r>
      <w:r w:rsidRPr="003E5CDC">
        <w:t>de l</w:t>
      </w:r>
      <w:r>
        <w:t>’</w:t>
      </w:r>
      <w:r w:rsidRPr="003E5CDC">
        <w:t>OCDE</w:t>
      </w:r>
      <w:r w:rsidRPr="00985EF1">
        <w:t xml:space="preserve">) ne permettent pas le classement des substances dans cette catégorie. Dans ce cas, si les critères de classement des catégories 1 ou 2 ne sont pas remplis, des informations </w:t>
      </w:r>
      <w:r>
        <w:t>com</w:t>
      </w:r>
      <w:r w:rsidRPr="00985EF1">
        <w:t>plémentaires sont nécessaires pour établir une distinction entre la catégorie 3 et l</w:t>
      </w:r>
      <w:r>
        <w:t>’</w:t>
      </w:r>
      <w:r w:rsidRPr="00985EF1">
        <w:t xml:space="preserve">absence de classement. </w:t>
      </w:r>
    </w:p>
    <w:p w:rsidR="00EA227C" w:rsidRPr="00985EF1" w:rsidRDefault="00EA227C" w:rsidP="008565D3">
      <w:pPr>
        <w:pStyle w:val="SingleTxtG"/>
        <w:ind w:left="2268" w:hanging="1134"/>
      </w:pPr>
      <w:r w:rsidRPr="00985EF1">
        <w:t>3.2.2.3.4.3</w:t>
      </w:r>
      <w:r w:rsidRPr="00985EF1">
        <w:tab/>
        <w:t xml:space="preserve"> </w:t>
      </w:r>
      <w:r>
        <w:t>Lorsque</w:t>
      </w:r>
      <w:r w:rsidRPr="00985EF1">
        <w:t xml:space="preserve"> les autorités compétentes n</w:t>
      </w:r>
      <w:r>
        <w:t>’</w:t>
      </w:r>
      <w:r w:rsidRPr="00985EF1">
        <w:t>a</w:t>
      </w:r>
      <w:r>
        <w:t>do</w:t>
      </w:r>
      <w:r w:rsidRPr="00985EF1">
        <w:t>ptent pas la catégorie 3,</w:t>
      </w:r>
      <w:r>
        <w:t xml:space="preserve"> </w:t>
      </w:r>
      <w:r w:rsidRPr="00985EF1">
        <w:t xml:space="preserve">un résultat négatif </w:t>
      </w:r>
      <w:r>
        <w:t xml:space="preserve">obtenu </w:t>
      </w:r>
      <w:r w:rsidRPr="00985EF1">
        <w:t>à l</w:t>
      </w:r>
      <w:r>
        <w:t>’</w:t>
      </w:r>
      <w:r w:rsidRPr="00985EF1">
        <w:t>issue d</w:t>
      </w:r>
      <w:r>
        <w:t>’</w:t>
      </w:r>
      <w:r w:rsidRPr="00985EF1">
        <w:t xml:space="preserve">un essai </w:t>
      </w:r>
      <w:r w:rsidRPr="00985EF1">
        <w:rPr>
          <w:i/>
        </w:rPr>
        <w:t>in vitro/ex vivo</w:t>
      </w:r>
      <w:r w:rsidRPr="00985EF1">
        <w:t xml:space="preserve"> </w:t>
      </w:r>
      <w:r>
        <w:t>reconnu</w:t>
      </w:r>
      <w:r w:rsidRPr="00985EF1">
        <w:t xml:space="preserve"> et validé au plan international pour l</w:t>
      </w:r>
      <w:r>
        <w:t>’</w:t>
      </w:r>
      <w:r w:rsidRPr="00985EF1">
        <w:t>irritation cutanée, par exemple l</w:t>
      </w:r>
      <w:r>
        <w:t>a</w:t>
      </w:r>
      <w:r w:rsidRPr="00985EF1">
        <w:t xml:space="preserve"> </w:t>
      </w:r>
      <w:r>
        <w:t>L</w:t>
      </w:r>
      <w:r w:rsidRPr="00985EF1">
        <w:t xml:space="preserve">igne directrice </w:t>
      </w:r>
      <w:r w:rsidR="004A0563">
        <w:rPr>
          <w:rFonts w:eastAsia="MS Mincho"/>
        </w:rPr>
        <w:t>n</w:t>
      </w:r>
      <w:r w:rsidR="004A0563">
        <w:rPr>
          <w:rFonts w:eastAsia="MS Mincho"/>
          <w:vertAlign w:val="superscript"/>
        </w:rPr>
        <w:t>o</w:t>
      </w:r>
      <w:r w:rsidR="004A0563">
        <w:t> </w:t>
      </w:r>
      <w:r w:rsidRPr="00985EF1">
        <w:t>439</w:t>
      </w:r>
      <w:r>
        <w:t xml:space="preserve"> </w:t>
      </w:r>
      <w:r w:rsidRPr="003E5CDC">
        <w:t>de l</w:t>
      </w:r>
      <w:r>
        <w:t>’</w:t>
      </w:r>
      <w:r w:rsidRPr="003E5CDC">
        <w:t>OCDE</w:t>
      </w:r>
      <w:r w:rsidRPr="00985EF1">
        <w:t>, peut être utilisé pour conclure à l</w:t>
      </w:r>
      <w:r>
        <w:t>’</w:t>
      </w:r>
      <w:r w:rsidRPr="00985EF1">
        <w:t xml:space="preserve">absence de classement </w:t>
      </w:r>
      <w:r>
        <w:t xml:space="preserve">au titre de </w:t>
      </w:r>
      <w:r w:rsidRPr="00985EF1">
        <w:t>l</w:t>
      </w:r>
      <w:r>
        <w:t>’</w:t>
      </w:r>
      <w:r w:rsidRPr="00985EF1">
        <w:t>irritation cutanée</w:t>
      </w:r>
      <w:r w:rsidR="00C5201F">
        <w:t>. »</w:t>
      </w:r>
      <w:r>
        <w:t>.</w:t>
      </w:r>
    </w:p>
    <w:p w:rsidR="00EA227C" w:rsidRPr="00985EF1" w:rsidRDefault="00EA227C" w:rsidP="00D179F1">
      <w:pPr>
        <w:pStyle w:val="SingleTxtG"/>
        <w:tabs>
          <w:tab w:val="left" w:pos="1843"/>
        </w:tabs>
        <w:spacing w:after="100"/>
      </w:pPr>
      <w:r w:rsidRPr="00985EF1">
        <w:t>3.2.2.4</w:t>
      </w:r>
      <w:r w:rsidR="004A0563">
        <w:tab/>
      </w:r>
      <w:r w:rsidRPr="00985EF1">
        <w:t>Ajouter le nouveau sous-titre suivant</w:t>
      </w:r>
      <w:r w:rsidR="00525BCC">
        <w:t> :</w:t>
      </w:r>
      <w:r w:rsidRPr="00985EF1">
        <w:t xml:space="preserve"> </w:t>
      </w:r>
      <w:r w:rsidR="004A0563">
        <w:t>« </w:t>
      </w:r>
      <w:r w:rsidRPr="00985EF1">
        <w:t xml:space="preserve">3.2.2.4 Classification basée sur </w:t>
      </w:r>
      <w:r>
        <w:t>d’autres données existantes sur des effets cutanés sur animaux</w:t>
      </w:r>
      <w:r w:rsidR="004A0563">
        <w:t> »</w:t>
      </w:r>
      <w:r>
        <w:t>.</w:t>
      </w:r>
    </w:p>
    <w:p w:rsidR="00EA227C" w:rsidRPr="00985EF1" w:rsidRDefault="00EA227C" w:rsidP="004A0563">
      <w:pPr>
        <w:pStyle w:val="SingleTxtG"/>
        <w:keepNext/>
      </w:pPr>
      <w:r w:rsidRPr="00985EF1">
        <w:t>Ajouter le nouveau paragraphe suivant</w:t>
      </w:r>
      <w:r w:rsidR="00525BCC">
        <w:t> :</w:t>
      </w:r>
    </w:p>
    <w:p w:rsidR="00EA227C" w:rsidRPr="00985EF1" w:rsidRDefault="005B4354" w:rsidP="005B4354">
      <w:pPr>
        <w:pStyle w:val="SingleTxtG"/>
        <w:ind w:left="2268"/>
      </w:pPr>
      <w:r>
        <w:t>« </w:t>
      </w:r>
      <w:r w:rsidR="00EA227C">
        <w:t>D’</w:t>
      </w:r>
      <w:r w:rsidR="00EA227C" w:rsidRPr="003E5CDC">
        <w:t xml:space="preserve">autres données existantes sur des effets cutanés sur animaux </w:t>
      </w:r>
      <w:r w:rsidR="00EA227C" w:rsidRPr="00985EF1">
        <w:t xml:space="preserve">peuvent être utilisées à des fins de classement, </w:t>
      </w:r>
      <w:r w:rsidR="00EA227C">
        <w:t>qui peuvent présenter</w:t>
      </w:r>
      <w:r w:rsidR="00EA227C" w:rsidRPr="00985EF1">
        <w:t xml:space="preserve"> des limites quant aux conclusions pouvant être tirées (voir 3.2.5.3.5). Lorsqu</w:t>
      </w:r>
      <w:r w:rsidR="00EA227C">
        <w:t>’</w:t>
      </w:r>
      <w:r w:rsidR="00EA227C" w:rsidRPr="00985EF1">
        <w:t xml:space="preserve">une substance est très toxique par voie cutanée, </w:t>
      </w:r>
      <w:r w:rsidR="00EA227C">
        <w:t>il se peut qu’il n’y ait pas eu d’</w:t>
      </w:r>
      <w:r w:rsidR="00EA227C" w:rsidRPr="00985EF1">
        <w:t>étude de corrosion</w:t>
      </w:r>
      <w:r w:rsidR="00EA227C">
        <w:t xml:space="preserve"> ou d’</w:t>
      </w:r>
      <w:r w:rsidR="00EA227C" w:rsidRPr="00985EF1">
        <w:t xml:space="preserve">irritation cutanée </w:t>
      </w:r>
      <w:r w:rsidR="00EA227C" w:rsidRPr="002D1117">
        <w:rPr>
          <w:i/>
        </w:rPr>
        <w:t>in vivo</w:t>
      </w:r>
      <w:r w:rsidR="00EA227C" w:rsidRPr="00985EF1">
        <w:t xml:space="preserve"> dans la mesure où la quantité de substance à appliquer pour l</w:t>
      </w:r>
      <w:r w:rsidR="00EA227C">
        <w:t>’</w:t>
      </w:r>
      <w:r w:rsidR="00EA227C" w:rsidRPr="00985EF1">
        <w:t xml:space="preserve">essai </w:t>
      </w:r>
      <w:r w:rsidR="00EA227C">
        <w:t xml:space="preserve">aurait </w:t>
      </w:r>
      <w:r w:rsidR="00EA227C" w:rsidRPr="00985EF1">
        <w:t>dépass</w:t>
      </w:r>
      <w:r w:rsidR="00EA227C">
        <w:t>é</w:t>
      </w:r>
      <w:r w:rsidR="00EA227C" w:rsidRPr="00985EF1">
        <w:t xml:space="preserve"> de manière considérable la dose toxique et</w:t>
      </w:r>
      <w:r w:rsidR="00EA227C">
        <w:t>,</w:t>
      </w:r>
      <w:r w:rsidR="00EA227C" w:rsidRPr="00985EF1">
        <w:t xml:space="preserve"> de ce fait, </w:t>
      </w:r>
      <w:r w:rsidR="00EA227C">
        <w:t xml:space="preserve">aurait </w:t>
      </w:r>
      <w:r w:rsidR="00EA227C" w:rsidRPr="00985EF1">
        <w:t>provoqu</w:t>
      </w:r>
      <w:r w:rsidR="00EA227C">
        <w:t>é</w:t>
      </w:r>
      <w:r w:rsidR="00EA227C" w:rsidRPr="00985EF1">
        <w:t xml:space="preserve"> la mort des animaux. Lorsque des études de toxicité </w:t>
      </w:r>
      <w:r w:rsidR="00EA227C">
        <w:t xml:space="preserve">aiguë </w:t>
      </w:r>
      <w:r w:rsidR="00EA227C" w:rsidRPr="00985EF1">
        <w:t>contiennent des observations portant sur la corrosion</w:t>
      </w:r>
      <w:r w:rsidR="00EA227C">
        <w:t xml:space="preserve"> ou l’</w:t>
      </w:r>
      <w:r w:rsidR="00EA227C" w:rsidRPr="00985EF1">
        <w:t xml:space="preserve">irritation cutanée, ces données peuvent être exploitées pour le classement, pour autant que les dilutions utilisées et les espèces soumises aux essais soient pertinentes. Les substances solides (poudres) peuvent devenir corrosives ou </w:t>
      </w:r>
      <w:r w:rsidR="00EA227C" w:rsidRPr="00985EF1">
        <w:lastRenderedPageBreak/>
        <w:t>irritantes lorsqu</w:t>
      </w:r>
      <w:r w:rsidR="00EA227C">
        <w:t>’</w:t>
      </w:r>
      <w:r w:rsidR="00EA227C" w:rsidRPr="00985EF1">
        <w:t>elles sont humidifiées ou en contact avec la peau humide ou les muqueuses. Cela est généralement indiqué dans les méthodes d</w:t>
      </w:r>
      <w:r w:rsidR="00EA227C">
        <w:t>’</w:t>
      </w:r>
      <w:r w:rsidR="00EA227C" w:rsidRPr="00985EF1">
        <w:t>essai normalisées. Des</w:t>
      </w:r>
      <w:r w:rsidR="00EA227C">
        <w:t xml:space="preserve"> instructions</w:t>
      </w:r>
      <w:r w:rsidR="00EA227C" w:rsidRPr="00985EF1">
        <w:t xml:space="preserve"> sur l</w:t>
      </w:r>
      <w:r w:rsidR="00EA227C">
        <w:t>’</w:t>
      </w:r>
      <w:r w:rsidR="00EA227C" w:rsidRPr="00985EF1">
        <w:t xml:space="preserve">utilisation </w:t>
      </w:r>
      <w:r w:rsidR="00EA227C" w:rsidRPr="003E5CDC">
        <w:t>d</w:t>
      </w:r>
      <w:r w:rsidR="00EA227C">
        <w:t>’</w:t>
      </w:r>
      <w:r w:rsidR="00EA227C" w:rsidRPr="003E5CDC">
        <w:t>autres données existantes sur des effets cutanés sur animaux</w:t>
      </w:r>
      <w:r w:rsidR="00EA227C" w:rsidRPr="00985EF1">
        <w:t>, portant notamment sur les essais de toxicité aiguë et de toxicité par doses répétées</w:t>
      </w:r>
      <w:r w:rsidR="00EA227C">
        <w:t>,</w:t>
      </w:r>
      <w:r w:rsidR="00EA227C" w:rsidRPr="00985EF1">
        <w:t xml:space="preserve"> ainsi que sur d</w:t>
      </w:r>
      <w:r w:rsidR="00EA227C">
        <w:t>’</w:t>
      </w:r>
      <w:r w:rsidR="00EA227C" w:rsidRPr="00985EF1">
        <w:t>autres essais</w:t>
      </w:r>
      <w:r w:rsidR="00EA227C">
        <w:t>,</w:t>
      </w:r>
      <w:r w:rsidR="00EA227C" w:rsidRPr="00985EF1">
        <w:t xml:space="preserve"> sont fournies dans le 3.2.5.3.5.</w:t>
      </w:r>
      <w:r>
        <w:t> »</w:t>
      </w:r>
      <w:r w:rsidR="00EA227C">
        <w:t>.</w:t>
      </w:r>
    </w:p>
    <w:p w:rsidR="00EA227C" w:rsidRPr="00985EF1" w:rsidRDefault="00EA227C" w:rsidP="004B1D0B">
      <w:pPr>
        <w:pStyle w:val="SingleTxtG"/>
        <w:tabs>
          <w:tab w:val="left" w:pos="1843"/>
        </w:tabs>
        <w:spacing w:after="100"/>
      </w:pPr>
      <w:r w:rsidRPr="00985EF1">
        <w:t>3.2.2.5</w:t>
      </w:r>
      <w:r w:rsidRPr="00985EF1">
        <w:tab/>
        <w:t>Ajouter le nouveau sous-titre suivant</w:t>
      </w:r>
      <w:r w:rsidR="00525BCC">
        <w:t> :</w:t>
      </w:r>
      <w:r w:rsidRPr="00985EF1">
        <w:t xml:space="preserve"> </w:t>
      </w:r>
      <w:r w:rsidR="005B4354">
        <w:t>« </w:t>
      </w:r>
      <w:r w:rsidRPr="00985EF1">
        <w:t>3.2.2.5</w:t>
      </w:r>
      <w:r w:rsidRPr="00985EF1">
        <w:tab/>
      </w:r>
      <w:r>
        <w:t>Classification</w:t>
      </w:r>
      <w:r w:rsidRPr="00985EF1">
        <w:t xml:space="preserve"> basé</w:t>
      </w:r>
      <w:r>
        <w:t>e</w:t>
      </w:r>
      <w:r w:rsidRPr="00985EF1">
        <w:t xml:space="preserve"> sur </w:t>
      </w:r>
      <w:r>
        <w:t>l</w:t>
      </w:r>
      <w:r w:rsidRPr="00985EF1">
        <w:t>es propriétés chimiques</w:t>
      </w:r>
      <w:r w:rsidR="005B4354">
        <w:t> »</w:t>
      </w:r>
      <w:r>
        <w:t>.</w:t>
      </w:r>
    </w:p>
    <w:p w:rsidR="00EA227C" w:rsidRPr="00985EF1" w:rsidRDefault="00EA227C" w:rsidP="005B4354">
      <w:pPr>
        <w:pStyle w:val="SingleTxtG"/>
        <w:keepNext/>
      </w:pPr>
      <w:r w:rsidRPr="00985EF1">
        <w:t>Ajouter le nouveau paragraphe suivant</w:t>
      </w:r>
      <w:r w:rsidR="00525BCC">
        <w:t> :</w:t>
      </w:r>
    </w:p>
    <w:p w:rsidR="00EA227C" w:rsidRPr="00985EF1" w:rsidRDefault="005B4354" w:rsidP="005B4354">
      <w:pPr>
        <w:pStyle w:val="SingleTxtG"/>
        <w:ind w:left="2268"/>
      </w:pPr>
      <w:r>
        <w:t>« </w:t>
      </w:r>
      <w:r w:rsidR="00EA227C" w:rsidRPr="00985EF1">
        <w:t>Des effets cutanés peuvent être indiqués par des pH extrêmes comme</w:t>
      </w:r>
      <w:r>
        <w:t xml:space="preserve"> ≤</w:t>
      </w:r>
      <w:r w:rsidR="00EA227C" w:rsidRPr="00985EF1">
        <w:t>2 et</w:t>
      </w:r>
      <w:r>
        <w:t xml:space="preserve"> ≥</w:t>
      </w:r>
      <w:r w:rsidR="00EA227C" w:rsidRPr="00985EF1">
        <w:t>11</w:t>
      </w:r>
      <w:r w:rsidR="00EA227C">
        <w:t>,</w:t>
      </w:r>
      <w:r w:rsidR="00EA227C" w:rsidRPr="00985EF1">
        <w:t>5, surtout lorsqu</w:t>
      </w:r>
      <w:r w:rsidR="00EA227C">
        <w:t>’</w:t>
      </w:r>
      <w:r w:rsidR="00EA227C" w:rsidRPr="00985EF1">
        <w:t>ils sont associés à une réserve alcaline ou acide (capacité tampon)</w:t>
      </w:r>
      <w:r w:rsidR="00EA227C">
        <w:t xml:space="preserve"> élevée</w:t>
      </w:r>
      <w:r w:rsidR="00EA227C" w:rsidRPr="00985EF1">
        <w:t>. On peut généralement s</w:t>
      </w:r>
      <w:r w:rsidR="00EA227C">
        <w:t>’</w:t>
      </w:r>
      <w:r w:rsidR="00EA227C" w:rsidRPr="00985EF1">
        <w:t>attendre à ce que de telles substances produisent des lésions importantes sur la peau. Une substance est considérée comme corrosive pour la pea</w:t>
      </w:r>
      <w:r>
        <w:t>u (</w:t>
      </w:r>
      <w:r w:rsidR="007056F9">
        <w:t>c</w:t>
      </w:r>
      <w:r>
        <w:t>atégorie 1) si son pH est ≤2 ou ≥</w:t>
      </w:r>
      <w:r w:rsidR="00EA227C" w:rsidRPr="00985EF1">
        <w:t>11,5. Toutefois, si l</w:t>
      </w:r>
      <w:r w:rsidR="00EA227C">
        <w:t>’</w:t>
      </w:r>
      <w:r w:rsidR="00EA227C" w:rsidRPr="00985EF1">
        <w:t>examen de la réserve acide/alcaline laisse penser que la substance pourrait ne pas être corrosive en dépit d</w:t>
      </w:r>
      <w:r w:rsidR="00EA227C">
        <w:t>’</w:t>
      </w:r>
      <w:r w:rsidR="00EA227C" w:rsidRPr="00985EF1">
        <w:t>un pH faible ou élevé, il faut en obtenir confirmation à l</w:t>
      </w:r>
      <w:r w:rsidR="00EA227C">
        <w:t>’</w:t>
      </w:r>
      <w:r w:rsidR="00EA227C" w:rsidRPr="00985EF1">
        <w:t>aide d</w:t>
      </w:r>
      <w:r w:rsidR="00EA227C">
        <w:t>’</w:t>
      </w:r>
      <w:r w:rsidR="00EA227C" w:rsidRPr="00985EF1">
        <w:t>autres données, de préférence tirées d</w:t>
      </w:r>
      <w:r w:rsidR="00EA227C">
        <w:t>’</w:t>
      </w:r>
      <w:r w:rsidR="00EA227C" w:rsidRPr="00985EF1">
        <w:t xml:space="preserve">un essai </w:t>
      </w:r>
      <w:r w:rsidR="00EA227C" w:rsidRPr="00985EF1">
        <w:rPr>
          <w:i/>
        </w:rPr>
        <w:t>in vitro/ex vivo</w:t>
      </w:r>
      <w:r w:rsidR="00EA227C" w:rsidRPr="00985EF1">
        <w:t xml:space="preserve"> approprié et validé. En l</w:t>
      </w:r>
      <w:r w:rsidR="00EA227C">
        <w:t>’</w:t>
      </w:r>
      <w:r w:rsidR="00EA227C" w:rsidRPr="00985EF1">
        <w:t xml:space="preserve">absence de données </w:t>
      </w:r>
      <w:r w:rsidR="00EA227C">
        <w:t>com</w:t>
      </w:r>
      <w:r w:rsidR="00EA227C" w:rsidRPr="00985EF1">
        <w:t xml:space="preserve">plémentaires en cas de pH extrême combiné à une faible capacité tampon, </w:t>
      </w:r>
      <w:r w:rsidR="00EA227C">
        <w:t>on considère qu’on ne peut pas aboutir à une conclusion</w:t>
      </w:r>
      <w:r w:rsidR="00EA227C" w:rsidRPr="00985EF1">
        <w:t>. La capacité tampon et le pH peuvent être d</w:t>
      </w:r>
      <w:r w:rsidR="00EA227C">
        <w:t>é</w:t>
      </w:r>
      <w:r w:rsidR="00EA227C" w:rsidRPr="00985EF1">
        <w:t>termin</w:t>
      </w:r>
      <w:r w:rsidR="00EA227C">
        <w:t>é</w:t>
      </w:r>
      <w:r w:rsidR="00EA227C" w:rsidRPr="00985EF1">
        <w:t>s par des méthodes d</w:t>
      </w:r>
      <w:r w:rsidR="00EA227C">
        <w:t>’</w:t>
      </w:r>
      <w:r w:rsidR="00EA227C" w:rsidRPr="00985EF1">
        <w:t>essai</w:t>
      </w:r>
      <w:r w:rsidR="00EA227C">
        <w:t>,</w:t>
      </w:r>
      <w:r w:rsidR="00EA227C" w:rsidRPr="00985EF1">
        <w:t xml:space="preserve"> </w:t>
      </w:r>
      <w:r w:rsidR="00EA227C">
        <w:t xml:space="preserve">parmi lesquelles </w:t>
      </w:r>
      <w:r w:rsidR="00EA227C" w:rsidRPr="00985EF1">
        <w:t xml:space="preserve">les Lignes directrices </w:t>
      </w:r>
      <w:r>
        <w:rPr>
          <w:rFonts w:eastAsia="MS Mincho"/>
        </w:rPr>
        <w:t>n</w:t>
      </w:r>
      <w:r>
        <w:rPr>
          <w:rFonts w:eastAsia="MS Mincho"/>
          <w:vertAlign w:val="superscript"/>
        </w:rPr>
        <w:t>o</w:t>
      </w:r>
      <w:r>
        <w:t> </w:t>
      </w:r>
      <w:r w:rsidR="00EA227C" w:rsidRPr="00985EF1">
        <w:t>122</w:t>
      </w:r>
      <w:r w:rsidR="00EA227C">
        <w:t xml:space="preserve"> </w:t>
      </w:r>
      <w:r w:rsidR="00EA227C" w:rsidRPr="003E5CDC">
        <w:t>de l</w:t>
      </w:r>
      <w:r w:rsidR="00EA227C">
        <w:t>’</w:t>
      </w:r>
      <w:r w:rsidR="00EA227C" w:rsidRPr="003E5CDC">
        <w:t>OCDE</w:t>
      </w:r>
      <w:r w:rsidR="00EA227C" w:rsidRPr="00985EF1">
        <w:t>.</w:t>
      </w:r>
      <w:r>
        <w:t> »</w:t>
      </w:r>
      <w:r w:rsidR="00EA227C">
        <w:t>.</w:t>
      </w:r>
    </w:p>
    <w:p w:rsidR="00EA227C" w:rsidRPr="00985EF1" w:rsidRDefault="00EA227C" w:rsidP="007056F9">
      <w:pPr>
        <w:pStyle w:val="SingleTxtG"/>
        <w:tabs>
          <w:tab w:val="left" w:pos="1843"/>
          <w:tab w:val="left" w:pos="5812"/>
        </w:tabs>
        <w:spacing w:after="100"/>
      </w:pPr>
      <w:r w:rsidRPr="00985EF1">
        <w:t>3.2.2.6</w:t>
      </w:r>
      <w:r w:rsidRPr="00985EF1">
        <w:tab/>
        <w:t>Ajouter le nouveau sous-titre suivant</w:t>
      </w:r>
      <w:r w:rsidR="00525BCC">
        <w:t> :</w:t>
      </w:r>
      <w:r w:rsidRPr="00985EF1">
        <w:t xml:space="preserve"> </w:t>
      </w:r>
      <w:r w:rsidR="007056F9">
        <w:t>« 3.2.2.6</w:t>
      </w:r>
      <w:r w:rsidR="007056F9">
        <w:tab/>
      </w:r>
      <w:r w:rsidRPr="00985EF1">
        <w:t>Cla</w:t>
      </w:r>
      <w:r>
        <w:t>ssification basée</w:t>
      </w:r>
      <w:r w:rsidRPr="00985EF1">
        <w:t xml:space="preserve"> sur des méthodes non fondées sur des essais</w:t>
      </w:r>
      <w:r w:rsidR="00DC2995">
        <w:t> »</w:t>
      </w:r>
      <w:r>
        <w:t>.</w:t>
      </w:r>
    </w:p>
    <w:p w:rsidR="00EA227C" w:rsidRPr="00985EF1" w:rsidRDefault="00EA227C" w:rsidP="00DC2995">
      <w:pPr>
        <w:pStyle w:val="SingleTxtG"/>
        <w:keepNext/>
      </w:pPr>
      <w:r w:rsidRPr="00AE6BF9">
        <w:t>Ajouter</w:t>
      </w:r>
      <w:r w:rsidRPr="00985EF1">
        <w:t xml:space="preserve"> les nouveaux paragraphes suivants</w:t>
      </w:r>
      <w:r w:rsidR="00525BCC">
        <w:t> :</w:t>
      </w:r>
    </w:p>
    <w:p w:rsidR="00EA227C" w:rsidRPr="00B7329F" w:rsidRDefault="00DC2995" w:rsidP="008565D3">
      <w:pPr>
        <w:pStyle w:val="SingleTxtG"/>
        <w:ind w:left="2268" w:hanging="1134"/>
      </w:pPr>
      <w:r>
        <w:t>« </w:t>
      </w:r>
      <w:r w:rsidR="00EA227C" w:rsidRPr="00985EF1">
        <w:t>3.2.2.6.1</w:t>
      </w:r>
      <w:r w:rsidR="00EA227C" w:rsidRPr="00985EF1">
        <w:tab/>
        <w:t>Le classement, y compris l</w:t>
      </w:r>
      <w:r w:rsidR="00EA227C">
        <w:t>’</w:t>
      </w:r>
      <w:r w:rsidR="00EA227C" w:rsidRPr="00985EF1">
        <w:t>absence de classement, peut reposer sur des méthodes non fondées sur des essais</w:t>
      </w:r>
      <w:r w:rsidR="00EA227C" w:rsidRPr="00245F51">
        <w:t xml:space="preserve"> </w:t>
      </w:r>
      <w:r w:rsidR="00EA227C">
        <w:t>appliquées au cas par cas</w:t>
      </w:r>
      <w:r w:rsidR="00EA227C" w:rsidRPr="00985EF1">
        <w:t>, compte dûment tenu de la fiabilité et de l</w:t>
      </w:r>
      <w:r w:rsidR="00EA227C">
        <w:t>’</w:t>
      </w:r>
      <w:r w:rsidR="00EA227C" w:rsidRPr="00985EF1">
        <w:t xml:space="preserve">applicabilité. Ces méthodes </w:t>
      </w:r>
      <w:r w:rsidR="00EA227C">
        <w:t>comprennent</w:t>
      </w:r>
      <w:r w:rsidR="00EA227C" w:rsidRPr="00985EF1">
        <w:t xml:space="preserve"> </w:t>
      </w:r>
      <w:r w:rsidR="00EA227C">
        <w:t>l</w:t>
      </w:r>
      <w:r w:rsidR="00EA227C" w:rsidRPr="00985EF1">
        <w:t xml:space="preserve">es modèles informatisés </w:t>
      </w:r>
      <w:r w:rsidR="00EA227C">
        <w:t xml:space="preserve">estimant les relations qualitatives structure-activité </w:t>
      </w:r>
      <w:r w:rsidR="00EA227C" w:rsidRPr="00B7329F">
        <w:t>(</w:t>
      </w:r>
      <w:r w:rsidR="00EA227C">
        <w:t>alertes structurelles</w:t>
      </w:r>
      <w:r w:rsidR="00EA227C" w:rsidRPr="00B7329F">
        <w:t xml:space="preserve">, SAR) </w:t>
      </w:r>
      <w:r w:rsidR="00EA227C">
        <w:t xml:space="preserve">ou </w:t>
      </w:r>
      <w:r w:rsidR="00EA227C" w:rsidRPr="00B7329F">
        <w:t>les relations quantitatives structure-activité (QSAR)</w:t>
      </w:r>
      <w:r w:rsidR="00EA227C">
        <w:t>,</w:t>
      </w:r>
      <w:r w:rsidR="00EA227C" w:rsidRPr="00B7329F">
        <w:t xml:space="preserve"> </w:t>
      </w:r>
      <w:r w:rsidR="00EA227C">
        <w:t>les systèmes informatiques experts et la lecture croisée par analogie ou par catégorie</w:t>
      </w:r>
      <w:r w:rsidR="00EA227C" w:rsidRPr="00B7329F">
        <w:t xml:space="preserve">. </w:t>
      </w:r>
    </w:p>
    <w:p w:rsidR="00EA227C" w:rsidRPr="00651EA3" w:rsidRDefault="00EA227C" w:rsidP="008565D3">
      <w:pPr>
        <w:pStyle w:val="SingleTxtG"/>
        <w:ind w:left="2268" w:hanging="1134"/>
      </w:pPr>
      <w:r w:rsidRPr="00E60E35">
        <w:t>3.2.2.6.2</w:t>
      </w:r>
      <w:r>
        <w:tab/>
      </w:r>
      <w:r w:rsidRPr="00E60E35">
        <w:tab/>
        <w:t xml:space="preserve">La méthode de lecture croisée </w:t>
      </w:r>
      <w:r>
        <w:t xml:space="preserve">par </w:t>
      </w:r>
      <w:r w:rsidRPr="00E60E35">
        <w:t>analogie ou par catégorie doit pouvoir reposer sur suffisamment de données d</w:t>
      </w:r>
      <w:r>
        <w:t xml:space="preserve">’essai </w:t>
      </w:r>
      <w:r w:rsidRPr="00E60E35">
        <w:t xml:space="preserve">fiables </w:t>
      </w:r>
      <w:r>
        <w:t xml:space="preserve">pour une (des) substance(s) similaire(s) et justifier de la similarité de la (des) substance(s) testée(s) et de la (des) substance(s) à classer. </w:t>
      </w:r>
      <w:r w:rsidRPr="00651EA3">
        <w:t>Lorsqu</w:t>
      </w:r>
      <w:r>
        <w:t>’</w:t>
      </w:r>
      <w:r w:rsidRPr="00651EA3">
        <w:t xml:space="preserve">une justification </w:t>
      </w:r>
      <w:r>
        <w:t xml:space="preserve">valable </w:t>
      </w:r>
      <w:r w:rsidRPr="00651EA3">
        <w:t xml:space="preserve">de la méthode de lecture croisée est fournie, elle a souvent </w:t>
      </w:r>
      <w:r>
        <w:t>un poids</w:t>
      </w:r>
      <w:r w:rsidRPr="00651EA3">
        <w:t xml:space="preserve"> supérieur </w:t>
      </w:r>
      <w:r>
        <w:t xml:space="preserve">par rapport </w:t>
      </w:r>
      <w:r w:rsidRPr="00651EA3">
        <w:t xml:space="preserve">aux </w:t>
      </w:r>
      <w:r>
        <w:t xml:space="preserve">méthodes </w:t>
      </w:r>
      <w:r w:rsidRPr="00651EA3">
        <w:t>(Q)SAR</w:t>
      </w:r>
      <w:r>
        <w:t>.</w:t>
      </w:r>
      <w:r w:rsidRPr="00651EA3">
        <w:t xml:space="preserve"> </w:t>
      </w:r>
    </w:p>
    <w:p w:rsidR="00EA227C" w:rsidRPr="00BE4355" w:rsidRDefault="00EA227C" w:rsidP="008565D3">
      <w:pPr>
        <w:pStyle w:val="SingleTxtG"/>
        <w:ind w:left="2268" w:hanging="1134"/>
      </w:pPr>
      <w:r w:rsidRPr="00651EA3">
        <w:t>3.2.2.6.3</w:t>
      </w:r>
      <w:r>
        <w:tab/>
      </w:r>
      <w:r w:rsidRPr="00651EA3">
        <w:tab/>
      </w:r>
      <w:r>
        <w:t>La classification</w:t>
      </w:r>
      <w:r w:rsidRPr="00651EA3">
        <w:t xml:space="preserve"> basé</w:t>
      </w:r>
      <w:r>
        <w:t>e</w:t>
      </w:r>
      <w:r w:rsidRPr="00651EA3">
        <w:t xml:space="preserve"> sur les </w:t>
      </w:r>
      <w:r>
        <w:t xml:space="preserve">méthodes </w:t>
      </w:r>
      <w:r w:rsidRPr="00651EA3">
        <w:t xml:space="preserve">(Q)SAR requiert des données suffisantes et la validation du modèle. </w:t>
      </w:r>
      <w:r w:rsidRPr="00BE4355">
        <w:t xml:space="preserve">La validité des modèles informatiques et </w:t>
      </w:r>
      <w:r>
        <w:t xml:space="preserve">de </w:t>
      </w:r>
      <w:r w:rsidRPr="00BE4355">
        <w:t>la prévision devrait être évalué</w:t>
      </w:r>
      <w:r>
        <w:t>e</w:t>
      </w:r>
      <w:r w:rsidRPr="00BE4355">
        <w:t xml:space="preserve"> sur la base des principes de validation des (Q)SAR</w:t>
      </w:r>
      <w:r>
        <w:t xml:space="preserve"> internationalement reconnus</w:t>
      </w:r>
      <w:r w:rsidRPr="00BE4355">
        <w:t>. S</w:t>
      </w:r>
      <w:r>
        <w:t>’</w:t>
      </w:r>
      <w:r w:rsidRPr="00BE4355">
        <w:t>agissant de la fiabilité, l</w:t>
      </w:r>
      <w:r>
        <w:t>’</w:t>
      </w:r>
      <w:r w:rsidRPr="00BE4355">
        <w:t>absence d</w:t>
      </w:r>
      <w:r>
        <w:t>’</w:t>
      </w:r>
      <w:r w:rsidRPr="00BE4355">
        <w:t xml:space="preserve">alertes dans un </w:t>
      </w:r>
      <w:r>
        <w:t xml:space="preserve">modèle </w:t>
      </w:r>
      <w:r w:rsidRPr="00BE4355">
        <w:t xml:space="preserve">SAR ou dans un système expert </w:t>
      </w:r>
      <w:r>
        <w:t>ne suffit pas à justifier l’absence de classement</w:t>
      </w:r>
      <w:r w:rsidRPr="00BE4355">
        <w:t>.</w:t>
      </w:r>
      <w:r w:rsidR="00DC2995">
        <w:t> »</w:t>
      </w:r>
      <w:r>
        <w:t>.</w:t>
      </w:r>
    </w:p>
    <w:p w:rsidR="00EA227C" w:rsidRPr="00E73F2E" w:rsidRDefault="00EA227C" w:rsidP="007056F9">
      <w:pPr>
        <w:pStyle w:val="SingleTxtG"/>
        <w:tabs>
          <w:tab w:val="left" w:pos="1843"/>
          <w:tab w:val="left" w:pos="5812"/>
        </w:tabs>
        <w:spacing w:after="100"/>
      </w:pPr>
      <w:r w:rsidRPr="00E73F2E">
        <w:t>3.2.2.7</w:t>
      </w:r>
      <w:r w:rsidRPr="00E73F2E">
        <w:tab/>
        <w:t>Le 3.2.2.2</w:t>
      </w:r>
      <w:r>
        <w:t>,</w:t>
      </w:r>
      <w:r w:rsidRPr="00E73F2E">
        <w:t xml:space="preserve"> </w:t>
      </w:r>
      <w:r w:rsidR="00DC2995">
        <w:t>« </w:t>
      </w:r>
      <w:r w:rsidRPr="00E73F2E">
        <w:t>Classification par étapes</w:t>
      </w:r>
      <w:r w:rsidR="00DC2995">
        <w:t> »</w:t>
      </w:r>
      <w:r>
        <w:t>,</w:t>
      </w:r>
      <w:r w:rsidRPr="00E73F2E">
        <w:t xml:space="preserve"> devient le 3.2.2.7.</w:t>
      </w:r>
    </w:p>
    <w:p w:rsidR="00EA227C" w:rsidRPr="00E73F2E" w:rsidRDefault="00EA227C" w:rsidP="00DC2995">
      <w:pPr>
        <w:pStyle w:val="SingleTxtG"/>
        <w:keepNext/>
      </w:pPr>
      <w:r w:rsidRPr="00E73F2E">
        <w:t>Renuméroter le paragraphe 3.2.2.2.1 et modifier le texte comme suit</w:t>
      </w:r>
      <w:r w:rsidR="00525BCC">
        <w:t> :</w:t>
      </w:r>
    </w:p>
    <w:p w:rsidR="00EA227C" w:rsidRPr="00E73F2E" w:rsidRDefault="00DC2995" w:rsidP="003B31E3">
      <w:pPr>
        <w:pStyle w:val="SingleTxtG"/>
        <w:ind w:left="2268" w:hanging="1134"/>
      </w:pPr>
      <w:r>
        <w:t>« </w:t>
      </w:r>
      <w:r w:rsidR="00EA227C" w:rsidRPr="00E73F2E">
        <w:t>3.2.2.7.1</w:t>
      </w:r>
      <w:r w:rsidR="00EA227C" w:rsidRPr="00E73F2E">
        <w:tab/>
        <w:t xml:space="preserve">Une évaluation des données initiales par étapes (voir </w:t>
      </w:r>
      <w:r w:rsidR="00EA227C">
        <w:t>la f</w:t>
      </w:r>
      <w:r w:rsidR="00EA227C" w:rsidRPr="00E73F2E">
        <w:t>igure</w:t>
      </w:r>
      <w:r>
        <w:t> </w:t>
      </w:r>
      <w:r w:rsidR="00EA227C" w:rsidRPr="00E73F2E">
        <w:t xml:space="preserve">3.2.1) peut être conduite, </w:t>
      </w:r>
      <w:r w:rsidR="00EA227C">
        <w:t>sous réserve d’applicabilité</w:t>
      </w:r>
      <w:r w:rsidR="00EA227C" w:rsidRPr="00E73F2E">
        <w:t xml:space="preserve">, </w:t>
      </w:r>
      <w:r w:rsidR="00EA227C">
        <w:t xml:space="preserve">sachant </w:t>
      </w:r>
      <w:r w:rsidR="00EA227C" w:rsidRPr="00E73F2E">
        <w:t>que tous les éléments d</w:t>
      </w:r>
      <w:r w:rsidR="00EA227C">
        <w:t>’</w:t>
      </w:r>
      <w:r w:rsidR="00EA227C" w:rsidRPr="00E73F2E">
        <w:t>information ne sont pas forcément pertinents. Cependant, toutes les informations disponibles</w:t>
      </w:r>
      <w:r w:rsidR="00EA227C">
        <w:t>,</w:t>
      </w:r>
      <w:r w:rsidR="00EA227C" w:rsidRPr="00E73F2E">
        <w:t xml:space="preserve"> utiles </w:t>
      </w:r>
      <w:r w:rsidR="00EA227C">
        <w:t xml:space="preserve">et </w:t>
      </w:r>
      <w:r w:rsidR="00EA227C" w:rsidRPr="00E73F2E">
        <w:t>d</w:t>
      </w:r>
      <w:r w:rsidR="00EA227C">
        <w:t>’</w:t>
      </w:r>
      <w:r w:rsidR="00EA227C" w:rsidRPr="00E73F2E">
        <w:t xml:space="preserve">une qualité suffisante doivent </w:t>
      </w:r>
      <w:r w:rsidR="00EA227C">
        <w:t>être examinées pour s’assurer de leur cohérence avec la classification établie</w:t>
      </w:r>
      <w:r>
        <w:t>. »</w:t>
      </w:r>
      <w:r w:rsidR="00EA227C" w:rsidRPr="00E73F2E">
        <w:t>.</w:t>
      </w:r>
    </w:p>
    <w:p w:rsidR="00EA227C" w:rsidRPr="00EB07FB" w:rsidRDefault="00EA227C" w:rsidP="00DC2995">
      <w:pPr>
        <w:pStyle w:val="SingleTxtG"/>
        <w:keepNext/>
      </w:pPr>
      <w:r w:rsidRPr="00EB07FB">
        <w:lastRenderedPageBreak/>
        <w:t>Supprimer les paragraphe</w:t>
      </w:r>
      <w:r>
        <w:t>s</w:t>
      </w:r>
      <w:r w:rsidRPr="00EB07FB">
        <w:t xml:space="preserve"> 3.2.2.2.2 à 3.2.2.2.7 et ajouter les nouveaux paragraphes suivants avec la numérotation indiquée</w:t>
      </w:r>
      <w:r w:rsidR="00525BCC">
        <w:t> :</w:t>
      </w:r>
    </w:p>
    <w:p w:rsidR="00EA227C" w:rsidRPr="00EB07FB" w:rsidRDefault="00DC2995" w:rsidP="003B31E3">
      <w:pPr>
        <w:pStyle w:val="SingleTxtG"/>
        <w:ind w:left="2268" w:hanging="1134"/>
      </w:pPr>
      <w:r>
        <w:t>« </w:t>
      </w:r>
      <w:r w:rsidR="00EA227C" w:rsidRPr="00EB07FB">
        <w:t>3.2.2.7.2</w:t>
      </w:r>
      <w:r w:rsidR="00EA227C" w:rsidRPr="00EB07FB">
        <w:tab/>
        <w:t>Dans la méthode par étapes (</w:t>
      </w:r>
      <w:r w:rsidR="00EA227C">
        <w:t>f</w:t>
      </w:r>
      <w:r w:rsidR="00EA227C" w:rsidRPr="00EB07FB">
        <w:t>ig</w:t>
      </w:r>
      <w:r>
        <w:t>. </w:t>
      </w:r>
      <w:r w:rsidR="00EA227C" w:rsidRPr="00EB07FB">
        <w:t xml:space="preserve">3.2.1), les données </w:t>
      </w:r>
      <w:r w:rsidR="00EA227C" w:rsidRPr="0036374C">
        <w:t xml:space="preserve">existantes </w:t>
      </w:r>
      <w:r w:rsidR="00EA227C">
        <w:t xml:space="preserve">obtenues sur l’homme ou sur les animaux </w:t>
      </w:r>
      <w:r w:rsidR="00EA227C" w:rsidRPr="00EB07FB">
        <w:t xml:space="preserve">constituent </w:t>
      </w:r>
      <w:r w:rsidR="00EA227C">
        <w:t xml:space="preserve">l’étape supérieure, suivies par les données </w:t>
      </w:r>
      <w:r w:rsidR="00EA227C" w:rsidRPr="00EB07FB">
        <w:rPr>
          <w:i/>
        </w:rPr>
        <w:t>in vitro/ex vivo</w:t>
      </w:r>
      <w:r w:rsidR="00EA227C" w:rsidRPr="00EB07FB">
        <w:t xml:space="preserve">, </w:t>
      </w:r>
      <w:r w:rsidR="00EA227C">
        <w:t xml:space="preserve">par les </w:t>
      </w:r>
      <w:r w:rsidR="00EA227C" w:rsidRPr="00985EF1">
        <w:t xml:space="preserve">autres données </w:t>
      </w:r>
      <w:r w:rsidR="00EA227C" w:rsidRPr="0036374C">
        <w:t xml:space="preserve">existantes </w:t>
      </w:r>
      <w:r w:rsidR="00EA227C">
        <w:t xml:space="preserve">sur des effets </w:t>
      </w:r>
      <w:r w:rsidR="00EA227C" w:rsidRPr="00985EF1">
        <w:t>cutanés sur animaux</w:t>
      </w:r>
      <w:r w:rsidR="00EA227C">
        <w:t xml:space="preserve"> disponibles, puis par d’autres sources d’information. </w:t>
      </w:r>
      <w:r w:rsidR="00EA227C" w:rsidRPr="00EB07FB">
        <w:t xml:space="preserve">Lorsque les informations provenant des données </w:t>
      </w:r>
      <w:r w:rsidR="00EA227C">
        <w:t>réunies dans la</w:t>
      </w:r>
      <w:r w:rsidR="00EA227C" w:rsidRPr="00EB07FB">
        <w:t xml:space="preserve"> même étape sont incohérentes ou contradictoires, la conclusion </w:t>
      </w:r>
      <w:r w:rsidR="00EA227C">
        <w:t>pour cette étape est déterminée par une méthode fondée sur la force probante des données</w:t>
      </w:r>
      <w:r w:rsidR="00EA227C" w:rsidRPr="00EB07FB">
        <w:t>.</w:t>
      </w:r>
    </w:p>
    <w:p w:rsidR="00EA227C" w:rsidRPr="00D16266" w:rsidRDefault="00EA227C" w:rsidP="003B31E3">
      <w:pPr>
        <w:pStyle w:val="SingleTxtG"/>
        <w:ind w:left="2268" w:hanging="1134"/>
      </w:pPr>
      <w:r w:rsidRPr="001F1D52">
        <w:t>3.2.2.7.3</w:t>
      </w:r>
      <w:r w:rsidRPr="001F1D52">
        <w:tab/>
        <w:t xml:space="preserve">Lorsque les informations provenant de plusieurs étapes sont incohérentes ou contradictoires au regard de la classification établie, </w:t>
      </w:r>
      <w:r>
        <w:t xml:space="preserve">les </w:t>
      </w:r>
      <w:r w:rsidRPr="001F1D52">
        <w:t>information</w:t>
      </w:r>
      <w:r>
        <w:t xml:space="preserve">s de qualité suffisante d’une étape supérieure ont généralement un poids supérieur par rapport aux informations provenant d’une étape inférieure. </w:t>
      </w:r>
      <w:r w:rsidRPr="00BD69B9">
        <w:t xml:space="preserve">Cependant, lorsque les informations </w:t>
      </w:r>
      <w:r>
        <w:t>d’une étape</w:t>
      </w:r>
      <w:r w:rsidRPr="00BD69B9">
        <w:t xml:space="preserve"> inférieur</w:t>
      </w:r>
      <w:r>
        <w:t>e</w:t>
      </w:r>
      <w:r w:rsidRPr="00BD69B9">
        <w:t xml:space="preserve"> aboutiraient à une classification plus s</w:t>
      </w:r>
      <w:r>
        <w:t xml:space="preserve">tricte que les informations d’une étape </w:t>
      </w:r>
      <w:r w:rsidRPr="00BD69B9">
        <w:t>supérieur</w:t>
      </w:r>
      <w:r>
        <w:t>e</w:t>
      </w:r>
      <w:r w:rsidRPr="00BD69B9">
        <w:t xml:space="preserve">, </w:t>
      </w:r>
      <w:r>
        <w:t>et qu’il y a un risque de classification incorrecte, le classement est alors déterminé par une méthode globale fondée sur la force probante des données.</w:t>
      </w:r>
      <w:r w:rsidRPr="00BD69B9">
        <w:t xml:space="preserve"> </w:t>
      </w:r>
      <w:r w:rsidRPr="00D16266">
        <w:t xml:space="preserve">Par exemple, après avoir consulté les </w:t>
      </w:r>
      <w:r>
        <w:t xml:space="preserve">instructions </w:t>
      </w:r>
      <w:r w:rsidRPr="00D16266">
        <w:t xml:space="preserve">du 3.2.5.3 </w:t>
      </w:r>
      <w:r>
        <w:t>comme il convient</w:t>
      </w:r>
      <w:r w:rsidRPr="00D16266">
        <w:t xml:space="preserve">, les </w:t>
      </w:r>
      <w:r>
        <w:t>responsables de la classification,</w:t>
      </w:r>
      <w:r w:rsidRPr="00D16266">
        <w:t xml:space="preserve"> </w:t>
      </w:r>
      <w:r>
        <w:t>préoccupés par le</w:t>
      </w:r>
      <w:r w:rsidRPr="00D16266">
        <w:t xml:space="preserve"> résultat négatif obtenu pour la corrosion cutanée dans une étude </w:t>
      </w:r>
      <w:r w:rsidRPr="00FD665E">
        <w:rPr>
          <w:i/>
        </w:rPr>
        <w:t xml:space="preserve">in vitro/ex vivo </w:t>
      </w:r>
      <w:r>
        <w:t xml:space="preserve">alors que le résultat était positif pour la corrosion cutanée en utilisant </w:t>
      </w:r>
      <w:r w:rsidRPr="00985EF1">
        <w:t>d</w:t>
      </w:r>
      <w:r>
        <w:t>’</w:t>
      </w:r>
      <w:r w:rsidRPr="00985EF1">
        <w:t xml:space="preserve">autres données </w:t>
      </w:r>
      <w:r>
        <w:t xml:space="preserve">existantes sur des effets </w:t>
      </w:r>
      <w:r w:rsidRPr="00985EF1">
        <w:t>cutanées sur animaux</w:t>
      </w:r>
      <w:r>
        <w:t xml:space="preserve">, utiliseraient une méthode globale fondée sur la force probante des données. </w:t>
      </w:r>
      <w:r w:rsidRPr="00D16266">
        <w:t xml:space="preserve">Il en irait de même lorsque des données </w:t>
      </w:r>
      <w:r>
        <w:t>obtenues sur l’homme</w:t>
      </w:r>
      <w:r w:rsidRPr="00D16266">
        <w:t xml:space="preserve"> feraient état d</w:t>
      </w:r>
      <w:r>
        <w:t>’</w:t>
      </w:r>
      <w:r w:rsidRPr="00D16266">
        <w:t>une irritation</w:t>
      </w:r>
      <w:r>
        <w:t>,</w:t>
      </w:r>
      <w:r w:rsidRPr="00D16266">
        <w:t xml:space="preserve"> mais que les épreuves </w:t>
      </w:r>
      <w:r w:rsidRPr="0036374C">
        <w:rPr>
          <w:i/>
        </w:rPr>
        <w:t>in</w:t>
      </w:r>
      <w:r w:rsidR="007056F9">
        <w:rPr>
          <w:i/>
        </w:rPr>
        <w:t> </w:t>
      </w:r>
      <w:r w:rsidRPr="0036374C">
        <w:rPr>
          <w:i/>
        </w:rPr>
        <w:t>vitro/ex vivo</w:t>
      </w:r>
      <w:r w:rsidRPr="00D16266">
        <w:t xml:space="preserve"> </w:t>
      </w:r>
      <w:r>
        <w:t xml:space="preserve">donneraient des résultats positifs </w:t>
      </w:r>
      <w:r w:rsidRPr="0036374C">
        <w:t>pour la corrosion</w:t>
      </w:r>
      <w:r w:rsidRPr="00D16266">
        <w:t>.</w:t>
      </w:r>
      <w:r w:rsidR="00DC2995">
        <w:t> »</w:t>
      </w:r>
      <w:r>
        <w:t>.</w:t>
      </w:r>
    </w:p>
    <w:p w:rsidR="00EA227C" w:rsidRPr="007312C2" w:rsidRDefault="00EA227C" w:rsidP="00620449">
      <w:pPr>
        <w:pStyle w:val="SingleTxtG"/>
      </w:pPr>
      <w:r w:rsidRPr="007312C2">
        <w:t xml:space="preserve">Modifier le titre de la </w:t>
      </w:r>
      <w:r>
        <w:t>f</w:t>
      </w:r>
      <w:r w:rsidRPr="007312C2">
        <w:t>igure 3.2.1 comme suit</w:t>
      </w:r>
      <w:r w:rsidR="00525BCC">
        <w:t> :</w:t>
      </w:r>
      <w:r w:rsidRPr="007312C2">
        <w:t xml:space="preserve"> </w:t>
      </w:r>
      <w:r w:rsidR="00F8473A">
        <w:t>« </w:t>
      </w:r>
      <w:r w:rsidRPr="007312C2">
        <w:t>Figure 3.2.1</w:t>
      </w:r>
      <w:r w:rsidR="00F8473A">
        <w:tab/>
      </w:r>
      <w:r w:rsidRPr="007312C2">
        <w:t xml:space="preserve">Application </w:t>
      </w:r>
      <w:r>
        <w:t>de la méthode par étapes pour la corrosion et l’irritation cutanées</w:t>
      </w:r>
      <w:r w:rsidRPr="007056F9">
        <w:rPr>
          <w:vertAlign w:val="superscript"/>
        </w:rPr>
        <w:t>a)</w:t>
      </w:r>
      <w:r w:rsidR="00F8473A">
        <w:t> »</w:t>
      </w:r>
      <w:r>
        <w:t>.</w:t>
      </w:r>
    </w:p>
    <w:p w:rsidR="00EA227C" w:rsidRDefault="00EA227C" w:rsidP="00247A59">
      <w:pPr>
        <w:pStyle w:val="SingleTxtG"/>
      </w:pPr>
      <w:r w:rsidRPr="007312C2">
        <w:rPr>
          <w:szCs w:val="24"/>
        </w:rPr>
        <w:br w:type="page"/>
      </w:r>
      <w:r w:rsidRPr="007312C2">
        <w:lastRenderedPageBreak/>
        <w:t xml:space="preserve">Ajouter la nouvelle </w:t>
      </w:r>
      <w:r>
        <w:t>f</w:t>
      </w:r>
      <w:r w:rsidRPr="007312C2">
        <w:t xml:space="preserve">igure 3.2.1 et les notes correspondantes comme </w:t>
      </w:r>
      <w:r w:rsidR="00247A59">
        <w:t>suit</w:t>
      </w:r>
      <w:r w:rsidR="00525BCC">
        <w:t> :</w:t>
      </w:r>
    </w:p>
    <w:p w:rsidR="00FC26FA" w:rsidRDefault="00E76B56" w:rsidP="00E76B56">
      <w:pPr>
        <w:pStyle w:val="SingleTxtG"/>
        <w:ind w:right="0"/>
      </w:pPr>
      <w:r>
        <w:rPr>
          <w:noProof/>
          <w:lang w:eastAsia="fr-CH"/>
        </w:rPr>
        <w:drawing>
          <wp:inline distT="0" distB="0" distL="0" distR="0" wp14:anchorId="28B39536" wp14:editId="0C70135C">
            <wp:extent cx="5400000" cy="657360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6573600"/>
                    </a:xfrm>
                    <a:prstGeom prst="rect">
                      <a:avLst/>
                    </a:prstGeom>
                    <a:noFill/>
                  </pic:spPr>
                </pic:pic>
              </a:graphicData>
            </a:graphic>
          </wp:inline>
        </w:drawing>
      </w:r>
    </w:p>
    <w:p w:rsidR="00EA227C" w:rsidRPr="00C3211F" w:rsidRDefault="00EA227C" w:rsidP="00EF7F04">
      <w:pPr>
        <w:pStyle w:val="SingleTxtG"/>
        <w:keepNext/>
        <w:spacing w:before="240"/>
      </w:pPr>
      <w:r w:rsidRPr="00C3211F">
        <w:t xml:space="preserve">Remplacer comme suit le texte des notes a) </w:t>
      </w:r>
      <w:r>
        <w:t>et</w:t>
      </w:r>
      <w:r w:rsidRPr="00C3211F">
        <w:t xml:space="preserve"> b)</w:t>
      </w:r>
      <w:r w:rsidR="00525BCC">
        <w:t> :</w:t>
      </w:r>
    </w:p>
    <w:p w:rsidR="00C22018" w:rsidRDefault="00C22018" w:rsidP="00C22018">
      <w:pPr>
        <w:pStyle w:val="SingleTxtG"/>
        <w:ind w:firstLine="567"/>
      </w:pPr>
      <w:r>
        <w:t>« </w:t>
      </w:r>
      <w:r w:rsidR="00EA227C" w:rsidRPr="002876BC">
        <w:t>a)</w:t>
      </w:r>
      <w:r w:rsidR="00EA227C" w:rsidRPr="002876BC">
        <w:tab/>
        <w:t xml:space="preserve">Il convient de prendre connaissance du texte explicatif du 3.2.2.7 ainsi que des </w:t>
      </w:r>
      <w:r w:rsidR="00EA227C">
        <w:t>instructions</w:t>
      </w:r>
      <w:r w:rsidR="00EA227C" w:rsidRPr="002876BC">
        <w:t xml:space="preserve"> du 3.2.5.3 </w:t>
      </w:r>
      <w:r w:rsidR="00EA227C">
        <w:t>avant d’appliquer la méthode</w:t>
      </w:r>
      <w:r w:rsidR="00EA227C" w:rsidRPr="002876BC">
        <w:t>. Seules des données fiables</w:t>
      </w:r>
      <w:r w:rsidR="00EA227C">
        <w:t>,</w:t>
      </w:r>
      <w:r w:rsidR="00EA227C" w:rsidRPr="002876BC">
        <w:t xml:space="preserve"> adéquates </w:t>
      </w:r>
      <w:r w:rsidR="00EA227C">
        <w:t xml:space="preserve">et </w:t>
      </w:r>
      <w:r w:rsidR="00EA227C" w:rsidRPr="002876BC">
        <w:t>d</w:t>
      </w:r>
      <w:r w:rsidR="00EA227C">
        <w:t>’</w:t>
      </w:r>
      <w:r w:rsidR="00EA227C" w:rsidRPr="002876BC">
        <w:t>une qualité suffisante devraient être prises en compte dans le cadre de la méthode par étapes</w:t>
      </w:r>
      <w:r w:rsidR="00525BCC">
        <w:t> ;</w:t>
      </w:r>
    </w:p>
    <w:p w:rsidR="00EA227C" w:rsidRPr="002876BC" w:rsidRDefault="00EA227C" w:rsidP="00C22018">
      <w:pPr>
        <w:pStyle w:val="SingleTxtG"/>
        <w:keepNext/>
        <w:ind w:firstLine="567"/>
      </w:pPr>
      <w:r w:rsidRPr="002876BC">
        <w:t>b)</w:t>
      </w:r>
      <w:r w:rsidRPr="002876BC">
        <w:tab/>
        <w:t xml:space="preserve">Les informations peuvent être non concluantes pour différentes raisons, </w:t>
      </w:r>
      <w:r>
        <w:t>notamment</w:t>
      </w:r>
      <w:r w:rsidR="00525BCC">
        <w:t> :</w:t>
      </w:r>
    </w:p>
    <w:p w:rsidR="00EA227C" w:rsidRPr="002876BC" w:rsidRDefault="00EA227C" w:rsidP="00C22018">
      <w:pPr>
        <w:pStyle w:val="Bullet1G"/>
      </w:pPr>
      <w:r w:rsidRPr="002876BC">
        <w:t>Les données disponibles peuvent être de qualité insuffisante</w:t>
      </w:r>
      <w:r>
        <w:t>,</w:t>
      </w:r>
      <w:r w:rsidRPr="002876BC">
        <w:t xml:space="preserve"> ou insuffisantes ou inadéquates à d</w:t>
      </w:r>
      <w:r>
        <w:t>’</w:t>
      </w:r>
      <w:r w:rsidRPr="002876BC">
        <w:t xml:space="preserve">autres titres aux fins </w:t>
      </w:r>
      <w:r>
        <w:t>du classement</w:t>
      </w:r>
      <w:r w:rsidRPr="002876BC">
        <w:t xml:space="preserve">, par exemple en raison de problèmes de qualité liés </w:t>
      </w:r>
      <w:r>
        <w:t>à une méthode ou à une communication des données expérimentales</w:t>
      </w:r>
      <w:r w:rsidR="00525BCC">
        <w:t> ;</w:t>
      </w:r>
    </w:p>
    <w:p w:rsidR="00EA227C" w:rsidRPr="00C22018" w:rsidRDefault="00EA227C" w:rsidP="00C22018">
      <w:pPr>
        <w:pStyle w:val="Bullet1G"/>
      </w:pPr>
      <w:r w:rsidRPr="00C22018">
        <w:lastRenderedPageBreak/>
        <w:t>Les données disponibles peuvent être insuffisantes pour parvenir à une conclusion concernant le classement</w:t>
      </w:r>
      <w:r w:rsidR="00525BCC">
        <w:t> ;</w:t>
      </w:r>
      <w:r w:rsidRPr="00C22018">
        <w:t xml:space="preserve"> elles peuvent par exemple convenir pour prouver qu’il y a irritation, mais ne pas être adaptées pour prouver l’absence de corrosivité</w:t>
      </w:r>
      <w:r w:rsidR="00525BCC">
        <w:t> ;</w:t>
      </w:r>
    </w:p>
    <w:p w:rsidR="00EA227C" w:rsidRPr="00C22018" w:rsidRDefault="00EA227C" w:rsidP="00C22018">
      <w:pPr>
        <w:pStyle w:val="Bullet1G"/>
      </w:pPr>
      <w:r w:rsidRPr="00C22018">
        <w:t xml:space="preserve">Si les autorités compétentes utilisent la catégorie 3 (irritation cutanée légère), les données disponibles ne permettront pas toujours d’établir une distinction entre la catégorie 3 et la catégorie 2 ou entre la catégorie 3 et l’absence de </w:t>
      </w:r>
      <w:r w:rsidR="00C22018">
        <w:t>classification</w:t>
      </w:r>
      <w:r w:rsidR="00525BCC">
        <w:t> ;</w:t>
      </w:r>
    </w:p>
    <w:p w:rsidR="00EA227C" w:rsidRPr="00C22018" w:rsidRDefault="00EA227C" w:rsidP="00C22018">
      <w:pPr>
        <w:pStyle w:val="Bullet1G"/>
      </w:pPr>
      <w:r w:rsidRPr="00C22018">
        <w:t>La méthode utilisée pour produire les données disponibles peut ne pas convenir pour conclure à l’absence de classification (voir 3.2.2 et 3.2.5.3 pour plus de détails). Ainsi, les méthodes in vitro/ex vivo et les méthodes non fondées sur des essais doivent être validées explicitement à cette fin</w:t>
      </w:r>
      <w:r w:rsidR="00C22018">
        <w:t>. »</w:t>
      </w:r>
      <w:r w:rsidRPr="00C22018">
        <w:t>.</w:t>
      </w:r>
    </w:p>
    <w:p w:rsidR="00EA227C" w:rsidRPr="005B6FD0" w:rsidRDefault="00EA227C" w:rsidP="00620449">
      <w:pPr>
        <w:pStyle w:val="SingleTxtG"/>
      </w:pPr>
      <w:r w:rsidRPr="005B6FD0">
        <w:t xml:space="preserve">Supprimer les notes c), d), e) et f). </w:t>
      </w:r>
    </w:p>
    <w:p w:rsidR="00EA227C" w:rsidRPr="005B6FD0" w:rsidRDefault="00EF7F04" w:rsidP="00A35B0C">
      <w:pPr>
        <w:pStyle w:val="SingleTxtG"/>
        <w:keepNext/>
        <w:tabs>
          <w:tab w:val="left" w:pos="1843"/>
        </w:tabs>
      </w:pPr>
      <w:r>
        <w:t>3.2.3.1</w:t>
      </w:r>
      <w:r>
        <w:tab/>
      </w:r>
      <w:r w:rsidR="00EA227C" w:rsidRPr="005B6FD0">
        <w:t xml:space="preserve">Remplacer le </w:t>
      </w:r>
      <w:r w:rsidR="00EA227C">
        <w:t xml:space="preserve">texte du </w:t>
      </w:r>
      <w:r w:rsidR="00EA227C" w:rsidRPr="005B6FD0">
        <w:t>paragraphe 3.2.3.1.1 par le texte suivant</w:t>
      </w:r>
      <w:r w:rsidR="00525BCC">
        <w:t> :</w:t>
      </w:r>
    </w:p>
    <w:p w:rsidR="00EA227C" w:rsidRPr="007E6B8B" w:rsidRDefault="00EF7F04" w:rsidP="00EF7F04">
      <w:pPr>
        <w:pStyle w:val="SingleTxtG"/>
        <w:ind w:left="2268" w:hanging="1134"/>
      </w:pPr>
      <w:r>
        <w:t>« </w:t>
      </w:r>
      <w:r w:rsidR="00EA227C" w:rsidRPr="007E6B8B">
        <w:t>3.2.3.1.1</w:t>
      </w:r>
      <w:r w:rsidR="00EA227C" w:rsidRPr="007E6B8B">
        <w:tab/>
      </w:r>
      <w:r w:rsidR="00EA227C">
        <w:t>En général, le</w:t>
      </w:r>
      <w:r w:rsidR="00EA227C" w:rsidRPr="007E6B8B">
        <w:t xml:space="preserve"> mélange doit être classé à l</w:t>
      </w:r>
      <w:r w:rsidR="00EA227C">
        <w:t>’</w:t>
      </w:r>
      <w:r w:rsidR="00EA227C" w:rsidRPr="007E6B8B">
        <w:t>aide des critères applicables aux substances, en prenant en compte l</w:t>
      </w:r>
      <w:r w:rsidR="00EA227C">
        <w:t>’</w:t>
      </w:r>
      <w:r w:rsidR="00EA227C" w:rsidRPr="007E6B8B">
        <w:t>approche par étapes pour l</w:t>
      </w:r>
      <w:r w:rsidR="00EA227C">
        <w:t>’</w:t>
      </w:r>
      <w:r w:rsidR="00EA227C" w:rsidRPr="007E6B8B">
        <w:t>évaluation des données pour cette classe de danger (comme illustré à la figure 3.2.1). S</w:t>
      </w:r>
      <w:r w:rsidR="00EA227C">
        <w:t>’</w:t>
      </w:r>
      <w:r w:rsidR="00EA227C" w:rsidRPr="007E6B8B">
        <w:t>il est impossible d</w:t>
      </w:r>
      <w:r w:rsidR="00EA227C">
        <w:t>’</w:t>
      </w:r>
      <w:r w:rsidR="00EA227C" w:rsidRPr="007E6B8B">
        <w:t>établir une classification en utilisant l</w:t>
      </w:r>
      <w:r w:rsidR="00EA227C">
        <w:t>’</w:t>
      </w:r>
      <w:r w:rsidR="00EA227C" w:rsidRPr="007E6B8B">
        <w:t xml:space="preserve">approche par étapes, appliquer </w:t>
      </w:r>
      <w:r w:rsidR="00EA227C">
        <w:t xml:space="preserve">alors </w:t>
      </w:r>
      <w:r w:rsidR="00EA227C" w:rsidRPr="007E6B8B">
        <w:t>le</w:t>
      </w:r>
      <w:r w:rsidR="00EA227C">
        <w:t>s dispositions du</w:t>
      </w:r>
      <w:r w:rsidR="00EA227C" w:rsidRPr="007E6B8B">
        <w:t xml:space="preserve"> 3.2.3.2 </w:t>
      </w:r>
      <w:r w:rsidR="00EA227C">
        <w:t>ou du</w:t>
      </w:r>
      <w:r w:rsidR="00EA227C" w:rsidRPr="007E6B8B">
        <w:t xml:space="preserve"> 3.2.3.3</w:t>
      </w:r>
      <w:r w:rsidR="00EA227C">
        <w:t>, selon qu’il convient</w:t>
      </w:r>
      <w:r>
        <w:t>. »</w:t>
      </w:r>
      <w:r w:rsidR="00EA227C">
        <w:t>.</w:t>
      </w:r>
    </w:p>
    <w:p w:rsidR="00EA227C" w:rsidRPr="007E6B8B" w:rsidRDefault="00EA227C" w:rsidP="00EF7F04">
      <w:pPr>
        <w:pStyle w:val="SingleTxtG"/>
        <w:keepNext/>
      </w:pPr>
      <w:r>
        <w:t>Remplacer</w:t>
      </w:r>
      <w:r w:rsidRPr="007E6B8B">
        <w:t xml:space="preserve"> le </w:t>
      </w:r>
      <w:r>
        <w:t xml:space="preserve">texte du </w:t>
      </w:r>
      <w:r w:rsidRPr="007E6B8B">
        <w:t>3.2.3.1.2</w:t>
      </w:r>
      <w:r>
        <w:t xml:space="preserve"> par le texte suivant</w:t>
      </w:r>
      <w:r w:rsidR="00525BCC">
        <w:t> :</w:t>
      </w:r>
    </w:p>
    <w:p w:rsidR="00EA227C" w:rsidRPr="00007D83" w:rsidRDefault="00E74265" w:rsidP="00EF7F04">
      <w:pPr>
        <w:pStyle w:val="SingleTxtG"/>
        <w:ind w:left="2268" w:hanging="1134"/>
      </w:pPr>
      <w:r>
        <w:t>« </w:t>
      </w:r>
      <w:r w:rsidR="00EA227C" w:rsidRPr="00312AFB">
        <w:t xml:space="preserve">3.2.3.1.2 </w:t>
      </w:r>
      <w:r w:rsidR="00EA227C" w:rsidRPr="00312AFB">
        <w:tab/>
        <w:t xml:space="preserve">Les données </w:t>
      </w:r>
      <w:r w:rsidR="00EA227C">
        <w:rPr>
          <w:i/>
        </w:rPr>
        <w:t>i</w:t>
      </w:r>
      <w:r w:rsidR="00EA227C" w:rsidRPr="00312AFB">
        <w:rPr>
          <w:i/>
        </w:rPr>
        <w:t>n vitro/ex vivo</w:t>
      </w:r>
      <w:r w:rsidR="00EA227C" w:rsidRPr="00312AFB">
        <w:t xml:space="preserve"> produites à l</w:t>
      </w:r>
      <w:r w:rsidR="00EA227C">
        <w:t>’</w:t>
      </w:r>
      <w:r w:rsidR="00EA227C" w:rsidRPr="00312AFB">
        <w:t>aide de méthodes d</w:t>
      </w:r>
      <w:r w:rsidR="00EA227C">
        <w:t>’</w:t>
      </w:r>
      <w:r w:rsidR="00EA227C" w:rsidRPr="00312AFB">
        <w:t xml:space="preserve">essai validées peuvent ne pas avoir été validées </w:t>
      </w:r>
      <w:r w:rsidR="00EA227C">
        <w:t>en utilisant</w:t>
      </w:r>
      <w:r w:rsidR="00EA227C" w:rsidRPr="00312AFB">
        <w:t xml:space="preserve"> de</w:t>
      </w:r>
      <w:r w:rsidR="00EA227C">
        <w:t>s</w:t>
      </w:r>
      <w:r w:rsidR="00EA227C" w:rsidRPr="00312AFB">
        <w:t xml:space="preserve"> mélanges</w:t>
      </w:r>
      <w:r w:rsidR="00EA227C">
        <w:t>,</w:t>
      </w:r>
      <w:r w:rsidR="00EA227C" w:rsidRPr="00312AFB">
        <w:t xml:space="preserve"> mais sont cependant considérées comme étant </w:t>
      </w:r>
      <w:r w:rsidR="00EA227C">
        <w:t xml:space="preserve">largement </w:t>
      </w:r>
      <w:r w:rsidR="00EA227C" w:rsidRPr="00312AFB">
        <w:t xml:space="preserve">applicables </w:t>
      </w:r>
      <w:r w:rsidR="00EA227C">
        <w:t>à ceux-ci</w:t>
      </w:r>
      <w:r w:rsidR="00EA227C" w:rsidRPr="00312AFB">
        <w:t>.</w:t>
      </w:r>
      <w:r w:rsidR="00EA227C">
        <w:t xml:space="preserve"> </w:t>
      </w:r>
      <w:r w:rsidR="00EA227C" w:rsidRPr="00312AFB">
        <w:t xml:space="preserve">Elles ne peuvent néanmoins être utilisées pour </w:t>
      </w:r>
      <w:r w:rsidR="00EA227C">
        <w:t>le classement</w:t>
      </w:r>
      <w:r w:rsidR="00EA227C" w:rsidRPr="00312AFB">
        <w:t xml:space="preserve"> des mélanges que si tous les ingrédients le</w:t>
      </w:r>
      <w:r w:rsidR="00EA227C">
        <w:t>s</w:t>
      </w:r>
      <w:r w:rsidR="00EA227C" w:rsidRPr="00312AFB">
        <w:t xml:space="preserve"> composant relèvent du domaine d</w:t>
      </w:r>
      <w:r w:rsidR="00EA227C">
        <w:t>’</w:t>
      </w:r>
      <w:r w:rsidR="00EA227C" w:rsidRPr="00312AFB">
        <w:t>applica</w:t>
      </w:r>
      <w:r w:rsidR="00EA227C">
        <w:t>tion</w:t>
      </w:r>
      <w:r w:rsidR="00EA227C" w:rsidRPr="00312AFB">
        <w:t xml:space="preserve"> des méthodes d</w:t>
      </w:r>
      <w:r w:rsidR="00EA227C">
        <w:t>’</w:t>
      </w:r>
      <w:r w:rsidR="00EA227C" w:rsidRPr="00312AFB">
        <w:t xml:space="preserve">essai utilisées. </w:t>
      </w:r>
      <w:r w:rsidR="00EA227C" w:rsidRPr="002C67D6">
        <w:t xml:space="preserve">Des </w:t>
      </w:r>
      <w:r w:rsidR="00EA227C">
        <w:t>restrictions spécifiques aux</w:t>
      </w:r>
      <w:r w:rsidR="00EA227C" w:rsidRPr="002C67D6">
        <w:t xml:space="preserve"> domaines d</w:t>
      </w:r>
      <w:r w:rsidR="00EA227C">
        <w:t>’</w:t>
      </w:r>
      <w:r w:rsidR="00EA227C" w:rsidRPr="002C67D6">
        <w:t>application sont décrites dans les méthodes d</w:t>
      </w:r>
      <w:r w:rsidR="00EA227C">
        <w:t>’</w:t>
      </w:r>
      <w:r w:rsidR="00EA227C" w:rsidRPr="002C67D6">
        <w:t>essai respectives</w:t>
      </w:r>
      <w:r w:rsidR="00EA227C">
        <w:t>, qui</w:t>
      </w:r>
      <w:r w:rsidR="00EA227C" w:rsidRPr="002C67D6">
        <w:t xml:space="preserve"> devraient </w:t>
      </w:r>
      <w:r w:rsidR="00EA227C">
        <w:t xml:space="preserve">être prises en compte, de même que toute information complémentaire publiée à ce sujet. </w:t>
      </w:r>
      <w:r w:rsidR="00EA227C" w:rsidRPr="00007D83">
        <w:t>Lorsqu</w:t>
      </w:r>
      <w:r w:rsidR="00EA227C">
        <w:t>’</w:t>
      </w:r>
      <w:r w:rsidR="00EA227C" w:rsidRPr="00007D83">
        <w:t>il existe des raisons de supposer que le domaine d</w:t>
      </w:r>
      <w:r w:rsidR="00EA227C">
        <w:t>’</w:t>
      </w:r>
      <w:r w:rsidR="00EA227C" w:rsidRPr="00007D83">
        <w:t>application d</w:t>
      </w:r>
      <w:r w:rsidR="00EA227C">
        <w:t>’</w:t>
      </w:r>
      <w:r w:rsidR="00EA227C" w:rsidRPr="00007D83">
        <w:t>une méthode d</w:t>
      </w:r>
      <w:r w:rsidR="00EA227C">
        <w:t>’</w:t>
      </w:r>
      <w:r w:rsidR="00EA227C" w:rsidRPr="00007D83">
        <w:t xml:space="preserve">essai </w:t>
      </w:r>
      <w:r w:rsidR="00EA227C">
        <w:t>donnée</w:t>
      </w:r>
      <w:r w:rsidR="00EA227C" w:rsidRPr="00007D83">
        <w:t xml:space="preserve"> est limité</w:t>
      </w:r>
      <w:r w:rsidR="00EA227C">
        <w:t>, ou des éléments l’attestant</w:t>
      </w:r>
      <w:r w:rsidR="00EA227C" w:rsidRPr="00007D83">
        <w:t xml:space="preserve">, </w:t>
      </w:r>
      <w:r w:rsidR="00EA227C">
        <w:t>il convient de faire preuve de circonspection dans l’interprétation des données</w:t>
      </w:r>
      <w:r w:rsidR="00EA227C" w:rsidRPr="00007D83">
        <w:t xml:space="preserve">, </w:t>
      </w:r>
      <w:r w:rsidR="00EA227C">
        <w:t>ou de considérer que les résultats ne sont pas applicables</w:t>
      </w:r>
      <w:r w:rsidR="00EA227C" w:rsidRPr="00007D83">
        <w:t>.</w:t>
      </w:r>
      <w:r>
        <w:t> »</w:t>
      </w:r>
      <w:r w:rsidR="00EA227C">
        <w:t>.</w:t>
      </w:r>
    </w:p>
    <w:p w:rsidR="00EA227C" w:rsidRPr="00827DF8" w:rsidRDefault="00EA227C" w:rsidP="00232364">
      <w:pPr>
        <w:pStyle w:val="SingleTxtG"/>
        <w:keepNext/>
        <w:tabs>
          <w:tab w:val="left" w:pos="1843"/>
        </w:tabs>
        <w:rPr>
          <w:szCs w:val="24"/>
        </w:rPr>
      </w:pPr>
      <w:r w:rsidRPr="00007D83">
        <w:rPr>
          <w:szCs w:val="24"/>
        </w:rPr>
        <w:br w:type="page"/>
      </w:r>
      <w:r w:rsidR="00232364">
        <w:lastRenderedPageBreak/>
        <w:t>3.2.5.1</w:t>
      </w:r>
      <w:r w:rsidR="00232364">
        <w:tab/>
      </w:r>
      <w:r w:rsidRPr="00B31335">
        <w:t>Remplacer le diagramme de décision 3.2.1 et les notes</w:t>
      </w:r>
      <w:r>
        <w:t xml:space="preserve"> correspondantes</w:t>
      </w:r>
      <w:r w:rsidRPr="00B31335">
        <w:t xml:space="preserve"> par le diagramme de décision </w:t>
      </w:r>
      <w:r w:rsidR="005B7235">
        <w:t>suivant</w:t>
      </w:r>
      <w:r w:rsidR="00525BCC">
        <w:t> :</w:t>
      </w:r>
    </w:p>
    <w:p w:rsidR="001342B3" w:rsidRDefault="00BA2C03" w:rsidP="0020525A">
      <w:pPr>
        <w:pStyle w:val="SingleTxtG"/>
        <w:tabs>
          <w:tab w:val="left" w:pos="1985"/>
        </w:tabs>
        <w:spacing w:after="100"/>
        <w:ind w:left="0" w:right="0"/>
        <w:rPr>
          <w:szCs w:val="24"/>
        </w:rPr>
      </w:pPr>
      <w:r>
        <w:rPr>
          <w:noProof/>
          <w:lang w:eastAsia="fr-CH"/>
        </w:rPr>
        <w:drawing>
          <wp:inline distT="0" distB="0" distL="0" distR="0" wp14:anchorId="486919FF" wp14:editId="031734FD">
            <wp:extent cx="6084000" cy="7376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4000" cy="7376400"/>
                    </a:xfrm>
                    <a:prstGeom prst="rect">
                      <a:avLst/>
                    </a:prstGeom>
                  </pic:spPr>
                </pic:pic>
              </a:graphicData>
            </a:graphic>
          </wp:inline>
        </w:drawing>
      </w:r>
    </w:p>
    <w:p w:rsidR="00EA227C" w:rsidRPr="004F3808" w:rsidRDefault="00BD4E90" w:rsidP="008B6267">
      <w:pPr>
        <w:pStyle w:val="SingleTxtG"/>
        <w:tabs>
          <w:tab w:val="left" w:pos="1985"/>
        </w:tabs>
        <w:spacing w:after="100"/>
        <w:rPr>
          <w:szCs w:val="24"/>
        </w:rPr>
      </w:pPr>
      <w:r>
        <w:rPr>
          <w:szCs w:val="24"/>
        </w:rPr>
        <w:br w:type="page"/>
      </w:r>
      <w:r w:rsidR="00EA227C" w:rsidRPr="00941B70">
        <w:lastRenderedPageBreak/>
        <w:t>3.2.5.3.1</w:t>
      </w:r>
      <w:r w:rsidR="003F59DA">
        <w:tab/>
      </w:r>
      <w:r w:rsidR="00EA227C" w:rsidRPr="00941B70">
        <w:t>Ajouter un nouveau sous-titre</w:t>
      </w:r>
      <w:r w:rsidR="00EA227C">
        <w:t>,</w:t>
      </w:r>
      <w:r w:rsidR="00EA227C" w:rsidRPr="00941B70">
        <w:t xml:space="preserve"> </w:t>
      </w:r>
      <w:r w:rsidR="00AE32EB">
        <w:t>« </w:t>
      </w:r>
      <w:r w:rsidR="00EA227C" w:rsidRPr="00941B70">
        <w:t xml:space="preserve">Documents </w:t>
      </w:r>
      <w:r w:rsidR="00EA227C">
        <w:t xml:space="preserve">de référence </w:t>
      </w:r>
      <w:r w:rsidR="00EA227C" w:rsidRPr="00941B70">
        <w:t>utiles</w:t>
      </w:r>
      <w:r w:rsidR="00AE32EB">
        <w:t> »</w:t>
      </w:r>
      <w:r w:rsidR="00EA227C">
        <w:t>,</w:t>
      </w:r>
      <w:r w:rsidR="00EA227C" w:rsidRPr="00941B70">
        <w:t xml:space="preserve"> </w:t>
      </w:r>
      <w:r w:rsidR="00EA227C">
        <w:t xml:space="preserve">portant le numéro </w:t>
      </w:r>
      <w:r w:rsidR="00EA227C" w:rsidRPr="00941B70">
        <w:t>3.2.5.3.1</w:t>
      </w:r>
      <w:r w:rsidR="00EA227C">
        <w:t>,</w:t>
      </w:r>
      <w:r w:rsidR="00EA227C" w:rsidRPr="00941B70">
        <w:t xml:space="preserve"> </w:t>
      </w:r>
      <w:r w:rsidR="00EA227C">
        <w:t>ainsi que le texte suivant</w:t>
      </w:r>
      <w:r w:rsidR="00525BCC">
        <w:t> :</w:t>
      </w:r>
    </w:p>
    <w:p w:rsidR="00EA227C" w:rsidRPr="00941B70" w:rsidRDefault="00AE32EB" w:rsidP="00AE32EB">
      <w:pPr>
        <w:pStyle w:val="SingleTxtG"/>
        <w:ind w:left="2268"/>
      </w:pPr>
      <w:r>
        <w:t>« </w:t>
      </w:r>
      <w:r w:rsidR="00EA227C" w:rsidRPr="00941B70">
        <w:t>Des informations utiles sur les avantages et les inconvénients de</w:t>
      </w:r>
      <w:r w:rsidR="00EA227C">
        <w:t>s</w:t>
      </w:r>
      <w:r w:rsidR="00EA227C" w:rsidRPr="00941B70">
        <w:t xml:space="preserve"> différentes méthodes d</w:t>
      </w:r>
      <w:r w:rsidR="00EA227C">
        <w:t>’</w:t>
      </w:r>
      <w:r w:rsidR="00EA227C" w:rsidRPr="00941B70">
        <w:t>essai et de</w:t>
      </w:r>
      <w:r w:rsidR="00EA227C">
        <w:t>s</w:t>
      </w:r>
      <w:r w:rsidR="00EA227C" w:rsidRPr="00941B70">
        <w:t xml:space="preserve"> méthodes non fondées sur des essais, ainsi que des </w:t>
      </w:r>
      <w:r w:rsidR="00EA227C">
        <w:t>conseils</w:t>
      </w:r>
      <w:r w:rsidR="00EA227C" w:rsidRPr="00941B70">
        <w:t xml:space="preserve"> utiles sur la manière d</w:t>
      </w:r>
      <w:r w:rsidR="00EA227C">
        <w:t>’</w:t>
      </w:r>
      <w:r w:rsidR="00EA227C" w:rsidRPr="00941B70">
        <w:t xml:space="preserve">appliquer une méthode </w:t>
      </w:r>
      <w:r w:rsidR="00EA227C">
        <w:t xml:space="preserve">fondée sur la force probante des données, sont fournies dans le document </w:t>
      </w:r>
      <w:r>
        <w:rPr>
          <w:rFonts w:eastAsia="MS Mincho"/>
        </w:rPr>
        <w:t>n</w:t>
      </w:r>
      <w:r>
        <w:rPr>
          <w:rFonts w:eastAsia="MS Mincho"/>
          <w:vertAlign w:val="superscript"/>
        </w:rPr>
        <w:t>o</w:t>
      </w:r>
      <w:r>
        <w:t> </w:t>
      </w:r>
      <w:r w:rsidR="00EA227C">
        <w:t xml:space="preserve">203 de l’OCDE, Guidance Document on </w:t>
      </w:r>
      <w:r w:rsidR="00EA227C" w:rsidRPr="00941B70">
        <w:t>An Integrated Approach on Testing and Assessment (IATA) for Skin Corrosion and Irritation</w:t>
      </w:r>
      <w:r w:rsidR="00EA227C">
        <w:t xml:space="preserve"> (méthode intégrée d’essai et d’évaluation pour la corrosion et l’irritation cutanées)</w:t>
      </w:r>
      <w:r w:rsidR="00EA227C" w:rsidRPr="00941B70">
        <w:t>.</w:t>
      </w:r>
      <w:r>
        <w:t> »</w:t>
      </w:r>
      <w:r w:rsidR="00EA227C">
        <w:t>.</w:t>
      </w:r>
    </w:p>
    <w:p w:rsidR="00EA227C" w:rsidRPr="00C430DD" w:rsidRDefault="00EA227C" w:rsidP="003F59DA">
      <w:pPr>
        <w:pStyle w:val="SingleTxtG"/>
        <w:tabs>
          <w:tab w:val="left" w:pos="1985"/>
        </w:tabs>
        <w:spacing w:after="100"/>
      </w:pPr>
      <w:r w:rsidRPr="00C430DD">
        <w:t>3.2.5.3.2</w:t>
      </w:r>
      <w:r w:rsidR="003F59DA">
        <w:tab/>
      </w:r>
      <w:r w:rsidRPr="00C430DD">
        <w:t>Ajouter un nouveau sous-titre</w:t>
      </w:r>
      <w:r>
        <w:t>,</w:t>
      </w:r>
      <w:r w:rsidRPr="00C430DD">
        <w:t xml:space="preserve"> </w:t>
      </w:r>
      <w:r w:rsidR="00AE32EB">
        <w:t>« </w:t>
      </w:r>
      <w:r>
        <w:t>Instructions d’</w:t>
      </w:r>
      <w:r w:rsidRPr="00C430DD">
        <w:t xml:space="preserve">utilisation de données </w:t>
      </w:r>
      <w:r>
        <w:t>obtenues sur l’homme</w:t>
      </w:r>
      <w:r w:rsidRPr="00C430DD">
        <w:t xml:space="preserve"> pour </w:t>
      </w:r>
      <w:r>
        <w:t>le classement</w:t>
      </w:r>
      <w:r w:rsidRPr="00C430DD">
        <w:t xml:space="preserve"> </w:t>
      </w:r>
      <w:r>
        <w:t>au titre de la corrosion cutanée ou de l’irritation cutanée</w:t>
      </w:r>
      <w:r w:rsidR="00AE32EB">
        <w:t> »</w:t>
      </w:r>
      <w:r>
        <w:t>, sous le numéro</w:t>
      </w:r>
      <w:r w:rsidRPr="00C430DD">
        <w:t xml:space="preserve"> 3.2.5.3.2. </w:t>
      </w:r>
    </w:p>
    <w:p w:rsidR="00EA227C" w:rsidRPr="00C430DD" w:rsidRDefault="00EA227C" w:rsidP="00AE32EB">
      <w:pPr>
        <w:pStyle w:val="SingleTxtG"/>
        <w:keepNext/>
      </w:pPr>
      <w:r>
        <w:t>Ajouter les nouveaux paragraphes suivants</w:t>
      </w:r>
      <w:r w:rsidR="00525BCC">
        <w:t> :</w:t>
      </w:r>
    </w:p>
    <w:p w:rsidR="00EA227C" w:rsidRPr="00D50E29" w:rsidRDefault="00AE32EB" w:rsidP="00AE32EB">
      <w:pPr>
        <w:pStyle w:val="SingleTxtG"/>
        <w:ind w:left="2268" w:hanging="1134"/>
      </w:pPr>
      <w:r>
        <w:t>« </w:t>
      </w:r>
      <w:r w:rsidR="00EA227C" w:rsidRPr="00C430DD">
        <w:t>3.2.5.3.2.1</w:t>
      </w:r>
      <w:r w:rsidR="00EA227C" w:rsidRPr="00C430DD">
        <w:tab/>
        <w:t xml:space="preserve">Les données </w:t>
      </w:r>
      <w:r w:rsidR="00EA227C">
        <w:t>obtenues sur l’homme</w:t>
      </w:r>
      <w:r w:rsidR="00EA227C" w:rsidRPr="00C430DD">
        <w:t xml:space="preserve"> </w:t>
      </w:r>
      <w:r w:rsidR="00EA227C">
        <w:t>sont</w:t>
      </w:r>
      <w:r w:rsidR="00EA227C" w:rsidRPr="00C430DD">
        <w:t xml:space="preserve"> </w:t>
      </w:r>
      <w:r w:rsidR="00533105">
        <w:t>en général de deux types</w:t>
      </w:r>
      <w:r w:rsidR="00525BCC">
        <w:t> :</w:t>
      </w:r>
      <w:r w:rsidR="00EA227C" w:rsidRPr="00C430DD">
        <w:t xml:space="preserve"> </w:t>
      </w:r>
      <w:r w:rsidR="00EA227C">
        <w:t xml:space="preserve">les données provenant d’une expérience préalable </w:t>
      </w:r>
      <w:r w:rsidR="00EA227C" w:rsidRPr="00C430DD">
        <w:t>(</w:t>
      </w:r>
      <w:r w:rsidR="00EA227C">
        <w:t>études de cas publiées sur la vie professionnelle</w:t>
      </w:r>
      <w:r w:rsidR="00EA227C" w:rsidRPr="00ED38EA">
        <w:t xml:space="preserve">, </w:t>
      </w:r>
      <w:r w:rsidR="00EA227C">
        <w:t>la</w:t>
      </w:r>
      <w:r w:rsidR="00EA227C" w:rsidRPr="00ED38EA">
        <w:t xml:space="preserve"> consommation, les transports ou les situations d</w:t>
      </w:r>
      <w:r w:rsidR="00EA227C">
        <w:t>’</w:t>
      </w:r>
      <w:r w:rsidR="00EA227C" w:rsidRPr="00ED38EA">
        <w:t>urgence</w:t>
      </w:r>
      <w:r w:rsidR="00EA227C">
        <w:t>, et</w:t>
      </w:r>
      <w:r w:rsidR="00EA227C" w:rsidRPr="00C430DD">
        <w:t xml:space="preserve"> </w:t>
      </w:r>
      <w:r w:rsidR="00EA227C">
        <w:t>études épidémiologiques, par exemple</w:t>
      </w:r>
      <w:r w:rsidR="00EA227C" w:rsidRPr="00C430DD">
        <w:t>) o</w:t>
      </w:r>
      <w:r w:rsidR="00EA227C">
        <w:t>u d’essais sur des humains</w:t>
      </w:r>
      <w:r w:rsidR="00EA227C" w:rsidRPr="00C430DD">
        <w:t xml:space="preserve"> (</w:t>
      </w:r>
      <w:r w:rsidR="00EA227C">
        <w:t>essais cliniques</w:t>
      </w:r>
      <w:r w:rsidR="00EA227C" w:rsidRPr="00C430DD">
        <w:t xml:space="preserve"> </w:t>
      </w:r>
      <w:r w:rsidR="00EA227C">
        <w:t>ou tests épicutanés,</w:t>
      </w:r>
      <w:r w:rsidR="00EA227C" w:rsidRPr="00671976">
        <w:t xml:space="preserve"> </w:t>
      </w:r>
      <w:r w:rsidR="00EA227C">
        <w:t>par exemple</w:t>
      </w:r>
      <w:r w:rsidR="00EA227C" w:rsidRPr="00C430DD">
        <w:t xml:space="preserve">). </w:t>
      </w:r>
      <w:r w:rsidR="00EA227C">
        <w:t>Des données humaines fiables, utiles et de bonne qualité sont en général un élément important pour le classement. Cependant, les données obtenues sur l’homme peuvent avoir des limites</w:t>
      </w:r>
      <w:r w:rsidR="00EA227C" w:rsidRPr="00D50E29">
        <w:t xml:space="preserve">. </w:t>
      </w:r>
      <w:r w:rsidR="00EA227C">
        <w:t xml:space="preserve">On trouve dans le document 203 de l’OCDE </w:t>
      </w:r>
      <w:r w:rsidR="00EA227C" w:rsidRPr="00D50E29">
        <w:t>(sect</w:t>
      </w:r>
      <w:r w:rsidR="00533105">
        <w:t>. </w:t>
      </w:r>
      <w:r w:rsidR="00EA227C" w:rsidRPr="00D50E29">
        <w:t xml:space="preserve">III.A, </w:t>
      </w:r>
      <w:r w:rsidR="00533105">
        <w:t>p</w:t>
      </w:r>
      <w:r w:rsidR="00EA227C" w:rsidRPr="00D50E29">
        <w:t xml:space="preserve">art 1, </w:t>
      </w:r>
      <w:r w:rsidR="00533105">
        <w:t>m</w:t>
      </w:r>
      <w:r w:rsidR="00EA227C" w:rsidRPr="00D50E29">
        <w:t xml:space="preserve">odule 1) des indications détaillées sur les avantages et les limites des données </w:t>
      </w:r>
      <w:r w:rsidR="00EA227C">
        <w:t>obtenues sur l’homme</w:t>
      </w:r>
      <w:r w:rsidR="00EA227C" w:rsidRPr="00D50E29">
        <w:t xml:space="preserve"> pour l</w:t>
      </w:r>
      <w:r w:rsidR="00EA227C">
        <w:t>’</w:t>
      </w:r>
      <w:r w:rsidR="00EA227C" w:rsidRPr="00D50E29">
        <w:t>irritation et la corrosion</w:t>
      </w:r>
      <w:r w:rsidR="00EA227C">
        <w:t xml:space="preserve"> cutanées</w:t>
      </w:r>
      <w:r w:rsidR="00EA227C" w:rsidRPr="00D50E29">
        <w:t>.</w:t>
      </w:r>
    </w:p>
    <w:p w:rsidR="00EA227C" w:rsidRPr="008A01C9" w:rsidRDefault="00EA227C" w:rsidP="00AE32EB">
      <w:pPr>
        <w:pStyle w:val="SingleTxtG"/>
        <w:ind w:left="2268" w:hanging="1134"/>
      </w:pPr>
      <w:r w:rsidRPr="00D50E29">
        <w:t>3.2.5.3.2.2</w:t>
      </w:r>
      <w:r w:rsidRPr="00D50E29">
        <w:tab/>
        <w:t xml:space="preserve">En général, </w:t>
      </w:r>
      <w:r>
        <w:t>l</w:t>
      </w:r>
      <w:r w:rsidRPr="00D50E29">
        <w:t xml:space="preserve">es </w:t>
      </w:r>
      <w:r>
        <w:t>tests épicutanés (patch) sont effectués sur les humains pour établir une distinction entre les substances irritantes et non irritantes. On évite d’appliquer une substance corrosive sur la peau humaine. Un autre essai est normalement effectué</w:t>
      </w:r>
      <w:r w:rsidRPr="00D50E29">
        <w:t xml:space="preserve"> </w:t>
      </w:r>
      <w:r>
        <w:t>au préalable pour exclure la corrosivité. En principe, l</w:t>
      </w:r>
      <w:r w:rsidRPr="00D50E29">
        <w:t>e test épicutané n</w:t>
      </w:r>
      <w:r>
        <w:t>’</w:t>
      </w:r>
      <w:r w:rsidRPr="00D50E29">
        <w:t xml:space="preserve">établit pas </w:t>
      </w:r>
      <w:r>
        <w:t>à lui seul</w:t>
      </w:r>
      <w:r w:rsidRPr="00D50E29">
        <w:t xml:space="preserve"> </w:t>
      </w:r>
      <w:r>
        <w:t>une</w:t>
      </w:r>
      <w:r w:rsidRPr="00D50E29">
        <w:t xml:space="preserve"> distinction entre </w:t>
      </w:r>
      <w:r>
        <w:t xml:space="preserve">substances irritantes et corrosives. </w:t>
      </w:r>
      <w:r w:rsidRPr="008A01C9">
        <w:t xml:space="preserve">Dans quelques rares cas, </w:t>
      </w:r>
      <w:r>
        <w:t>l</w:t>
      </w:r>
      <w:r w:rsidRPr="008A01C9">
        <w:t xml:space="preserve">es données tirées </w:t>
      </w:r>
      <w:r>
        <w:t>du test</w:t>
      </w:r>
      <w:r w:rsidRPr="008A01C9">
        <w:t xml:space="preserve"> épicutané peuvent être utilisées en vue de l</w:t>
      </w:r>
      <w:r>
        <w:t>a</w:t>
      </w:r>
      <w:r w:rsidRPr="008A01C9">
        <w:t xml:space="preserve"> classification comme </w:t>
      </w:r>
      <w:r>
        <w:t xml:space="preserve">substance </w:t>
      </w:r>
      <w:r w:rsidRPr="008A01C9">
        <w:t>corrosive (</w:t>
      </w:r>
      <w:r>
        <w:t>par exemple,</w:t>
      </w:r>
      <w:r w:rsidRPr="008A01C9">
        <w:t xml:space="preserve"> application </w:t>
      </w:r>
      <w:r>
        <w:t xml:space="preserve">d’un patch après un test </w:t>
      </w:r>
      <w:r w:rsidRPr="008A01C9">
        <w:rPr>
          <w:i/>
        </w:rPr>
        <w:t>in vitro</w:t>
      </w:r>
      <w:r w:rsidRPr="008A01C9">
        <w:t xml:space="preserve"> </w:t>
      </w:r>
      <w:r>
        <w:t>faussement négatif</w:t>
      </w:r>
      <w:r w:rsidRPr="008A01C9">
        <w:t>).</w:t>
      </w:r>
      <w:r w:rsidR="00525BCC">
        <w:t xml:space="preserve"> </w:t>
      </w:r>
      <w:r>
        <w:t xml:space="preserve">Cependant, la combinaison d’un essai épicutané et d’un nombre suffisant d’autres informations sur la corrosion cutanée peut servir à établir une </w:t>
      </w:r>
      <w:r w:rsidRPr="008A01C9">
        <w:t xml:space="preserve">classification </w:t>
      </w:r>
      <w:r>
        <w:t>dans le cadre d’une évaluation fondée sur la force probante des données</w:t>
      </w:r>
      <w:r w:rsidRPr="008A01C9">
        <w:t>.</w:t>
      </w:r>
    </w:p>
    <w:p w:rsidR="00EA227C" w:rsidRPr="008A01C9" w:rsidRDefault="00EA227C" w:rsidP="00AE32EB">
      <w:pPr>
        <w:pStyle w:val="SingleTxtG"/>
        <w:ind w:left="2268" w:hanging="1134"/>
      </w:pPr>
      <w:r w:rsidRPr="008A01C9">
        <w:t>3.2.5.3.2.3</w:t>
      </w:r>
      <w:r w:rsidRPr="008A01C9">
        <w:tab/>
        <w:t>Certaines autorités compétentes n</w:t>
      </w:r>
      <w:r>
        <w:t>’</w:t>
      </w:r>
      <w:r w:rsidRPr="008A01C9">
        <w:t xml:space="preserve">acceptent pas </w:t>
      </w:r>
      <w:r>
        <w:t xml:space="preserve">que </w:t>
      </w:r>
      <w:r w:rsidRPr="008A01C9">
        <w:t xml:space="preserve">les essais épicutanés </w:t>
      </w:r>
      <w:r>
        <w:t xml:space="preserve">soient réalisés uniquement à des fins de détection des dangers </w:t>
      </w:r>
      <w:r w:rsidRPr="008A01C9">
        <w:t>(</w:t>
      </w:r>
      <w:r>
        <w:t>voir</w:t>
      </w:r>
      <w:r w:rsidR="00AE32EB">
        <w:t> </w:t>
      </w:r>
      <w:r w:rsidRPr="008A01C9">
        <w:t>1.3.2.4.7)</w:t>
      </w:r>
      <w:r w:rsidR="00525BCC">
        <w:t> ;</w:t>
      </w:r>
      <w:r>
        <w:t xml:space="preserve"> d’autres acceptent que ces essais soient utilisés à des fins de classement</w:t>
      </w:r>
      <w:r w:rsidRPr="008A01C9">
        <w:t xml:space="preserve"> </w:t>
      </w:r>
      <w:r>
        <w:t>au titre de l’irritation cutanée</w:t>
      </w:r>
      <w:r w:rsidRPr="008A01C9">
        <w:t xml:space="preserve">. </w:t>
      </w:r>
    </w:p>
    <w:p w:rsidR="00EA227C" w:rsidRPr="00937CDA" w:rsidRDefault="00EA227C" w:rsidP="00AE32EB">
      <w:pPr>
        <w:pStyle w:val="SingleTxtG"/>
        <w:ind w:left="2268" w:hanging="1134"/>
      </w:pPr>
      <w:r w:rsidRPr="00937CDA">
        <w:t>3.2.5.3.2.4</w:t>
      </w:r>
      <w:r w:rsidRPr="00937CDA">
        <w:tab/>
      </w:r>
      <w:r>
        <w:t xml:space="preserve">Il n’a pas été établi de critères spécifiques au niveau international </w:t>
      </w:r>
      <w:r w:rsidRPr="00937CDA">
        <w:t xml:space="preserve">pour les résultats des essais épicutanés aboutissant </w:t>
      </w:r>
      <w:r>
        <w:t xml:space="preserve">au classement dans la </w:t>
      </w:r>
      <w:r w:rsidRPr="00937CDA">
        <w:t>cat</w:t>
      </w:r>
      <w:r>
        <w:t>é</w:t>
      </w:r>
      <w:r w:rsidRPr="00937CDA">
        <w:t>gor</w:t>
      </w:r>
      <w:r>
        <w:t>ie</w:t>
      </w:r>
      <w:r w:rsidRPr="00937CDA">
        <w:t xml:space="preserve"> 2 (irritation</w:t>
      </w:r>
      <w:r>
        <w:t xml:space="preserve"> cutanée</w:t>
      </w:r>
      <w:r w:rsidRPr="00937CDA">
        <w:t xml:space="preserve">) </w:t>
      </w:r>
      <w:r>
        <w:t xml:space="preserve">ou dans la </w:t>
      </w:r>
      <w:r w:rsidRPr="00937CDA">
        <w:t>cat</w:t>
      </w:r>
      <w:r>
        <w:t>é</w:t>
      </w:r>
      <w:r w:rsidRPr="00937CDA">
        <w:t>gor</w:t>
      </w:r>
      <w:r>
        <w:t>ie</w:t>
      </w:r>
      <w:r w:rsidRPr="00937CDA">
        <w:t xml:space="preserve"> 3 (</w:t>
      </w:r>
      <w:r>
        <w:t>légère</w:t>
      </w:r>
      <w:r w:rsidRPr="00937CDA">
        <w:t xml:space="preserve"> irritation)</w:t>
      </w:r>
      <w:r>
        <w:t>,</w:t>
      </w:r>
      <w:r w:rsidRPr="00937CDA">
        <w:t xml:space="preserve"> </w:t>
      </w:r>
      <w:r>
        <w:t>ou à une absence de classement</w:t>
      </w:r>
      <w:r w:rsidRPr="00937CDA">
        <w:t>. Par conséquent, les résultats d</w:t>
      </w:r>
      <w:r>
        <w:t>’</w:t>
      </w:r>
      <w:r w:rsidRPr="00937CDA">
        <w:t>un essai épicutané sont généralement utilisés dans le cadre d</w:t>
      </w:r>
      <w:r>
        <w:t>’</w:t>
      </w:r>
      <w:r w:rsidRPr="00937CDA">
        <w:t xml:space="preserve">une évaluation fondée sur la force probante des données. </w:t>
      </w:r>
      <w:r>
        <w:t xml:space="preserve">Certaines autorités compétentes peuvent toutefois fournir des directives spécifiques. </w:t>
      </w:r>
      <w:r w:rsidRPr="00937CDA">
        <w:t>Un essai épicutané effectué auprès d</w:t>
      </w:r>
      <w:r>
        <w:t>’</w:t>
      </w:r>
      <w:r w:rsidRPr="00937CDA">
        <w:t xml:space="preserve">un nombre suffisant de volontaires et dont les résultats sont clairement négatifs </w:t>
      </w:r>
      <w:r>
        <w:t>après exposition à la substance non diluée pendant 4 heures peut justifier une absence de classification.</w:t>
      </w:r>
    </w:p>
    <w:p w:rsidR="00EA227C" w:rsidRPr="001A1F58" w:rsidRDefault="00EA227C" w:rsidP="00533105">
      <w:pPr>
        <w:pStyle w:val="SingleTxtG"/>
        <w:ind w:left="2268" w:hanging="1134"/>
      </w:pPr>
      <w:r w:rsidRPr="00BB55CB">
        <w:t>3.2.5.3.2.5</w:t>
      </w:r>
      <w:r w:rsidRPr="00BB55CB">
        <w:tab/>
        <w:t>Des informations tirées d</w:t>
      </w:r>
      <w:r>
        <w:t>’</w:t>
      </w:r>
      <w:r w:rsidRPr="00BB55CB">
        <w:t xml:space="preserve">études de cas humains peuvent être utilisées pour que le produit soit classé comme étant corrosif </w:t>
      </w:r>
      <w:r>
        <w:t>lorsque des lésions cutanées irréversibles ont été observées. Il n’existe aucun critère de classification reconnu sur le plan international pour l’</w:t>
      </w:r>
      <w:r w:rsidRPr="001E4F08">
        <w:t>irritation. Un avis d</w:t>
      </w:r>
      <w:r>
        <w:t>’</w:t>
      </w:r>
      <w:r w:rsidRPr="001E4F08">
        <w:t xml:space="preserve">expert peut donc être </w:t>
      </w:r>
      <w:r>
        <w:t>nécessaire</w:t>
      </w:r>
      <w:r w:rsidRPr="001E4F08">
        <w:t xml:space="preserve"> pour </w:t>
      </w:r>
      <w:r>
        <w:t>déterminer</w:t>
      </w:r>
      <w:r w:rsidRPr="001E4F08">
        <w:t xml:space="preserve"> si la durée d</w:t>
      </w:r>
      <w:r>
        <w:t>’</w:t>
      </w:r>
      <w:r w:rsidRPr="001E4F08">
        <w:t>exposition est suffisante et s</w:t>
      </w:r>
      <w:r>
        <w:t>’</w:t>
      </w:r>
      <w:r w:rsidRPr="001E4F08">
        <w:t>il existe suffisamment d</w:t>
      </w:r>
      <w:r>
        <w:t>’</w:t>
      </w:r>
      <w:r w:rsidRPr="001E4F08">
        <w:t xml:space="preserve">informations de suivi sur le long terme pour tirer une </w:t>
      </w:r>
      <w:r w:rsidRPr="001E4F08">
        <w:lastRenderedPageBreak/>
        <w:t xml:space="preserve">conclusion </w:t>
      </w:r>
      <w:r>
        <w:t xml:space="preserve">quant à la classification. </w:t>
      </w:r>
      <w:r w:rsidRPr="001A1F58">
        <w:t>Les études de cas dans lesquelles on a constaté une irritation ou une absence d</w:t>
      </w:r>
      <w:r>
        <w:t>’</w:t>
      </w:r>
      <w:r w:rsidRPr="001A1F58">
        <w:t xml:space="preserve">effets peuvent ne pas </w:t>
      </w:r>
      <w:r>
        <w:t>être concluantes en tant que telles, mais être utilisées dans le cadre d’une évaluation fondée sur la force probante des données</w:t>
      </w:r>
      <w:r w:rsidR="00E257F1">
        <w:t>. ».</w:t>
      </w:r>
    </w:p>
    <w:p w:rsidR="00EA227C" w:rsidRPr="001A1F58" w:rsidRDefault="00EA227C" w:rsidP="008B6267">
      <w:pPr>
        <w:pStyle w:val="SingleTxtG"/>
        <w:tabs>
          <w:tab w:val="left" w:pos="1985"/>
        </w:tabs>
        <w:spacing w:after="100"/>
      </w:pPr>
      <w:r w:rsidRPr="001A1F58">
        <w:t>3.2.5.3.3</w:t>
      </w:r>
      <w:r w:rsidRPr="001A1F58">
        <w:tab/>
        <w:t>Ajouter un nouveau sous-titre</w:t>
      </w:r>
      <w:r>
        <w:t>,</w:t>
      </w:r>
      <w:r w:rsidRPr="001A1F58">
        <w:t xml:space="preserve"> </w:t>
      </w:r>
      <w:r w:rsidR="00533105">
        <w:t>« </w:t>
      </w:r>
      <w:r w:rsidRPr="0045680C">
        <w:t>Class</w:t>
      </w:r>
      <w:r>
        <w:t>ification</w:t>
      </w:r>
      <w:r w:rsidRPr="0045680C">
        <w:t xml:space="preserve"> fondé</w:t>
      </w:r>
      <w:r>
        <w:t>e</w:t>
      </w:r>
      <w:r w:rsidRPr="0045680C">
        <w:t xml:space="preserve"> sur les résultats d</w:t>
      </w:r>
      <w:r>
        <w:t>’</w:t>
      </w:r>
      <w:r w:rsidRPr="0045680C">
        <w:t xml:space="preserve">essais normalisés sur </w:t>
      </w:r>
      <w:r>
        <w:t>d</w:t>
      </w:r>
      <w:r w:rsidRPr="0045680C">
        <w:t>es animaux</w:t>
      </w:r>
      <w:r w:rsidRPr="001A1F58">
        <w:t xml:space="preserve"> </w:t>
      </w:r>
      <w:r>
        <w:t>portant sur plus de trois animaux</w:t>
      </w:r>
      <w:r w:rsidR="00533105">
        <w:t> »</w:t>
      </w:r>
      <w:r>
        <w:t>.</w:t>
      </w:r>
    </w:p>
    <w:p w:rsidR="00EA227C" w:rsidRPr="0045680C" w:rsidRDefault="00EA227C" w:rsidP="00E257F1">
      <w:pPr>
        <w:pStyle w:val="SingleTxtG"/>
      </w:pPr>
      <w:r>
        <w:t>L</w:t>
      </w:r>
      <w:r w:rsidRPr="0045680C">
        <w:t xml:space="preserve">es </w:t>
      </w:r>
      <w:r>
        <w:t xml:space="preserve">paragraphes </w:t>
      </w:r>
      <w:r w:rsidRPr="0045680C">
        <w:t xml:space="preserve">3.2.5.3.1 à 3.2.5.3.5 </w:t>
      </w:r>
      <w:r>
        <w:t xml:space="preserve">actuels deviennent les paragraphes </w:t>
      </w:r>
      <w:r w:rsidRPr="0045680C">
        <w:t xml:space="preserve">3.2.5.3.3.1 </w:t>
      </w:r>
      <w:r>
        <w:t>à</w:t>
      </w:r>
      <w:r w:rsidRPr="0045680C">
        <w:t xml:space="preserve"> 3.2.5.3.3.5.</w:t>
      </w:r>
    </w:p>
    <w:p w:rsidR="00EA227C" w:rsidRPr="0045680C" w:rsidRDefault="00EA227C" w:rsidP="008B6267">
      <w:pPr>
        <w:pStyle w:val="SingleTxtG"/>
        <w:tabs>
          <w:tab w:val="left" w:pos="1985"/>
        </w:tabs>
        <w:spacing w:after="100"/>
      </w:pPr>
      <w:r w:rsidRPr="0045680C">
        <w:t>3.2.5.3.4</w:t>
      </w:r>
      <w:r w:rsidRPr="0045680C">
        <w:tab/>
        <w:t>Ajouter un nouveau sous-titre</w:t>
      </w:r>
      <w:r>
        <w:t>,</w:t>
      </w:r>
      <w:r w:rsidRPr="0045680C">
        <w:t xml:space="preserve"> </w:t>
      </w:r>
      <w:r w:rsidR="00E257F1">
        <w:t>« </w:t>
      </w:r>
      <w:r w:rsidRPr="0045680C">
        <w:t xml:space="preserve">Critères de classification fondés sur des données </w:t>
      </w:r>
      <w:r w:rsidRPr="0045680C">
        <w:rPr>
          <w:i/>
        </w:rPr>
        <w:t>in-vitro/ex vivo</w:t>
      </w:r>
      <w:r w:rsidR="00E257F1">
        <w:t> »</w:t>
      </w:r>
      <w:r>
        <w:t>,</w:t>
      </w:r>
      <w:r w:rsidRPr="0045680C">
        <w:t xml:space="preserve"> </w:t>
      </w:r>
      <w:r>
        <w:t xml:space="preserve">sous le numéro </w:t>
      </w:r>
      <w:r w:rsidRPr="0045680C">
        <w:t>3.2.5.3.4</w:t>
      </w:r>
      <w:r>
        <w:t>,</w:t>
      </w:r>
      <w:r w:rsidRPr="0045680C">
        <w:t xml:space="preserve"> </w:t>
      </w:r>
      <w:r>
        <w:t>et ajouter le nouveau texte suivant</w:t>
      </w:r>
      <w:r w:rsidR="00525BCC">
        <w:t> :</w:t>
      </w:r>
    </w:p>
    <w:p w:rsidR="00EA227C" w:rsidRPr="00301A93" w:rsidRDefault="00E257F1" w:rsidP="00E257F1">
      <w:pPr>
        <w:pStyle w:val="SingleTxtG"/>
        <w:ind w:left="2268"/>
      </w:pPr>
      <w:r>
        <w:t>« </w:t>
      </w:r>
      <w:r w:rsidR="00EA227C" w:rsidRPr="00301A93">
        <w:t xml:space="preserve">Lorsque des essais </w:t>
      </w:r>
      <w:r w:rsidR="00EA227C" w:rsidRPr="00301A93">
        <w:rPr>
          <w:i/>
        </w:rPr>
        <w:t>in vitro/ex vivo</w:t>
      </w:r>
      <w:r w:rsidR="00EA227C" w:rsidRPr="00301A93">
        <w:t xml:space="preserve"> ont été menés conformément aux </w:t>
      </w:r>
      <w:r w:rsidR="00EA227C">
        <w:t>L</w:t>
      </w:r>
      <w:r w:rsidR="00EA227C" w:rsidRPr="00301A93">
        <w:t xml:space="preserve">ignes directrices </w:t>
      </w:r>
      <w:r w:rsidR="00B35AAC">
        <w:rPr>
          <w:rFonts w:eastAsia="MS Mincho"/>
        </w:rPr>
        <w:t>n</w:t>
      </w:r>
      <w:r w:rsidR="00B35AAC">
        <w:rPr>
          <w:rFonts w:eastAsia="MS Mincho"/>
          <w:vertAlign w:val="superscript"/>
        </w:rPr>
        <w:t>o</w:t>
      </w:r>
      <w:r w:rsidR="00B35AAC">
        <w:t> </w:t>
      </w:r>
      <w:r w:rsidR="00EA227C" w:rsidRPr="00301A93">
        <w:t>430, 431, 435 ou 439</w:t>
      </w:r>
      <w:r w:rsidR="00EA227C">
        <w:t xml:space="preserve"> </w:t>
      </w:r>
      <w:r w:rsidR="00EA227C" w:rsidRPr="0085721F">
        <w:t>de l</w:t>
      </w:r>
      <w:r w:rsidR="00EA227C">
        <w:t>’</w:t>
      </w:r>
      <w:r w:rsidR="00EA227C" w:rsidRPr="0085721F">
        <w:t>OCDE</w:t>
      </w:r>
      <w:r w:rsidR="00EA227C" w:rsidRPr="00301A93">
        <w:t xml:space="preserve">, </w:t>
      </w:r>
      <w:r w:rsidR="00EA227C">
        <w:t>l</w:t>
      </w:r>
      <w:r w:rsidR="00EA227C" w:rsidRPr="00301A93">
        <w:t>es cr</w:t>
      </w:r>
      <w:r w:rsidR="00EA227C">
        <w:t xml:space="preserve">itères de classement dans la catégorie 1 </w:t>
      </w:r>
      <w:r w:rsidR="00EA227C" w:rsidRPr="00301A93">
        <w:t>(</w:t>
      </w:r>
      <w:r w:rsidR="00EA227C">
        <w:t>et</w:t>
      </w:r>
      <w:r w:rsidR="00EA227C" w:rsidRPr="00301A93">
        <w:t xml:space="preserve">, </w:t>
      </w:r>
      <w:r w:rsidR="00EA227C">
        <w:t xml:space="preserve">si possible, dans les sous-catégories </w:t>
      </w:r>
      <w:r w:rsidR="00EA227C" w:rsidRPr="00301A93">
        <w:t>1A, 1B o</w:t>
      </w:r>
      <w:r w:rsidR="00EA227C">
        <w:t>u</w:t>
      </w:r>
      <w:r w:rsidR="00EA227C" w:rsidRPr="00301A93">
        <w:t xml:space="preserve"> 1C) </w:t>
      </w:r>
      <w:r w:rsidR="00EA227C">
        <w:t xml:space="preserve">pour la corrosion cutanée et dans la catégorie </w:t>
      </w:r>
      <w:r w:rsidR="00EA227C" w:rsidRPr="00301A93">
        <w:t xml:space="preserve">2 </w:t>
      </w:r>
      <w:r w:rsidR="00EA227C">
        <w:t xml:space="preserve">pour l’irritation cutanée, sont indiqués dans les tableaux </w:t>
      </w:r>
      <w:r w:rsidR="00EA227C" w:rsidRPr="00301A93">
        <w:t xml:space="preserve">3.2.6 </w:t>
      </w:r>
      <w:r w:rsidR="00EA227C">
        <w:t>et</w:t>
      </w:r>
      <w:r w:rsidR="00EA227C" w:rsidRPr="00301A93">
        <w:t xml:space="preserve"> 3.2.7.</w:t>
      </w:r>
      <w:r>
        <w:t> »</w:t>
      </w:r>
      <w:r w:rsidR="00EA227C">
        <w:t>.</w:t>
      </w:r>
    </w:p>
    <w:p w:rsidR="00EA227C" w:rsidRPr="00301A93" w:rsidRDefault="00EA227C" w:rsidP="00E257F1">
      <w:pPr>
        <w:pStyle w:val="SingleTxtG"/>
        <w:keepNext/>
      </w:pPr>
      <w:r>
        <w:t>Ajouter un nouveau tableau portant le titre suivant</w:t>
      </w:r>
      <w:r w:rsidR="00525BCC">
        <w:t> :</w:t>
      </w:r>
    </w:p>
    <w:p w:rsidR="00EA227C" w:rsidRPr="00301A93" w:rsidRDefault="00E257F1" w:rsidP="00620449">
      <w:pPr>
        <w:pStyle w:val="SingleTxtG"/>
      </w:pPr>
      <w:r>
        <w:t>« </w:t>
      </w:r>
      <w:r w:rsidR="00EA227C" w:rsidRPr="00301A93">
        <w:t>Tableau 3.2.6</w:t>
      </w:r>
      <w:r w:rsidR="00525BCC">
        <w:t> :</w:t>
      </w:r>
      <w:r w:rsidR="00EA227C" w:rsidRPr="00301A93">
        <w:t xml:space="preserve"> Critères de corrosion cutanée pour les méthodes </w:t>
      </w:r>
      <w:r w:rsidR="00EA227C" w:rsidRPr="00301A93">
        <w:rPr>
          <w:i/>
        </w:rPr>
        <w:t>in vitro/ex vivo</w:t>
      </w:r>
      <w:r>
        <w:t> »</w:t>
      </w:r>
      <w:r w:rsidR="00EA227C">
        <w:t>.</w:t>
      </w:r>
    </w:p>
    <w:p w:rsidR="00EA227C" w:rsidRDefault="00EA227C" w:rsidP="00620449">
      <w:pPr>
        <w:pStyle w:val="SingleTxtG"/>
      </w:pPr>
      <w:r>
        <w:t>Ajouter le nouveau tableau suivant</w:t>
      </w:r>
      <w:r w:rsidR="00525BCC">
        <w:t> :</w:t>
      </w:r>
    </w:p>
    <w:p w:rsidR="007F5A87" w:rsidRDefault="007F5A87" w:rsidP="00AC3823">
      <w:pPr>
        <w:sectPr w:rsidR="007F5A87" w:rsidSect="0009198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tbl>
      <w:tblPr>
        <w:tblW w:w="13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5"/>
        <w:gridCol w:w="2503"/>
        <w:gridCol w:w="3724"/>
        <w:gridCol w:w="1234"/>
        <w:gridCol w:w="1233"/>
        <w:gridCol w:w="1234"/>
        <w:gridCol w:w="1439"/>
        <w:gridCol w:w="1295"/>
      </w:tblGrid>
      <w:tr w:rsidR="00E63E27" w:rsidRPr="00661771" w:rsidTr="002F5DA3">
        <w:tc>
          <w:tcPr>
            <w:tcW w:w="1115" w:type="dxa"/>
            <w:vMerge w:val="restart"/>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bookmarkStart w:id="1" w:name="_Hlk524614549"/>
            <w:r w:rsidRPr="00B35AAC">
              <w:rPr>
                <w:b/>
                <w:sz w:val="18"/>
                <w:szCs w:val="18"/>
              </w:rPr>
              <w:lastRenderedPageBreak/>
              <w:t>Catégorie</w:t>
            </w:r>
          </w:p>
        </w:tc>
        <w:tc>
          <w:tcPr>
            <w:tcW w:w="2503"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b/>
                <w:sz w:val="18"/>
                <w:szCs w:val="18"/>
              </w:rPr>
            </w:pPr>
            <w:r w:rsidRPr="00661771">
              <w:rPr>
                <w:b/>
                <w:sz w:val="18"/>
                <w:szCs w:val="18"/>
              </w:rPr>
              <w:t xml:space="preserve">Ligne directrice </w:t>
            </w:r>
            <w:r w:rsidRPr="00661771">
              <w:rPr>
                <w:rFonts w:eastAsia="MS Mincho"/>
                <w:b/>
                <w:sz w:val="18"/>
                <w:szCs w:val="18"/>
              </w:rPr>
              <w:t>n</w:t>
            </w:r>
            <w:r w:rsidRPr="00661771">
              <w:rPr>
                <w:rFonts w:eastAsia="MS Mincho"/>
                <w:b/>
                <w:sz w:val="18"/>
                <w:szCs w:val="18"/>
                <w:vertAlign w:val="superscript"/>
              </w:rPr>
              <w:t>o</w:t>
            </w:r>
            <w:r w:rsidRPr="00661771">
              <w:rPr>
                <w:b/>
                <w:sz w:val="18"/>
                <w:szCs w:val="18"/>
              </w:rPr>
              <w:t xml:space="preserve"> 430 </w:t>
            </w:r>
            <w:r w:rsidRPr="00661771">
              <w:rPr>
                <w:b/>
                <w:sz w:val="18"/>
                <w:szCs w:val="18"/>
              </w:rPr>
              <w:br/>
              <w:t xml:space="preserve">de l’OCDE </w:t>
            </w:r>
            <w:r w:rsidRPr="00661771">
              <w:rPr>
                <w:b/>
                <w:sz w:val="18"/>
                <w:szCs w:val="18"/>
              </w:rPr>
              <w:br/>
              <w:t xml:space="preserve">(Essai de résistance </w:t>
            </w:r>
            <w:r w:rsidRPr="00661771">
              <w:rPr>
                <w:b/>
                <w:sz w:val="18"/>
                <w:szCs w:val="18"/>
              </w:rPr>
              <w:br/>
              <w:t>électrique transcutanée)</w:t>
            </w:r>
          </w:p>
        </w:tc>
        <w:tc>
          <w:tcPr>
            <w:tcW w:w="7425" w:type="dxa"/>
            <w:gridSpan w:val="4"/>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b/>
                <w:sz w:val="18"/>
                <w:szCs w:val="18"/>
              </w:rPr>
            </w:pPr>
            <w:r w:rsidRPr="00661771">
              <w:rPr>
                <w:b/>
                <w:sz w:val="18"/>
                <w:szCs w:val="18"/>
              </w:rPr>
              <w:t xml:space="preserve">Ligne directrice </w:t>
            </w:r>
            <w:r w:rsidRPr="00661771">
              <w:rPr>
                <w:rFonts w:eastAsia="MS Mincho"/>
                <w:b/>
                <w:sz w:val="18"/>
                <w:szCs w:val="18"/>
              </w:rPr>
              <w:t>n</w:t>
            </w:r>
            <w:r w:rsidRPr="00661771">
              <w:rPr>
                <w:rFonts w:eastAsia="MS Mincho"/>
                <w:b/>
                <w:sz w:val="18"/>
                <w:szCs w:val="18"/>
                <w:vertAlign w:val="superscript"/>
              </w:rPr>
              <w:t>o</w:t>
            </w:r>
            <w:r w:rsidRPr="00661771">
              <w:rPr>
                <w:b/>
                <w:sz w:val="18"/>
                <w:szCs w:val="18"/>
              </w:rPr>
              <w:t> 431 de l’OCDE</w:t>
            </w:r>
            <w:r w:rsidRPr="00661771">
              <w:rPr>
                <w:b/>
                <w:sz w:val="18"/>
                <w:szCs w:val="18"/>
              </w:rPr>
              <w:br/>
              <w:t>Méthodes d’essai sur l’épiderme humain reconstitué</w:t>
            </w:r>
            <w:r w:rsidR="00525BCC">
              <w:rPr>
                <w:b/>
                <w:sz w:val="18"/>
                <w:szCs w:val="18"/>
              </w:rPr>
              <w:t> :</w:t>
            </w:r>
            <w:r w:rsidRPr="00661771">
              <w:rPr>
                <w:b/>
                <w:sz w:val="18"/>
                <w:szCs w:val="18"/>
              </w:rPr>
              <w:t xml:space="preserve"> méthodes 1, 2, 3 et 4 </w:t>
            </w:r>
            <w:r w:rsidRPr="00661771">
              <w:rPr>
                <w:b/>
                <w:sz w:val="18"/>
                <w:szCs w:val="18"/>
              </w:rPr>
              <w:br/>
              <w:t xml:space="preserve">telles que numérotées dans l’annexe 2 de la Ligne directrice </w:t>
            </w:r>
            <w:r w:rsidRPr="00661771">
              <w:rPr>
                <w:rFonts w:eastAsia="MS Mincho"/>
                <w:b/>
                <w:sz w:val="18"/>
                <w:szCs w:val="18"/>
              </w:rPr>
              <w:t>n</w:t>
            </w:r>
            <w:r w:rsidRPr="00661771">
              <w:rPr>
                <w:rFonts w:eastAsia="MS Mincho"/>
                <w:b/>
                <w:sz w:val="18"/>
                <w:szCs w:val="18"/>
                <w:vertAlign w:val="superscript"/>
              </w:rPr>
              <w:t>o</w:t>
            </w:r>
            <w:r w:rsidRPr="00661771">
              <w:rPr>
                <w:b/>
                <w:sz w:val="18"/>
                <w:szCs w:val="18"/>
              </w:rPr>
              <w:t xml:space="preserve"> 431 de l’OCDE </w:t>
            </w:r>
          </w:p>
        </w:tc>
        <w:tc>
          <w:tcPr>
            <w:tcW w:w="2734" w:type="dxa"/>
            <w:gridSpan w:val="2"/>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b/>
                <w:sz w:val="18"/>
                <w:szCs w:val="18"/>
              </w:rPr>
            </w:pPr>
            <w:r w:rsidRPr="00661771">
              <w:rPr>
                <w:b/>
                <w:sz w:val="18"/>
                <w:szCs w:val="18"/>
              </w:rPr>
              <w:t xml:space="preserve">Ligne directrice </w:t>
            </w:r>
            <w:r w:rsidRPr="00661771">
              <w:rPr>
                <w:rFonts w:eastAsia="MS Mincho"/>
                <w:b/>
                <w:sz w:val="18"/>
                <w:szCs w:val="18"/>
              </w:rPr>
              <w:t>n</w:t>
            </w:r>
            <w:r w:rsidRPr="00661771">
              <w:rPr>
                <w:rFonts w:eastAsia="MS Mincho"/>
                <w:b/>
                <w:sz w:val="18"/>
                <w:szCs w:val="18"/>
                <w:vertAlign w:val="superscript"/>
              </w:rPr>
              <w:t>o</w:t>
            </w:r>
            <w:r w:rsidRPr="00661771">
              <w:rPr>
                <w:b/>
                <w:sz w:val="18"/>
                <w:szCs w:val="18"/>
              </w:rPr>
              <w:t xml:space="preserve"> 435 </w:t>
            </w:r>
            <w:r w:rsidRPr="00661771">
              <w:rPr>
                <w:b/>
                <w:sz w:val="18"/>
                <w:szCs w:val="18"/>
              </w:rPr>
              <w:br/>
              <w:t>de l’OCDE</w:t>
            </w:r>
            <w:r w:rsidRPr="00661771">
              <w:rPr>
                <w:b/>
                <w:sz w:val="18"/>
                <w:szCs w:val="18"/>
              </w:rPr>
              <w:br/>
              <w:t xml:space="preserve">Méthode d’essai </w:t>
            </w:r>
            <w:r w:rsidRPr="00B35AAC">
              <w:rPr>
                <w:b/>
                <w:i/>
                <w:sz w:val="18"/>
                <w:szCs w:val="18"/>
              </w:rPr>
              <w:t>in vitro</w:t>
            </w:r>
            <w:r w:rsidRPr="00661771">
              <w:rPr>
                <w:b/>
                <w:sz w:val="18"/>
                <w:szCs w:val="18"/>
              </w:rPr>
              <w:t xml:space="preserve"> </w:t>
            </w:r>
            <w:r w:rsidRPr="00661771">
              <w:rPr>
                <w:b/>
                <w:sz w:val="18"/>
                <w:szCs w:val="18"/>
              </w:rPr>
              <w:br/>
              <w:t xml:space="preserve">sur membrane d’étanchéité </w:t>
            </w:r>
          </w:p>
        </w:tc>
      </w:tr>
      <w:tr w:rsidR="00E63E27" w:rsidRPr="00661771" w:rsidTr="002F5DA3">
        <w:tc>
          <w:tcPr>
            <w:tcW w:w="1115" w:type="dxa"/>
            <w:vMerge/>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p>
        </w:tc>
        <w:tc>
          <w:tcPr>
            <w:tcW w:w="2503"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 xml:space="preserve">Utilisation de disques cutanés de rats. Les produits chimiques corrosifs sont décelés sur la base de leur capacité à provoquer la perte de l’intégrité du </w:t>
            </w:r>
            <w:r w:rsidRPr="00661771">
              <w:rPr>
                <w:i/>
                <w:sz w:val="18"/>
                <w:szCs w:val="18"/>
              </w:rPr>
              <w:t>stratum corneum</w:t>
            </w:r>
            <w:r w:rsidRPr="00661771">
              <w:rPr>
                <w:sz w:val="18"/>
                <w:szCs w:val="18"/>
              </w:rPr>
              <w:t xml:space="preserve">. La fonction de barrière de la peau est évaluée par l’enregistrement du passage d’ions à travers celle-ci. L’impédance électrique de la peau est mesurée au moyen de la résistance électrique transcutanée (RET). Dans le cas d’une RET réduite (présentant des valeurs autour de 5 kΩ ou moins) en l’absence d’une lésion majeure, un essai de confirmation du résultat positif est effectué lors d’une étape de fixation d’un colorant, afin de déterminer si l’accroissement de la perméabilité ionique est imputable à la destruction physique du </w:t>
            </w:r>
            <w:r w:rsidRPr="00661771">
              <w:rPr>
                <w:i/>
                <w:sz w:val="18"/>
                <w:szCs w:val="18"/>
              </w:rPr>
              <w:t>stratum corneum</w:t>
            </w:r>
            <w:r w:rsidRPr="00661771">
              <w:rPr>
                <w:sz w:val="18"/>
                <w:szCs w:val="18"/>
              </w:rPr>
              <w:t>.</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Les critères sont basés sur la valeur moyenne de la RET en kΩ, et parfois sur la teneur en colorant.</w:t>
            </w:r>
          </w:p>
        </w:tc>
        <w:tc>
          <w:tcPr>
            <w:tcW w:w="7425" w:type="dxa"/>
            <w:gridSpan w:val="4"/>
            <w:vMerge w:val="restart"/>
            <w:shd w:val="clear" w:color="auto" w:fill="auto"/>
            <w:tcMar>
              <w:top w:w="57" w:type="dxa"/>
              <w:left w:w="57" w:type="dxa"/>
              <w:bottom w:w="57" w:type="dxa"/>
              <w:right w:w="57" w:type="dxa"/>
            </w:tcMar>
          </w:tcPr>
          <w:p w:rsidR="00B35AAC" w:rsidRDefault="00E63E27" w:rsidP="00B35AAC">
            <w:pPr>
              <w:suppressAutoHyphens w:val="0"/>
              <w:spacing w:before="60" w:after="60" w:line="240" w:lineRule="auto"/>
              <w:ind w:left="57" w:right="57"/>
              <w:rPr>
                <w:sz w:val="18"/>
                <w:szCs w:val="18"/>
              </w:rPr>
            </w:pPr>
            <w:r w:rsidRPr="00661771">
              <w:rPr>
                <w:sz w:val="18"/>
                <w:szCs w:val="18"/>
              </w:rPr>
              <w:t xml:space="preserve">Quatre méthodes similaires selon lesquelles le produit chimique testé est appliqué localement sur un modèle tridimensionnel d’épiderme humain reconstitué qui reproduit fidèlement les propriétés des couches supérieures de la peau humaine. La méthode d’essai part du principe que les substances corrosives sont capables de pénétrer dans le </w:t>
            </w:r>
            <w:r w:rsidRPr="00661771">
              <w:rPr>
                <w:i/>
                <w:sz w:val="18"/>
                <w:szCs w:val="18"/>
              </w:rPr>
              <w:t xml:space="preserve">stratum corneum </w:t>
            </w:r>
            <w:r w:rsidRPr="00661771">
              <w:rPr>
                <w:sz w:val="18"/>
                <w:szCs w:val="18"/>
              </w:rPr>
              <w:t>(couche cornée), par diffusion ou érosion, et sont cytotoxiques pour les cellules des couches sous-jacentes. La viabilité des tissus est mesurée par conversion enzymatique du colorant vital MTT en un sel de formazan bleu mesuré quantitativement après son extraction des tissus.</w:t>
            </w:r>
            <w:r w:rsidR="00B35AAC">
              <w:rPr>
                <w:sz w:val="18"/>
                <w:szCs w:val="18"/>
              </w:rPr>
              <w:t xml:space="preserve"> </w:t>
            </w:r>
            <w:r w:rsidRPr="00661771">
              <w:rPr>
                <w:sz w:val="18"/>
                <w:szCs w:val="18"/>
              </w:rPr>
              <w:t xml:space="preserve">Les substances corrosives sont mises en évidence par leur capacité à faire chuter la viabilité cellulaire sous un seuil prédéterminé. </w:t>
            </w:r>
          </w:p>
          <w:p w:rsidR="00E63E27" w:rsidRPr="00661771" w:rsidRDefault="00E63E27" w:rsidP="00B35AAC">
            <w:pPr>
              <w:suppressAutoHyphens w:val="0"/>
              <w:spacing w:before="60" w:after="60" w:line="240" w:lineRule="auto"/>
              <w:ind w:left="57" w:right="57"/>
              <w:rPr>
                <w:sz w:val="18"/>
                <w:szCs w:val="18"/>
              </w:rPr>
            </w:pPr>
            <w:r w:rsidRPr="00661771">
              <w:rPr>
                <w:sz w:val="18"/>
                <w:szCs w:val="18"/>
              </w:rPr>
              <w:t>Les critères sont fondés sur le pourcentage de viabilité des tissus au terme d’une période d’exposition donnée.</w:t>
            </w:r>
          </w:p>
        </w:tc>
        <w:tc>
          <w:tcPr>
            <w:tcW w:w="2734" w:type="dxa"/>
            <w:gridSpan w:val="2"/>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 xml:space="preserve">Méthode d’essai </w:t>
            </w:r>
            <w:r w:rsidRPr="00661771">
              <w:rPr>
                <w:i/>
                <w:sz w:val="18"/>
                <w:szCs w:val="18"/>
              </w:rPr>
              <w:t>in vitro</w:t>
            </w:r>
            <w:r w:rsidRPr="00661771">
              <w:rPr>
                <w:sz w:val="18"/>
                <w:szCs w:val="18"/>
              </w:rPr>
              <w:t xml:space="preserve"> sur membrane comprenant une membrane biologique macromoléculaire synthétique et un système de détection chimique.</w:t>
            </w:r>
            <w:r w:rsidR="00525BCC">
              <w:rPr>
                <w:sz w:val="18"/>
                <w:szCs w:val="18"/>
              </w:rPr>
              <w:t xml:space="preserve"> </w:t>
            </w:r>
            <w:r w:rsidRPr="00661771">
              <w:rPr>
                <w:sz w:val="18"/>
                <w:szCs w:val="18"/>
              </w:rPr>
              <w:t>Les dommages sur la membrane sont mesurés après l’application du produit chimique sur la surface de la membrane d’étanchéité synthétique.</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Les critères sont fondés sur le temps moyen de pénétration (ou percée) de la membrane d’étanchéité ƒ par le produit chimique.</w:t>
            </w:r>
          </w:p>
        </w:tc>
      </w:tr>
      <w:tr w:rsidR="00B35AAC" w:rsidRPr="00661771" w:rsidTr="00B35AAC">
        <w:tc>
          <w:tcPr>
            <w:tcW w:w="1115" w:type="dxa"/>
            <w:vMerge/>
            <w:tcBorders>
              <w:bottom w:val="single" w:sz="4" w:space="0" w:color="auto"/>
            </w:tcBorders>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p>
        </w:tc>
        <w:tc>
          <w:tcPr>
            <w:tcW w:w="2503" w:type="dxa"/>
            <w:vMerge/>
            <w:tcBorders>
              <w:bottom w:val="single" w:sz="4" w:space="0" w:color="auto"/>
            </w:tcBorders>
            <w:shd w:val="clear" w:color="auto" w:fill="auto"/>
            <w:tcMar>
              <w:top w:w="57" w:type="dxa"/>
              <w:left w:w="57" w:type="dxa"/>
              <w:bottom w:w="57" w:type="dxa"/>
              <w:right w:w="57" w:type="dxa"/>
            </w:tcMar>
          </w:tcPr>
          <w:p w:rsidR="00E63E27" w:rsidRPr="00661771" w:rsidDel="007669F0" w:rsidRDefault="00E63E27" w:rsidP="002F5DA3">
            <w:pPr>
              <w:suppressAutoHyphens w:val="0"/>
              <w:spacing w:before="60" w:after="60" w:line="240" w:lineRule="auto"/>
              <w:ind w:left="57" w:right="57"/>
              <w:rPr>
                <w:sz w:val="18"/>
                <w:szCs w:val="18"/>
              </w:rPr>
            </w:pPr>
          </w:p>
        </w:tc>
        <w:tc>
          <w:tcPr>
            <w:tcW w:w="7425" w:type="dxa"/>
            <w:gridSpan w:val="4"/>
            <w:vMerge/>
            <w:tcBorders>
              <w:bottom w:val="single" w:sz="4" w:space="0" w:color="auto"/>
            </w:tcBorders>
            <w:shd w:val="clear" w:color="auto" w:fill="auto"/>
            <w:tcMar>
              <w:top w:w="57" w:type="dxa"/>
              <w:left w:w="57" w:type="dxa"/>
              <w:bottom w:w="57" w:type="dxa"/>
              <w:right w:w="57" w:type="dxa"/>
            </w:tcMar>
          </w:tcPr>
          <w:p w:rsidR="00E63E27" w:rsidRPr="00661771" w:rsidDel="007669F0" w:rsidRDefault="00E63E27" w:rsidP="002F5DA3">
            <w:pPr>
              <w:suppressAutoHyphens w:val="0"/>
              <w:spacing w:before="60" w:after="60" w:line="240" w:lineRule="auto"/>
              <w:ind w:left="57" w:right="57"/>
              <w:rPr>
                <w:sz w:val="18"/>
                <w:szCs w:val="18"/>
              </w:rPr>
            </w:pPr>
          </w:p>
        </w:tc>
        <w:tc>
          <w:tcPr>
            <w:tcW w:w="1439" w:type="dxa"/>
            <w:tcBorders>
              <w:bottom w:val="single" w:sz="4" w:space="0" w:color="auto"/>
            </w:tcBorders>
            <w:shd w:val="clear" w:color="auto" w:fill="auto"/>
            <w:tcMar>
              <w:top w:w="57" w:type="dxa"/>
              <w:left w:w="57" w:type="dxa"/>
              <w:bottom w:w="57" w:type="dxa"/>
              <w:right w:w="57" w:type="dxa"/>
            </w:tcMar>
          </w:tcPr>
          <w:p w:rsidR="00E63E27" w:rsidRPr="00661771" w:rsidDel="007669F0" w:rsidRDefault="00E63E27" w:rsidP="002F5DA3">
            <w:pPr>
              <w:suppressAutoHyphens w:val="0"/>
              <w:spacing w:before="60" w:after="60" w:line="240" w:lineRule="auto"/>
              <w:ind w:left="57" w:right="57"/>
              <w:rPr>
                <w:sz w:val="18"/>
                <w:szCs w:val="18"/>
              </w:rPr>
            </w:pPr>
            <w:r w:rsidRPr="00661771">
              <w:rPr>
                <w:sz w:val="18"/>
                <w:szCs w:val="18"/>
              </w:rPr>
              <w:t>Produits chimiques de type 1 (forte réserve acide ou alcaline)</w:t>
            </w:r>
          </w:p>
        </w:tc>
        <w:tc>
          <w:tcPr>
            <w:tcW w:w="1295" w:type="dxa"/>
            <w:tcBorders>
              <w:bottom w:val="single" w:sz="4" w:space="0" w:color="auto"/>
            </w:tcBorders>
            <w:shd w:val="clear" w:color="auto" w:fill="auto"/>
          </w:tcPr>
          <w:p w:rsidR="00E63E27" w:rsidRPr="00661771" w:rsidDel="007669F0" w:rsidRDefault="00E63E27" w:rsidP="002F5DA3">
            <w:pPr>
              <w:suppressAutoHyphens w:val="0"/>
              <w:spacing w:before="60" w:after="60" w:line="240" w:lineRule="auto"/>
              <w:ind w:left="57" w:right="57"/>
              <w:rPr>
                <w:sz w:val="18"/>
                <w:szCs w:val="18"/>
              </w:rPr>
            </w:pPr>
            <w:r w:rsidRPr="00661771">
              <w:rPr>
                <w:sz w:val="18"/>
                <w:szCs w:val="18"/>
              </w:rPr>
              <w:t>Produits chimiques de type 2 (faible réserve acide ou alcaline)</w:t>
            </w:r>
          </w:p>
        </w:tc>
      </w:tr>
      <w:tr w:rsidR="00E63E27" w:rsidRPr="00661771" w:rsidTr="00B35AAC">
        <w:tc>
          <w:tcPr>
            <w:tcW w:w="1115" w:type="dxa"/>
            <w:tcBorders>
              <w:bottom w:val="nil"/>
            </w:tcBorders>
            <w:shd w:val="clear" w:color="auto" w:fill="auto"/>
            <w:tcMar>
              <w:top w:w="57" w:type="dxa"/>
              <w:left w:w="57" w:type="dxa"/>
              <w:bottom w:w="57" w:type="dxa"/>
              <w:right w:w="57" w:type="dxa"/>
            </w:tcMar>
          </w:tcPr>
          <w:p w:rsidR="00E63E27" w:rsidRPr="00B35AAC" w:rsidRDefault="00E63E27" w:rsidP="002F5DA3">
            <w:pPr>
              <w:keepNext/>
              <w:suppressAutoHyphens w:val="0"/>
              <w:spacing w:before="60" w:after="60" w:line="240" w:lineRule="auto"/>
              <w:ind w:left="57" w:right="57"/>
              <w:rPr>
                <w:b/>
                <w:sz w:val="18"/>
                <w:szCs w:val="18"/>
              </w:rPr>
            </w:pPr>
            <w:r w:rsidRPr="00B35AAC">
              <w:rPr>
                <w:b/>
                <w:sz w:val="18"/>
                <w:szCs w:val="18"/>
              </w:rPr>
              <w:t>1</w:t>
            </w:r>
          </w:p>
        </w:tc>
        <w:tc>
          <w:tcPr>
            <w:tcW w:w="2503" w:type="dxa"/>
            <w:tcBorders>
              <w:bottom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299" w:right="57" w:hanging="284"/>
              <w:rPr>
                <w:sz w:val="18"/>
                <w:szCs w:val="18"/>
              </w:rPr>
            </w:pPr>
            <w:r w:rsidRPr="00661771">
              <w:rPr>
                <w:sz w:val="18"/>
                <w:szCs w:val="18"/>
              </w:rPr>
              <w:t xml:space="preserve">a) </w:t>
            </w:r>
            <w:r w:rsidRPr="00661771">
              <w:rPr>
                <w:sz w:val="18"/>
                <w:szCs w:val="18"/>
              </w:rPr>
              <w:tab/>
              <w:t>Valeur moyenne de la RET ≤5 kΩ et disques cutanés montrant des lésions manifestes (par exemple une perforation)</w:t>
            </w:r>
            <w:r w:rsidR="00525BCC">
              <w:rPr>
                <w:sz w:val="18"/>
                <w:szCs w:val="18"/>
              </w:rPr>
              <w:t> ;</w:t>
            </w:r>
            <w:r w:rsidRPr="00661771">
              <w:rPr>
                <w:sz w:val="18"/>
                <w:szCs w:val="18"/>
              </w:rPr>
              <w:t xml:space="preserve"> ou </w:t>
            </w:r>
          </w:p>
        </w:tc>
        <w:tc>
          <w:tcPr>
            <w:tcW w:w="3724" w:type="dxa"/>
            <w:tcBorders>
              <w:bottom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Méthode 1</w:t>
            </w:r>
          </w:p>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&lt;35 % après 3, 60 ou 240 min d’exposition</w:t>
            </w:r>
          </w:p>
        </w:tc>
        <w:tc>
          <w:tcPr>
            <w:tcW w:w="3701" w:type="dxa"/>
            <w:gridSpan w:val="3"/>
            <w:tcBorders>
              <w:bottom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Méthodes 2, 3 et 4</w:t>
            </w:r>
          </w:p>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&lt;50 % après 3 min d’exposition</w:t>
            </w:r>
            <w:r w:rsidR="00525BCC">
              <w:rPr>
                <w:sz w:val="18"/>
                <w:szCs w:val="18"/>
              </w:rPr>
              <w:t> ;</w:t>
            </w:r>
            <w:r w:rsidRPr="00661771">
              <w:rPr>
                <w:sz w:val="18"/>
                <w:szCs w:val="18"/>
              </w:rPr>
              <w:t xml:space="preserve"> ou</w:t>
            </w:r>
          </w:p>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≥50 % après 3 min d’exposition et &lt;15 % après 60 min d’exposition</w:t>
            </w:r>
          </w:p>
        </w:tc>
        <w:tc>
          <w:tcPr>
            <w:tcW w:w="1439" w:type="dxa"/>
            <w:tcBorders>
              <w:bottom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≤240 min</w:t>
            </w:r>
          </w:p>
        </w:tc>
        <w:tc>
          <w:tcPr>
            <w:tcW w:w="1295" w:type="dxa"/>
            <w:tcBorders>
              <w:bottom w:val="nil"/>
            </w:tcBorders>
            <w:shd w:val="clear" w:color="auto" w:fill="auto"/>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≤60 min</w:t>
            </w:r>
          </w:p>
        </w:tc>
      </w:tr>
      <w:tr w:rsidR="00E63E27" w:rsidRPr="00661771" w:rsidTr="00014E63">
        <w:tc>
          <w:tcPr>
            <w:tcW w:w="1115" w:type="dxa"/>
            <w:tcBorders>
              <w:top w:val="nil"/>
              <w:bottom w:val="nil"/>
            </w:tcBorders>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p>
        </w:tc>
        <w:tc>
          <w:tcPr>
            <w:tcW w:w="2503" w:type="dxa"/>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299" w:right="57" w:hanging="284"/>
              <w:rPr>
                <w:sz w:val="18"/>
                <w:szCs w:val="18"/>
              </w:rPr>
            </w:pPr>
            <w:r w:rsidRPr="00661771">
              <w:rPr>
                <w:sz w:val="18"/>
                <w:szCs w:val="18"/>
              </w:rPr>
              <w:t>b)</w:t>
            </w:r>
            <w:r w:rsidRPr="00661771">
              <w:rPr>
                <w:sz w:val="18"/>
                <w:szCs w:val="18"/>
              </w:rPr>
              <w:tab/>
              <w:t>Valeur moyenne de la RET ≤5 kΩ et</w:t>
            </w:r>
            <w:r w:rsidR="00525BCC">
              <w:rPr>
                <w:sz w:val="18"/>
                <w:szCs w:val="18"/>
              </w:rPr>
              <w:t> :</w:t>
            </w:r>
          </w:p>
        </w:tc>
        <w:tc>
          <w:tcPr>
            <w:tcW w:w="3724" w:type="dxa"/>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3701" w:type="dxa"/>
            <w:gridSpan w:val="3"/>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439" w:type="dxa"/>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95" w:type="dxa"/>
            <w:tcBorders>
              <w:top w:val="nil"/>
              <w:bottom w:val="nil"/>
            </w:tcBorders>
            <w:shd w:val="clear" w:color="auto" w:fill="auto"/>
          </w:tcPr>
          <w:p w:rsidR="00E63E27" w:rsidRPr="00661771" w:rsidRDefault="00E63E27" w:rsidP="002F5DA3">
            <w:pPr>
              <w:suppressAutoHyphens w:val="0"/>
              <w:spacing w:before="60" w:after="60" w:line="240" w:lineRule="auto"/>
              <w:ind w:left="57" w:right="57"/>
              <w:rPr>
                <w:sz w:val="18"/>
                <w:szCs w:val="18"/>
              </w:rPr>
            </w:pPr>
          </w:p>
        </w:tc>
      </w:tr>
      <w:tr w:rsidR="00E63E27" w:rsidRPr="00661771" w:rsidTr="00014E63">
        <w:tc>
          <w:tcPr>
            <w:tcW w:w="1115" w:type="dxa"/>
            <w:tcBorders>
              <w:top w:val="nil"/>
              <w:bottom w:val="nil"/>
            </w:tcBorders>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p>
        </w:tc>
        <w:tc>
          <w:tcPr>
            <w:tcW w:w="2503" w:type="dxa"/>
            <w:tcBorders>
              <w:top w:val="nil"/>
              <w:bottom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85" w:right="57" w:hanging="284"/>
              <w:rPr>
                <w:sz w:val="18"/>
                <w:szCs w:val="18"/>
              </w:rPr>
            </w:pPr>
            <w:r w:rsidRPr="00661771">
              <w:rPr>
                <w:sz w:val="18"/>
                <w:szCs w:val="18"/>
              </w:rPr>
              <w:t>i)</w:t>
            </w:r>
            <w:r w:rsidRPr="00661771">
              <w:rPr>
                <w:sz w:val="18"/>
                <w:szCs w:val="18"/>
              </w:rPr>
              <w:tab/>
              <w:t>Les disques cutanés ne montrent aucune lésion manifeste (par exemple une perforation)</w:t>
            </w:r>
            <w:r w:rsidR="00525BCC">
              <w:rPr>
                <w:sz w:val="18"/>
                <w:szCs w:val="18"/>
              </w:rPr>
              <w:t> ;</w:t>
            </w:r>
            <w:r w:rsidRPr="00661771">
              <w:rPr>
                <w:sz w:val="18"/>
                <w:szCs w:val="18"/>
              </w:rPr>
              <w:t xml:space="preserve"> mais</w:t>
            </w:r>
          </w:p>
        </w:tc>
        <w:tc>
          <w:tcPr>
            <w:tcW w:w="3724" w:type="dxa"/>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3701" w:type="dxa"/>
            <w:gridSpan w:val="3"/>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439" w:type="dxa"/>
            <w:tcBorders>
              <w:top w:val="nil"/>
              <w:bottom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95" w:type="dxa"/>
            <w:tcBorders>
              <w:top w:val="nil"/>
              <w:bottom w:val="nil"/>
            </w:tcBorders>
            <w:shd w:val="clear" w:color="auto" w:fill="auto"/>
          </w:tcPr>
          <w:p w:rsidR="00E63E27" w:rsidRPr="00661771" w:rsidRDefault="00E63E27" w:rsidP="002F5DA3">
            <w:pPr>
              <w:suppressAutoHyphens w:val="0"/>
              <w:spacing w:before="60" w:after="60" w:line="240" w:lineRule="auto"/>
              <w:ind w:left="57" w:right="57"/>
              <w:rPr>
                <w:sz w:val="18"/>
                <w:szCs w:val="18"/>
              </w:rPr>
            </w:pPr>
          </w:p>
        </w:tc>
      </w:tr>
      <w:tr w:rsidR="00E63E27" w:rsidRPr="00661771" w:rsidTr="00014E63">
        <w:tc>
          <w:tcPr>
            <w:tcW w:w="1115" w:type="dxa"/>
            <w:tcBorders>
              <w:top w:val="nil"/>
            </w:tcBorders>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p>
        </w:tc>
        <w:tc>
          <w:tcPr>
            <w:tcW w:w="2503" w:type="dxa"/>
            <w:tcBorders>
              <w:top w:val="nil"/>
            </w:tcBorders>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85" w:right="57" w:hanging="284"/>
              <w:rPr>
                <w:sz w:val="18"/>
                <w:szCs w:val="18"/>
              </w:rPr>
            </w:pPr>
            <w:r w:rsidRPr="00661771">
              <w:rPr>
                <w:sz w:val="18"/>
                <w:szCs w:val="18"/>
              </w:rPr>
              <w:t>ii)</w:t>
            </w:r>
            <w:r w:rsidRPr="00661771">
              <w:rPr>
                <w:sz w:val="18"/>
                <w:szCs w:val="18"/>
              </w:rPr>
              <w:tab/>
              <w:t>L’essai de confirmation du résultat positif lors d’une étape de fixation d’un colorant est positif</w:t>
            </w:r>
            <w:r w:rsidRPr="00661771">
              <w:rPr>
                <w:i/>
                <w:sz w:val="18"/>
                <w:szCs w:val="18"/>
              </w:rPr>
              <w:t>.</w:t>
            </w:r>
          </w:p>
        </w:tc>
        <w:tc>
          <w:tcPr>
            <w:tcW w:w="3724" w:type="dxa"/>
            <w:tcBorders>
              <w:top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3701" w:type="dxa"/>
            <w:gridSpan w:val="3"/>
            <w:tcBorders>
              <w:top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439" w:type="dxa"/>
            <w:tcBorders>
              <w:top w:val="nil"/>
            </w:tcBorders>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95" w:type="dxa"/>
            <w:tcBorders>
              <w:top w:val="nil"/>
            </w:tcBorders>
            <w:shd w:val="clear" w:color="auto" w:fill="auto"/>
          </w:tcPr>
          <w:p w:rsidR="00E63E27" w:rsidRPr="00661771" w:rsidRDefault="00E63E27" w:rsidP="002F5DA3">
            <w:pPr>
              <w:suppressAutoHyphens w:val="0"/>
              <w:spacing w:before="60" w:after="60" w:line="240" w:lineRule="auto"/>
              <w:ind w:left="57" w:right="57"/>
              <w:rPr>
                <w:sz w:val="18"/>
                <w:szCs w:val="18"/>
              </w:rPr>
            </w:pPr>
          </w:p>
        </w:tc>
      </w:tr>
      <w:tr w:rsidR="00E63E27" w:rsidRPr="00661771" w:rsidTr="002F5DA3">
        <w:tc>
          <w:tcPr>
            <w:tcW w:w="1115" w:type="dxa"/>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r w:rsidRPr="00B35AAC">
              <w:rPr>
                <w:b/>
                <w:sz w:val="18"/>
                <w:szCs w:val="18"/>
              </w:rPr>
              <w:t>1A</w:t>
            </w:r>
          </w:p>
        </w:tc>
        <w:tc>
          <w:tcPr>
            <w:tcW w:w="2503"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Sans objet</w:t>
            </w:r>
          </w:p>
        </w:tc>
        <w:tc>
          <w:tcPr>
            <w:tcW w:w="3724"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Méthode 1</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&lt;35 % après 3 min d’exposition</w:t>
            </w:r>
          </w:p>
        </w:tc>
        <w:tc>
          <w:tcPr>
            <w:tcW w:w="1234"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Méthode 2</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&lt;25 % après 3 min d’exposition</w:t>
            </w:r>
          </w:p>
        </w:tc>
        <w:tc>
          <w:tcPr>
            <w:tcW w:w="1233"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Méthode 3</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&lt;18 % après 3 min d’exposition</w:t>
            </w:r>
          </w:p>
        </w:tc>
        <w:tc>
          <w:tcPr>
            <w:tcW w:w="1234"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Méthode 4</w:t>
            </w:r>
          </w:p>
          <w:p w:rsidR="00E63E27" w:rsidRPr="00661771" w:rsidRDefault="00E63E27" w:rsidP="002F5DA3">
            <w:pPr>
              <w:suppressAutoHyphens w:val="0"/>
              <w:spacing w:before="60" w:after="60" w:line="240" w:lineRule="auto"/>
              <w:ind w:left="57" w:right="57"/>
              <w:rPr>
                <w:sz w:val="18"/>
                <w:szCs w:val="18"/>
              </w:rPr>
            </w:pPr>
            <w:r>
              <w:rPr>
                <w:sz w:val="18"/>
                <w:szCs w:val="18"/>
              </w:rPr>
              <w:t>&lt;</w:t>
            </w:r>
            <w:r w:rsidRPr="00661771">
              <w:rPr>
                <w:sz w:val="18"/>
                <w:szCs w:val="18"/>
              </w:rPr>
              <w:t>15 % après 3 min d’exposition</w:t>
            </w:r>
          </w:p>
        </w:tc>
        <w:tc>
          <w:tcPr>
            <w:tcW w:w="1439"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0-3 min</w:t>
            </w:r>
          </w:p>
        </w:tc>
        <w:tc>
          <w:tcPr>
            <w:tcW w:w="1295" w:type="dxa"/>
            <w:shd w:val="clear" w:color="auto" w:fill="auto"/>
          </w:tcPr>
          <w:p w:rsidR="00E63E27" w:rsidRPr="00661771" w:rsidRDefault="00E63E27" w:rsidP="002F5DA3">
            <w:pPr>
              <w:suppressAutoHyphens w:val="0"/>
              <w:spacing w:before="60" w:after="60" w:line="240" w:lineRule="auto"/>
              <w:ind w:left="57" w:right="57"/>
              <w:rPr>
                <w:sz w:val="18"/>
                <w:szCs w:val="18"/>
              </w:rPr>
            </w:pPr>
            <w:r w:rsidRPr="00661771">
              <w:rPr>
                <w:sz w:val="18"/>
                <w:szCs w:val="18"/>
              </w:rPr>
              <w:t>0-3 min</w:t>
            </w:r>
          </w:p>
        </w:tc>
      </w:tr>
      <w:tr w:rsidR="00E63E27" w:rsidRPr="00661771" w:rsidTr="002F5DA3">
        <w:tc>
          <w:tcPr>
            <w:tcW w:w="1115" w:type="dxa"/>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r w:rsidRPr="00B35AAC">
              <w:rPr>
                <w:b/>
                <w:sz w:val="18"/>
                <w:szCs w:val="18"/>
              </w:rPr>
              <w:t>1B</w:t>
            </w:r>
          </w:p>
        </w:tc>
        <w:tc>
          <w:tcPr>
            <w:tcW w:w="2503"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3724"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 xml:space="preserve">≥35 % après 3 min d’exposition et </w:t>
            </w:r>
            <w:r w:rsidRPr="00661771">
              <w:rPr>
                <w:sz w:val="18"/>
                <w:szCs w:val="18"/>
              </w:rPr>
              <w:br/>
              <w:t>&lt;35 % après 60 min d’exposition</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 xml:space="preserve">ou </w:t>
            </w:r>
          </w:p>
          <w:p w:rsidR="00E63E27" w:rsidRPr="00661771" w:rsidRDefault="00E63E27" w:rsidP="002F5DA3">
            <w:pPr>
              <w:suppressAutoHyphens w:val="0"/>
              <w:spacing w:before="60" w:after="60" w:line="240" w:lineRule="auto"/>
              <w:ind w:left="57" w:right="57"/>
              <w:rPr>
                <w:sz w:val="18"/>
                <w:szCs w:val="18"/>
              </w:rPr>
            </w:pPr>
            <w:r w:rsidRPr="00661771">
              <w:rPr>
                <w:sz w:val="18"/>
                <w:szCs w:val="18"/>
              </w:rPr>
              <w:t>≥35 % après 60 min d’exposition et &lt;35 % après 240 min d’exposition</w:t>
            </w:r>
          </w:p>
        </w:tc>
        <w:tc>
          <w:tcPr>
            <w:tcW w:w="1234"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≥25 % après 3 min d’exposition et répondant aux critères pour la catégorie 1</w:t>
            </w:r>
          </w:p>
        </w:tc>
        <w:tc>
          <w:tcPr>
            <w:tcW w:w="1233"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≥18 % après 3 min d’exposition et répondant aux critères pour la catégorie 1</w:t>
            </w:r>
          </w:p>
        </w:tc>
        <w:tc>
          <w:tcPr>
            <w:tcW w:w="1234" w:type="dxa"/>
            <w:vMerge w:val="restart"/>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≥15 % après 3 min d’exposition et répondant aux critères pour la catégorie 1</w:t>
            </w:r>
          </w:p>
        </w:tc>
        <w:tc>
          <w:tcPr>
            <w:tcW w:w="1439"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&gt;3 à 60 min</w:t>
            </w:r>
          </w:p>
        </w:tc>
        <w:tc>
          <w:tcPr>
            <w:tcW w:w="1295" w:type="dxa"/>
            <w:shd w:val="clear" w:color="auto" w:fill="auto"/>
          </w:tcPr>
          <w:p w:rsidR="00E63E27" w:rsidRPr="00661771" w:rsidRDefault="00E63E27" w:rsidP="002F5DA3">
            <w:pPr>
              <w:suppressAutoHyphens w:val="0"/>
              <w:spacing w:before="60" w:after="60" w:line="240" w:lineRule="auto"/>
              <w:ind w:left="57" w:right="57"/>
              <w:rPr>
                <w:sz w:val="18"/>
                <w:szCs w:val="18"/>
              </w:rPr>
            </w:pPr>
            <w:r w:rsidRPr="00661771">
              <w:rPr>
                <w:sz w:val="18"/>
                <w:szCs w:val="18"/>
              </w:rPr>
              <w:t>&gt;3 à 30 min</w:t>
            </w:r>
          </w:p>
        </w:tc>
      </w:tr>
      <w:tr w:rsidR="00E63E27" w:rsidRPr="00661771" w:rsidTr="002F5DA3">
        <w:tc>
          <w:tcPr>
            <w:tcW w:w="1115" w:type="dxa"/>
            <w:shd w:val="clear" w:color="auto" w:fill="auto"/>
            <w:tcMar>
              <w:top w:w="57" w:type="dxa"/>
              <w:left w:w="57" w:type="dxa"/>
              <w:bottom w:w="57" w:type="dxa"/>
              <w:right w:w="57" w:type="dxa"/>
            </w:tcMar>
          </w:tcPr>
          <w:p w:rsidR="00E63E27" w:rsidRPr="00B35AAC" w:rsidRDefault="00E63E27" w:rsidP="002F5DA3">
            <w:pPr>
              <w:suppressAutoHyphens w:val="0"/>
              <w:spacing w:before="60" w:after="60" w:line="240" w:lineRule="auto"/>
              <w:ind w:left="57" w:right="57"/>
              <w:rPr>
                <w:b/>
                <w:sz w:val="18"/>
                <w:szCs w:val="18"/>
              </w:rPr>
            </w:pPr>
            <w:r w:rsidRPr="00B35AAC">
              <w:rPr>
                <w:b/>
                <w:sz w:val="18"/>
                <w:szCs w:val="18"/>
              </w:rPr>
              <w:t>1C</w:t>
            </w:r>
          </w:p>
        </w:tc>
        <w:tc>
          <w:tcPr>
            <w:tcW w:w="2503"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3724"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34"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33"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234" w:type="dxa"/>
            <w:vMerge/>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p>
        </w:tc>
        <w:tc>
          <w:tcPr>
            <w:tcW w:w="1439" w:type="dxa"/>
            <w:shd w:val="clear" w:color="auto" w:fill="auto"/>
            <w:tcMar>
              <w:top w:w="57" w:type="dxa"/>
              <w:left w:w="57" w:type="dxa"/>
              <w:bottom w:w="57" w:type="dxa"/>
              <w:right w:w="57" w:type="dxa"/>
            </w:tcMar>
          </w:tcPr>
          <w:p w:rsidR="00E63E27" w:rsidRPr="00661771" w:rsidRDefault="00E63E27" w:rsidP="002F5DA3">
            <w:pPr>
              <w:suppressAutoHyphens w:val="0"/>
              <w:spacing w:before="60" w:after="60" w:line="240" w:lineRule="auto"/>
              <w:ind w:left="57" w:right="57"/>
              <w:rPr>
                <w:sz w:val="18"/>
                <w:szCs w:val="18"/>
              </w:rPr>
            </w:pPr>
            <w:r w:rsidRPr="00661771">
              <w:rPr>
                <w:sz w:val="18"/>
                <w:szCs w:val="18"/>
              </w:rPr>
              <w:t>&gt;60 à 240 min</w:t>
            </w:r>
          </w:p>
        </w:tc>
        <w:tc>
          <w:tcPr>
            <w:tcW w:w="1295" w:type="dxa"/>
            <w:shd w:val="clear" w:color="auto" w:fill="auto"/>
          </w:tcPr>
          <w:p w:rsidR="00E63E27" w:rsidRPr="00661771" w:rsidRDefault="00E63E27" w:rsidP="002F5DA3">
            <w:pPr>
              <w:suppressAutoHyphens w:val="0"/>
              <w:spacing w:before="60" w:after="60" w:line="240" w:lineRule="auto"/>
              <w:ind w:left="57" w:right="57"/>
              <w:rPr>
                <w:sz w:val="18"/>
                <w:szCs w:val="18"/>
              </w:rPr>
            </w:pPr>
            <w:r w:rsidRPr="00661771">
              <w:rPr>
                <w:sz w:val="18"/>
                <w:szCs w:val="18"/>
              </w:rPr>
              <w:t>&gt;30 à 60 min</w:t>
            </w:r>
          </w:p>
        </w:tc>
      </w:tr>
      <w:tr w:rsidR="00E63E27" w:rsidRPr="00661771" w:rsidTr="002F5DA3">
        <w:tc>
          <w:tcPr>
            <w:tcW w:w="1115" w:type="dxa"/>
            <w:shd w:val="clear" w:color="auto" w:fill="auto"/>
            <w:tcMar>
              <w:top w:w="57" w:type="dxa"/>
              <w:left w:w="57" w:type="dxa"/>
              <w:bottom w:w="57" w:type="dxa"/>
              <w:right w:w="57" w:type="dxa"/>
            </w:tcMar>
          </w:tcPr>
          <w:p w:rsidR="00E63E27" w:rsidRPr="00B35AAC" w:rsidRDefault="00E63E27" w:rsidP="002F5DA3">
            <w:pPr>
              <w:keepNext/>
              <w:suppressAutoHyphens w:val="0"/>
              <w:spacing w:before="60" w:after="60" w:line="240" w:lineRule="auto"/>
              <w:ind w:left="57" w:right="57"/>
              <w:rPr>
                <w:b/>
                <w:sz w:val="18"/>
                <w:szCs w:val="18"/>
              </w:rPr>
            </w:pPr>
            <w:r w:rsidRPr="00B35AAC">
              <w:rPr>
                <w:b/>
                <w:sz w:val="18"/>
                <w:szCs w:val="18"/>
              </w:rPr>
              <w:t>Non classé comme corrosif pour la peau</w:t>
            </w:r>
          </w:p>
        </w:tc>
        <w:tc>
          <w:tcPr>
            <w:tcW w:w="2503" w:type="dxa"/>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299" w:right="57" w:hanging="284"/>
              <w:rPr>
                <w:sz w:val="18"/>
                <w:szCs w:val="18"/>
              </w:rPr>
            </w:pPr>
            <w:r w:rsidRPr="00661771">
              <w:rPr>
                <w:sz w:val="18"/>
                <w:szCs w:val="18"/>
              </w:rPr>
              <w:t>a)</w:t>
            </w:r>
            <w:r w:rsidRPr="00661771">
              <w:rPr>
                <w:sz w:val="18"/>
                <w:szCs w:val="18"/>
              </w:rPr>
              <w:tab/>
              <w:t>La valeur moyenne de la RET est &gt;5 kΩ</w:t>
            </w:r>
            <w:r w:rsidR="00525BCC">
              <w:rPr>
                <w:sz w:val="18"/>
                <w:szCs w:val="18"/>
              </w:rPr>
              <w:t> ;</w:t>
            </w:r>
            <w:r w:rsidRPr="00661771">
              <w:rPr>
                <w:sz w:val="18"/>
                <w:szCs w:val="18"/>
              </w:rPr>
              <w:t xml:space="preserve"> ou </w:t>
            </w:r>
          </w:p>
          <w:p w:rsidR="00E63E27" w:rsidRPr="00661771" w:rsidRDefault="00E63E27" w:rsidP="002F5DA3">
            <w:pPr>
              <w:keepNext/>
              <w:suppressAutoHyphens w:val="0"/>
              <w:spacing w:before="60" w:after="60" w:line="240" w:lineRule="auto"/>
              <w:ind w:left="299" w:right="57" w:hanging="284"/>
              <w:rPr>
                <w:sz w:val="18"/>
                <w:szCs w:val="18"/>
              </w:rPr>
            </w:pPr>
            <w:r w:rsidRPr="00661771">
              <w:rPr>
                <w:sz w:val="18"/>
                <w:szCs w:val="18"/>
              </w:rPr>
              <w:t>b)</w:t>
            </w:r>
            <w:r w:rsidRPr="00661771">
              <w:rPr>
                <w:sz w:val="18"/>
                <w:szCs w:val="18"/>
              </w:rPr>
              <w:tab/>
              <w:t>La valeur moyenne de la RET est ≤5 kΩ et</w:t>
            </w:r>
            <w:r w:rsidR="00525BCC">
              <w:rPr>
                <w:sz w:val="18"/>
                <w:szCs w:val="18"/>
              </w:rPr>
              <w:t> :</w:t>
            </w:r>
          </w:p>
          <w:p w:rsidR="00E63E27" w:rsidRPr="00661771" w:rsidRDefault="00E63E27" w:rsidP="002F5DA3">
            <w:pPr>
              <w:keepNext/>
              <w:suppressAutoHyphens w:val="0"/>
              <w:spacing w:before="60" w:after="60" w:line="240" w:lineRule="auto"/>
              <w:ind w:left="585" w:right="57" w:hanging="284"/>
              <w:rPr>
                <w:sz w:val="18"/>
                <w:szCs w:val="18"/>
              </w:rPr>
            </w:pPr>
            <w:r w:rsidRPr="00661771">
              <w:rPr>
                <w:sz w:val="18"/>
                <w:szCs w:val="18"/>
              </w:rPr>
              <w:t>i)</w:t>
            </w:r>
            <w:r w:rsidRPr="00661771">
              <w:rPr>
                <w:sz w:val="18"/>
                <w:szCs w:val="18"/>
              </w:rPr>
              <w:tab/>
              <w:t>Les disques cutanés ne montrent aucune lésion manifeste (par exemple une perforation)</w:t>
            </w:r>
            <w:r w:rsidR="00525BCC">
              <w:rPr>
                <w:sz w:val="18"/>
                <w:szCs w:val="18"/>
              </w:rPr>
              <w:t> ;</w:t>
            </w:r>
            <w:r w:rsidRPr="00661771">
              <w:rPr>
                <w:sz w:val="18"/>
                <w:szCs w:val="18"/>
              </w:rPr>
              <w:t xml:space="preserve"> et </w:t>
            </w:r>
          </w:p>
          <w:p w:rsidR="00E63E27" w:rsidRPr="00661771" w:rsidRDefault="00E63E27" w:rsidP="002F5DA3">
            <w:pPr>
              <w:keepNext/>
              <w:suppressAutoHyphens w:val="0"/>
              <w:spacing w:before="60" w:after="60" w:line="240" w:lineRule="auto"/>
              <w:ind w:left="585" w:right="57" w:hanging="284"/>
              <w:rPr>
                <w:sz w:val="18"/>
                <w:szCs w:val="18"/>
              </w:rPr>
            </w:pPr>
            <w:r w:rsidRPr="00661771">
              <w:rPr>
                <w:sz w:val="18"/>
                <w:szCs w:val="18"/>
              </w:rPr>
              <w:t>ii)</w:t>
            </w:r>
            <w:r w:rsidRPr="00661771">
              <w:rPr>
                <w:sz w:val="18"/>
                <w:szCs w:val="18"/>
              </w:rPr>
              <w:tab/>
              <w:t>L’essai de confirmation du résultat positif lors d’une étape de fixation d’un colorant est négatif.</w:t>
            </w:r>
          </w:p>
        </w:tc>
        <w:tc>
          <w:tcPr>
            <w:tcW w:w="3724" w:type="dxa"/>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≥35 % après 240 min d’exposition</w:t>
            </w:r>
          </w:p>
        </w:tc>
        <w:tc>
          <w:tcPr>
            <w:tcW w:w="3701" w:type="dxa"/>
            <w:gridSpan w:val="3"/>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≥50 % après 3 min d’exposition et ≥15 % après 60 min d’exposition</w:t>
            </w:r>
          </w:p>
        </w:tc>
        <w:tc>
          <w:tcPr>
            <w:tcW w:w="1439" w:type="dxa"/>
            <w:shd w:val="clear" w:color="auto" w:fill="auto"/>
            <w:tcMar>
              <w:top w:w="57" w:type="dxa"/>
              <w:left w:w="57" w:type="dxa"/>
              <w:bottom w:w="57" w:type="dxa"/>
              <w:right w:w="57" w:type="dxa"/>
            </w:tcMar>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&gt;240 min</w:t>
            </w:r>
          </w:p>
        </w:tc>
        <w:tc>
          <w:tcPr>
            <w:tcW w:w="1295" w:type="dxa"/>
            <w:shd w:val="clear" w:color="auto" w:fill="auto"/>
          </w:tcPr>
          <w:p w:rsidR="00E63E27" w:rsidRPr="00661771" w:rsidRDefault="00E63E27" w:rsidP="002F5DA3">
            <w:pPr>
              <w:keepNext/>
              <w:suppressAutoHyphens w:val="0"/>
              <w:spacing w:before="60" w:after="60" w:line="240" w:lineRule="auto"/>
              <w:ind w:left="57" w:right="57"/>
              <w:rPr>
                <w:sz w:val="18"/>
                <w:szCs w:val="18"/>
              </w:rPr>
            </w:pPr>
            <w:r w:rsidRPr="00661771">
              <w:rPr>
                <w:sz w:val="18"/>
                <w:szCs w:val="18"/>
              </w:rPr>
              <w:t>&gt;60 min</w:t>
            </w:r>
          </w:p>
        </w:tc>
      </w:tr>
      <w:bookmarkEnd w:id="1"/>
    </w:tbl>
    <w:p w:rsidR="00AC212D" w:rsidRDefault="00AC212D" w:rsidP="00804DE2">
      <w:pPr>
        <w:spacing w:before="60" w:after="60" w:line="240" w:lineRule="auto"/>
        <w:sectPr w:rsidR="00AC212D" w:rsidSect="007F5A87">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AC212D" w:rsidRPr="00035E7F" w:rsidRDefault="00AC212D" w:rsidP="00AC212D">
      <w:pPr>
        <w:pStyle w:val="SingleTxtG"/>
        <w:keepNext/>
      </w:pPr>
      <w:r w:rsidRPr="00035E7F">
        <w:lastRenderedPageBreak/>
        <w:t>Ajouter un nouveau tableau portant le titre suivant</w:t>
      </w:r>
      <w:r w:rsidR="00525BCC">
        <w:t> :</w:t>
      </w:r>
    </w:p>
    <w:p w:rsidR="00AC212D" w:rsidRPr="00035E7F" w:rsidRDefault="00AC212D" w:rsidP="00AC212D">
      <w:pPr>
        <w:pStyle w:val="SingleTxtG"/>
      </w:pPr>
      <w:r>
        <w:t>« </w:t>
      </w:r>
      <w:r w:rsidRPr="00035E7F">
        <w:t>Tableau 3.2.7 Critères d</w:t>
      </w:r>
      <w:r>
        <w:t>’</w:t>
      </w:r>
      <w:r w:rsidRPr="00035E7F">
        <w:t xml:space="preserve">irritation cutanée pour les méthodes </w:t>
      </w:r>
      <w:r w:rsidRPr="00035E7F">
        <w:rPr>
          <w:i/>
        </w:rPr>
        <w:t>in vitro</w:t>
      </w:r>
      <w:r>
        <w:t> ».</w:t>
      </w:r>
    </w:p>
    <w:p w:rsidR="00AC212D" w:rsidRPr="00035E7F" w:rsidRDefault="00AC212D" w:rsidP="00525BCC">
      <w:pPr>
        <w:pStyle w:val="SingleTxtG"/>
        <w:keepNext/>
      </w:pPr>
      <w:r w:rsidRPr="00035E7F">
        <w:t>Insérer le nouveau tableau suivant</w:t>
      </w:r>
      <w:r w:rsidR="00525BCC">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6"/>
        <w:gridCol w:w="5874"/>
      </w:tblGrid>
      <w:tr w:rsidR="00C75273" w:rsidRPr="00C75273" w:rsidTr="00526CD7">
        <w:trPr>
          <w:tblHeader/>
        </w:trPr>
        <w:tc>
          <w:tcPr>
            <w:tcW w:w="1496" w:type="dxa"/>
            <w:vMerge w:val="restart"/>
            <w:shd w:val="clear" w:color="auto" w:fill="auto"/>
            <w:tcMar>
              <w:top w:w="57" w:type="dxa"/>
              <w:left w:w="57" w:type="dxa"/>
              <w:bottom w:w="57" w:type="dxa"/>
              <w:right w:w="57" w:type="dxa"/>
            </w:tcMar>
          </w:tcPr>
          <w:p w:rsidR="00C75273" w:rsidRPr="00C75273" w:rsidRDefault="00C75273" w:rsidP="00C75273">
            <w:pPr>
              <w:spacing w:before="60" w:after="60" w:line="240" w:lineRule="auto"/>
              <w:ind w:left="57" w:right="57"/>
              <w:rPr>
                <w:b/>
              </w:rPr>
            </w:pPr>
            <w:r w:rsidRPr="00C75273">
              <w:rPr>
                <w:b/>
              </w:rPr>
              <w:t>Catégorie</w:t>
            </w:r>
          </w:p>
        </w:tc>
        <w:tc>
          <w:tcPr>
            <w:tcW w:w="5874" w:type="dxa"/>
            <w:shd w:val="clear" w:color="auto" w:fill="auto"/>
            <w:tcMar>
              <w:top w:w="57" w:type="dxa"/>
              <w:left w:w="57" w:type="dxa"/>
              <w:bottom w:w="57" w:type="dxa"/>
              <w:right w:w="57" w:type="dxa"/>
            </w:tcMar>
          </w:tcPr>
          <w:p w:rsidR="00C75273" w:rsidRPr="00C75273" w:rsidRDefault="00C75273" w:rsidP="00663DDA">
            <w:pPr>
              <w:spacing w:before="60" w:after="60" w:line="240" w:lineRule="auto"/>
              <w:ind w:left="57" w:right="57"/>
              <w:rPr>
                <w:i/>
              </w:rPr>
            </w:pPr>
            <w:r w:rsidRPr="00C75273">
              <w:rPr>
                <w:b/>
              </w:rPr>
              <w:t xml:space="preserve">Ligne directrice </w:t>
            </w:r>
            <w:r w:rsidR="00663DDA" w:rsidRPr="00663DDA">
              <w:rPr>
                <w:rFonts w:eastAsia="MS Mincho"/>
                <w:b/>
              </w:rPr>
              <w:t>n</w:t>
            </w:r>
            <w:r w:rsidR="00663DDA" w:rsidRPr="00663DDA">
              <w:rPr>
                <w:rFonts w:eastAsia="MS Mincho"/>
                <w:b/>
                <w:vertAlign w:val="superscript"/>
              </w:rPr>
              <w:t>o</w:t>
            </w:r>
            <w:r w:rsidR="00663DDA">
              <w:rPr>
                <w:b/>
              </w:rPr>
              <w:t> </w:t>
            </w:r>
            <w:r w:rsidRPr="00C75273">
              <w:rPr>
                <w:b/>
              </w:rPr>
              <w:t>439 de l’OCDE</w:t>
            </w:r>
            <w:r w:rsidRPr="00C75273">
              <w:rPr>
                <w:b/>
              </w:rPr>
              <w:br/>
              <w:t>Méthodes d’essai sur épiderme humain reconstitué</w:t>
            </w:r>
          </w:p>
        </w:tc>
      </w:tr>
      <w:tr w:rsidR="00AC212D" w:rsidRPr="00C75273" w:rsidTr="00526CD7">
        <w:trPr>
          <w:tblHeader/>
        </w:trPr>
        <w:tc>
          <w:tcPr>
            <w:tcW w:w="1496" w:type="dxa"/>
            <w:vMerge/>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rPr>
                <w:b/>
              </w:rPr>
            </w:pPr>
          </w:p>
        </w:tc>
        <w:tc>
          <w:tcPr>
            <w:tcW w:w="5874"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pPr>
            <w:r w:rsidRPr="00C75273">
              <w:t>Quatre méthodes similaires (1 à 4) selon lesquelles le produit chimique est appliqué localement à un modèle tridimensionnel d’épiderme humain reconstitué, qui reproduit fidèlement les propriétés des couches supérieures de la peau humaine. La viabilité tissulaire est mesurée par conversion enzymatique du colorant vital MTT en un sel de formazan bleu mesuré quantitativement après son extraction des tissus. Les produits chimiques irritants sont mis en évidence par leur capacité à faire chuter la viabilité cellulaire sous un seuil prédéterminé.</w:t>
            </w:r>
          </w:p>
          <w:p w:rsidR="00AC212D" w:rsidRPr="00C75273" w:rsidRDefault="00AC212D" w:rsidP="00C75273">
            <w:pPr>
              <w:spacing w:before="60" w:after="60" w:line="240" w:lineRule="auto"/>
              <w:ind w:left="57" w:right="57"/>
            </w:pPr>
            <w:r w:rsidRPr="00C75273">
              <w:t>Les critères sont fondés sur le pourcentage moyen de viabilité tissulaire après exposition et incubation post-traitement.</w:t>
            </w:r>
          </w:p>
        </w:tc>
      </w:tr>
      <w:tr w:rsidR="00AC212D" w:rsidRPr="00C75273" w:rsidTr="00526CD7">
        <w:tc>
          <w:tcPr>
            <w:tcW w:w="1496"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rPr>
                <w:b/>
              </w:rPr>
            </w:pPr>
            <w:r w:rsidRPr="00C75273">
              <w:rPr>
                <w:b/>
              </w:rPr>
              <w:t>1 ou 2</w:t>
            </w:r>
          </w:p>
        </w:tc>
        <w:tc>
          <w:tcPr>
            <w:tcW w:w="5874"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pPr>
            <w:r w:rsidRPr="00C75273">
              <w:t>Viabilité tissulaire moyenne en pourcentage</w:t>
            </w:r>
            <w:r w:rsidR="00525BCC">
              <w:t> :</w:t>
            </w:r>
            <w:r w:rsidRPr="00C75273">
              <w:t xml:space="preserve"> </w:t>
            </w:r>
            <w:r w:rsidR="009845D2" w:rsidRPr="00C75273">
              <w:t>(≤)</w:t>
            </w:r>
            <w:r w:rsidRPr="00C75273">
              <w:t>50</w:t>
            </w:r>
            <w:r w:rsidR="00526CD7">
              <w:t> </w:t>
            </w:r>
            <w:r w:rsidRPr="00C75273">
              <w:t>%.</w:t>
            </w:r>
          </w:p>
          <w:p w:rsidR="00AC212D" w:rsidRPr="00C75273" w:rsidRDefault="00AC212D" w:rsidP="00526CD7">
            <w:pPr>
              <w:spacing w:before="60" w:after="60" w:line="240" w:lineRule="auto"/>
              <w:ind w:left="57" w:right="57"/>
            </w:pPr>
            <w:r w:rsidRPr="00526CD7">
              <w:rPr>
                <w:i/>
              </w:rPr>
              <w:t>Note</w:t>
            </w:r>
            <w:r w:rsidR="00525BCC">
              <w:t> :</w:t>
            </w:r>
            <w:r w:rsidRPr="00C75273">
              <w:t xml:space="preserve"> Les méthodes d’essai sur épiderme humain reconstitué qui font l’objet des présentes lignes directrices ne peuvent permettre de trancher entre les catégories 1 et 2 du SGH. Des informations complémentaires sont nécessaires sur la corrosion cutanée afin de décider du classement définitif [voir aussi le document d’orientation </w:t>
            </w:r>
            <w:r w:rsidR="00526CD7">
              <w:rPr>
                <w:rFonts w:eastAsia="MS Mincho"/>
              </w:rPr>
              <w:t>n</w:t>
            </w:r>
            <w:r w:rsidR="00526CD7">
              <w:rPr>
                <w:rFonts w:eastAsia="MS Mincho"/>
                <w:vertAlign w:val="superscript"/>
              </w:rPr>
              <w:t>o</w:t>
            </w:r>
            <w:r w:rsidR="00526CD7">
              <w:t> </w:t>
            </w:r>
            <w:r w:rsidRPr="00C75273">
              <w:t>203 de l’OCDE].</w:t>
            </w:r>
          </w:p>
        </w:tc>
      </w:tr>
      <w:tr w:rsidR="00AC212D" w:rsidRPr="00C75273" w:rsidTr="00526CD7">
        <w:tc>
          <w:tcPr>
            <w:tcW w:w="1496"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rPr>
                <w:b/>
              </w:rPr>
            </w:pPr>
            <w:r w:rsidRPr="00C75273">
              <w:rPr>
                <w:b/>
              </w:rPr>
              <w:t>2</w:t>
            </w:r>
          </w:p>
        </w:tc>
        <w:tc>
          <w:tcPr>
            <w:tcW w:w="5874" w:type="dxa"/>
            <w:shd w:val="clear" w:color="auto" w:fill="auto"/>
            <w:tcMar>
              <w:top w:w="57" w:type="dxa"/>
              <w:left w:w="57" w:type="dxa"/>
              <w:bottom w:w="57" w:type="dxa"/>
              <w:right w:w="57" w:type="dxa"/>
            </w:tcMar>
          </w:tcPr>
          <w:p w:rsidR="00AC212D" w:rsidRPr="00C75273" w:rsidRDefault="00AC212D" w:rsidP="00663DDA">
            <w:pPr>
              <w:spacing w:before="60" w:after="60" w:line="240" w:lineRule="auto"/>
              <w:ind w:left="57" w:right="57"/>
            </w:pPr>
            <w:r w:rsidRPr="00C75273">
              <w:t xml:space="preserve">Viabilité tissulaire moyenne en pourcentage </w:t>
            </w:r>
            <w:r w:rsidR="00526CD7">
              <w:t>≤</w:t>
            </w:r>
            <w:r w:rsidRPr="00C75273">
              <w:t>50</w:t>
            </w:r>
            <w:r w:rsidR="00526CD7">
              <w:t> </w:t>
            </w:r>
            <w:r w:rsidRPr="00C75273">
              <w:t xml:space="preserve">% et produit chimique testé considéré comme non corrosif (par exemple sur la base des </w:t>
            </w:r>
            <w:r w:rsidR="00663DDA">
              <w:t>L</w:t>
            </w:r>
            <w:r w:rsidRPr="00C75273">
              <w:t xml:space="preserve">ignes directrices </w:t>
            </w:r>
            <w:r w:rsidR="00526CD7">
              <w:rPr>
                <w:rFonts w:eastAsia="MS Mincho"/>
              </w:rPr>
              <w:t>n</w:t>
            </w:r>
            <w:r w:rsidR="00526CD7">
              <w:rPr>
                <w:rFonts w:eastAsia="MS Mincho"/>
                <w:vertAlign w:val="superscript"/>
              </w:rPr>
              <w:t>o</w:t>
            </w:r>
            <w:r w:rsidR="00526CD7">
              <w:t> </w:t>
            </w:r>
            <w:r w:rsidRPr="00C75273">
              <w:t xml:space="preserve">430, 431 ou 435) </w:t>
            </w:r>
          </w:p>
        </w:tc>
      </w:tr>
      <w:tr w:rsidR="00AC212D" w:rsidRPr="00C75273" w:rsidTr="00526CD7">
        <w:tc>
          <w:tcPr>
            <w:tcW w:w="1496"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rPr>
                <w:b/>
              </w:rPr>
            </w:pPr>
            <w:r w:rsidRPr="00C75273">
              <w:rPr>
                <w:b/>
              </w:rPr>
              <w:t>Non classé comme irritant cutané ou classé dans la catégorie 3</w:t>
            </w:r>
          </w:p>
        </w:tc>
        <w:tc>
          <w:tcPr>
            <w:tcW w:w="5874" w:type="dxa"/>
            <w:shd w:val="clear" w:color="auto" w:fill="auto"/>
            <w:tcMar>
              <w:top w:w="57" w:type="dxa"/>
              <w:left w:w="57" w:type="dxa"/>
              <w:bottom w:w="57" w:type="dxa"/>
              <w:right w:w="57" w:type="dxa"/>
            </w:tcMar>
          </w:tcPr>
          <w:p w:rsidR="00AC212D" w:rsidRPr="00C75273" w:rsidRDefault="00AC212D" w:rsidP="00C75273">
            <w:pPr>
              <w:spacing w:before="60" w:after="60" w:line="240" w:lineRule="auto"/>
              <w:ind w:left="57" w:right="57"/>
            </w:pPr>
            <w:r w:rsidRPr="00C75273">
              <w:t xml:space="preserve">Viabilité tissulaire moyenne en pourcentage </w:t>
            </w:r>
            <w:r w:rsidR="00526CD7">
              <w:t>&gt;</w:t>
            </w:r>
            <w:r w:rsidRPr="00C75273">
              <w:t>50</w:t>
            </w:r>
            <w:r w:rsidR="00526CD7">
              <w:t> </w:t>
            </w:r>
            <w:r w:rsidRPr="00C75273">
              <w:t>%</w:t>
            </w:r>
          </w:p>
          <w:p w:rsidR="00AC212D" w:rsidRPr="00C75273" w:rsidRDefault="00AC212D" w:rsidP="00C75273">
            <w:pPr>
              <w:spacing w:before="60" w:after="60" w:line="240" w:lineRule="auto"/>
              <w:ind w:left="57" w:right="57"/>
            </w:pPr>
            <w:r w:rsidRPr="00ED5814">
              <w:rPr>
                <w:i/>
              </w:rPr>
              <w:t>Note</w:t>
            </w:r>
            <w:r w:rsidR="00525BCC">
              <w:t> :</w:t>
            </w:r>
            <w:r w:rsidRPr="00C75273">
              <w:t xml:space="preserve"> Les méthodes d’essai sur épiderme humain reconstitué qui font l’objet des présentes lignes directrices ne peuvent permettre de trancher entre la catégorie 3 facultative du SGH et l’absence de classification comme irritant cutané. Des informations complémentaires doivent être communiquées sur l’irritation cutanée pour les autorités qui souhaitent disposer de plus d’une catégorie d’irritation cutanée.</w:t>
            </w:r>
          </w:p>
        </w:tc>
      </w:tr>
    </w:tbl>
    <w:p w:rsidR="00AC212D" w:rsidRPr="00E406BC" w:rsidRDefault="00AC212D" w:rsidP="004A5E71">
      <w:pPr>
        <w:pStyle w:val="SingleTxtG"/>
        <w:keepNext/>
        <w:spacing w:before="240"/>
        <w:rPr>
          <w:szCs w:val="24"/>
        </w:rPr>
      </w:pPr>
      <w:r w:rsidRPr="00E406BC">
        <w:rPr>
          <w:szCs w:val="24"/>
        </w:rPr>
        <w:t>3.2.5.3.5</w:t>
      </w:r>
      <w:r w:rsidRPr="00E406BC">
        <w:rPr>
          <w:szCs w:val="24"/>
        </w:rPr>
        <w:tab/>
        <w:t xml:space="preserve">Ajouter un nouveau sous-titre </w:t>
      </w:r>
      <w:r>
        <w:rPr>
          <w:szCs w:val="24"/>
        </w:rPr>
        <w:t xml:space="preserve">au </w:t>
      </w:r>
      <w:r w:rsidRPr="00E406BC">
        <w:rPr>
          <w:szCs w:val="24"/>
        </w:rPr>
        <w:t>3.2.5.3.5</w:t>
      </w:r>
      <w:r>
        <w:rPr>
          <w:szCs w:val="24"/>
        </w:rPr>
        <w:t>,</w:t>
      </w:r>
      <w:r w:rsidRPr="00E406BC">
        <w:rPr>
          <w:szCs w:val="24"/>
        </w:rPr>
        <w:t xml:space="preserve"> </w:t>
      </w:r>
      <w:r w:rsidR="004A5E71">
        <w:rPr>
          <w:szCs w:val="24"/>
        </w:rPr>
        <w:t>« </w:t>
      </w:r>
      <w:r>
        <w:rPr>
          <w:szCs w:val="24"/>
        </w:rPr>
        <w:t>Instructions d’</w:t>
      </w:r>
      <w:r w:rsidRPr="00E406BC">
        <w:rPr>
          <w:szCs w:val="24"/>
        </w:rPr>
        <w:t>utilisation d</w:t>
      </w:r>
      <w:r>
        <w:rPr>
          <w:szCs w:val="24"/>
        </w:rPr>
        <w:t>’</w:t>
      </w:r>
      <w:r w:rsidRPr="00E406BC">
        <w:rPr>
          <w:szCs w:val="24"/>
        </w:rPr>
        <w:t>autres données existantes sur des effets cutanés sur animaux</w:t>
      </w:r>
      <w:r>
        <w:rPr>
          <w:szCs w:val="24"/>
        </w:rPr>
        <w:t xml:space="preserve"> aux fins du classement au titre de la corrosion cutanée ou de l’irritation cutanée</w:t>
      </w:r>
      <w:r w:rsidR="004A5E71">
        <w:rPr>
          <w:szCs w:val="24"/>
        </w:rPr>
        <w:t> »</w:t>
      </w:r>
      <w:r>
        <w:rPr>
          <w:szCs w:val="24"/>
        </w:rPr>
        <w:t>,</w:t>
      </w:r>
      <w:r w:rsidRPr="00E406BC">
        <w:rPr>
          <w:szCs w:val="24"/>
        </w:rPr>
        <w:t xml:space="preserve"> </w:t>
      </w:r>
      <w:r>
        <w:rPr>
          <w:szCs w:val="24"/>
        </w:rPr>
        <w:t>et ajouter les nouveaux paragraphes suivants</w:t>
      </w:r>
      <w:r w:rsidR="00525BCC">
        <w:rPr>
          <w:szCs w:val="24"/>
        </w:rPr>
        <w:t> :</w:t>
      </w:r>
    </w:p>
    <w:p w:rsidR="00AC212D" w:rsidRPr="00ED69DC" w:rsidRDefault="004A5E71" w:rsidP="004A5E71">
      <w:pPr>
        <w:pStyle w:val="SingleTxtG"/>
        <w:keepNext/>
        <w:ind w:left="2268" w:hanging="1134"/>
        <w:jc w:val="left"/>
        <w:rPr>
          <w:szCs w:val="24"/>
        </w:rPr>
      </w:pPr>
      <w:r>
        <w:rPr>
          <w:szCs w:val="24"/>
        </w:rPr>
        <w:t>« </w:t>
      </w:r>
      <w:r w:rsidR="00AC212D" w:rsidRPr="00ED69DC">
        <w:rPr>
          <w:szCs w:val="24"/>
        </w:rPr>
        <w:t>3.2.5.3.5.1</w:t>
      </w:r>
      <w:r w:rsidR="00AC212D" w:rsidRPr="00ED69DC">
        <w:rPr>
          <w:szCs w:val="24"/>
        </w:rPr>
        <w:tab/>
        <w:t>Approche générale</w:t>
      </w:r>
    </w:p>
    <w:p w:rsidR="00AC212D" w:rsidRPr="001A4497" w:rsidRDefault="00AC212D" w:rsidP="004A5E71">
      <w:pPr>
        <w:pStyle w:val="SingleTxtG"/>
        <w:ind w:left="2268"/>
        <w:rPr>
          <w:szCs w:val="24"/>
        </w:rPr>
      </w:pPr>
      <w:r w:rsidRPr="008D3B21">
        <w:rPr>
          <w:szCs w:val="24"/>
        </w:rPr>
        <w:t xml:space="preserve">Toutes les autres données </w:t>
      </w:r>
      <w:r>
        <w:rPr>
          <w:szCs w:val="24"/>
        </w:rPr>
        <w:t xml:space="preserve">animales </w:t>
      </w:r>
      <w:r w:rsidRPr="008D3B21">
        <w:rPr>
          <w:szCs w:val="24"/>
        </w:rPr>
        <w:t>existantes devraient être examinées avec soin et utilisées seulement si ell</w:t>
      </w:r>
      <w:r>
        <w:rPr>
          <w:szCs w:val="24"/>
        </w:rPr>
        <w:t>e</w:t>
      </w:r>
      <w:r w:rsidRPr="008D3B21">
        <w:rPr>
          <w:szCs w:val="24"/>
        </w:rPr>
        <w:t xml:space="preserve">s sont concluantes pour </w:t>
      </w:r>
      <w:r>
        <w:rPr>
          <w:szCs w:val="24"/>
        </w:rPr>
        <w:t>le classement</w:t>
      </w:r>
      <w:r w:rsidRPr="008D3B21">
        <w:rPr>
          <w:szCs w:val="24"/>
        </w:rPr>
        <w:t>.</w:t>
      </w:r>
      <w:r>
        <w:rPr>
          <w:szCs w:val="24"/>
        </w:rPr>
        <w:t xml:space="preserve"> I</w:t>
      </w:r>
      <w:r w:rsidRPr="008D3B21">
        <w:rPr>
          <w:szCs w:val="24"/>
        </w:rPr>
        <w:t>l convient de ne pas perdre de vue</w:t>
      </w:r>
      <w:r>
        <w:rPr>
          <w:szCs w:val="24"/>
        </w:rPr>
        <w:t>,</w:t>
      </w:r>
      <w:r w:rsidRPr="008D3B21">
        <w:rPr>
          <w:szCs w:val="24"/>
        </w:rPr>
        <w:t xml:space="preserve"> lors de l</w:t>
      </w:r>
      <w:r>
        <w:rPr>
          <w:szCs w:val="24"/>
        </w:rPr>
        <w:t>’</w:t>
      </w:r>
      <w:r w:rsidRPr="008D3B21">
        <w:rPr>
          <w:szCs w:val="24"/>
        </w:rPr>
        <w:t>examen de ces données</w:t>
      </w:r>
      <w:r>
        <w:rPr>
          <w:szCs w:val="24"/>
        </w:rPr>
        <w:t>,</w:t>
      </w:r>
      <w:r w:rsidRPr="008D3B21">
        <w:rPr>
          <w:szCs w:val="24"/>
        </w:rPr>
        <w:t xml:space="preserve"> que la </w:t>
      </w:r>
      <w:r>
        <w:rPr>
          <w:szCs w:val="24"/>
        </w:rPr>
        <w:t>description</w:t>
      </w:r>
      <w:r w:rsidRPr="008D3B21">
        <w:rPr>
          <w:szCs w:val="24"/>
        </w:rPr>
        <w:t xml:space="preserve"> des l</w:t>
      </w:r>
      <w:r>
        <w:rPr>
          <w:szCs w:val="24"/>
        </w:rPr>
        <w:t>é</w:t>
      </w:r>
      <w:r w:rsidRPr="008D3B21">
        <w:rPr>
          <w:szCs w:val="24"/>
        </w:rPr>
        <w:t xml:space="preserve">sions </w:t>
      </w:r>
      <w:r>
        <w:rPr>
          <w:szCs w:val="24"/>
        </w:rPr>
        <w:t xml:space="preserve">de la peau peut être incomplète, </w:t>
      </w:r>
      <w:r w:rsidRPr="00FF776F">
        <w:rPr>
          <w:szCs w:val="24"/>
        </w:rPr>
        <w:t>que les essais et les observations ont pu être réalisés sur une espèce animale autre que le lapin</w:t>
      </w:r>
      <w:r>
        <w:rPr>
          <w:szCs w:val="24"/>
        </w:rPr>
        <w:t>,</w:t>
      </w:r>
      <w:r w:rsidRPr="00FF776F">
        <w:rPr>
          <w:szCs w:val="24"/>
        </w:rPr>
        <w:t xml:space="preserve"> et que la sensibilité </w:t>
      </w:r>
      <w:r>
        <w:rPr>
          <w:szCs w:val="24"/>
        </w:rPr>
        <w:t>peut varier d’une</w:t>
      </w:r>
      <w:r w:rsidRPr="00FF776F">
        <w:rPr>
          <w:szCs w:val="24"/>
        </w:rPr>
        <w:t xml:space="preserve"> espèce</w:t>
      </w:r>
      <w:r>
        <w:rPr>
          <w:szCs w:val="24"/>
        </w:rPr>
        <w:t xml:space="preserve"> à l’autre</w:t>
      </w:r>
      <w:r w:rsidRPr="00FF776F">
        <w:rPr>
          <w:szCs w:val="24"/>
        </w:rPr>
        <w:t>. En général, l</w:t>
      </w:r>
      <w:r>
        <w:rPr>
          <w:szCs w:val="24"/>
        </w:rPr>
        <w:t>’</w:t>
      </w:r>
      <w:r w:rsidRPr="00FF776F">
        <w:rPr>
          <w:szCs w:val="24"/>
        </w:rPr>
        <w:t xml:space="preserve">épaisseur de la peau diminue avec le poids corporel. </w:t>
      </w:r>
      <w:r>
        <w:rPr>
          <w:szCs w:val="24"/>
        </w:rPr>
        <w:t xml:space="preserve">Il existe aussi d’autres facteurs qui ont une influence sur les variations selon l’espèce. En outre, pour la plupart des essais, les effets corrosifs et irritants doivent être évités. </w:t>
      </w:r>
      <w:r w:rsidRPr="001A4497">
        <w:rPr>
          <w:szCs w:val="24"/>
        </w:rPr>
        <w:t>Ces effets ne peuvent donc être observés que dans des études de d</w:t>
      </w:r>
      <w:r>
        <w:rPr>
          <w:szCs w:val="24"/>
        </w:rPr>
        <w:t>é</w:t>
      </w:r>
      <w:r w:rsidRPr="001A4497">
        <w:rPr>
          <w:szCs w:val="24"/>
        </w:rPr>
        <w:t>termination des doses utilisant un petit nombre d</w:t>
      </w:r>
      <w:r>
        <w:rPr>
          <w:szCs w:val="24"/>
        </w:rPr>
        <w:t>’</w:t>
      </w:r>
      <w:r w:rsidRPr="001A4497">
        <w:rPr>
          <w:szCs w:val="24"/>
        </w:rPr>
        <w:t>animaux</w:t>
      </w:r>
      <w:r>
        <w:rPr>
          <w:szCs w:val="24"/>
        </w:rPr>
        <w:t>,</w:t>
      </w:r>
      <w:r w:rsidRPr="001A4497">
        <w:rPr>
          <w:szCs w:val="24"/>
        </w:rPr>
        <w:t xml:space="preserve"> avec </w:t>
      </w:r>
      <w:r>
        <w:rPr>
          <w:szCs w:val="24"/>
        </w:rPr>
        <w:t>un nombre limité d’observations et d’informations.</w:t>
      </w:r>
    </w:p>
    <w:p w:rsidR="00AC212D" w:rsidRPr="001A4497" w:rsidRDefault="00AC212D" w:rsidP="004A5E71">
      <w:pPr>
        <w:pStyle w:val="SingleTxtG"/>
        <w:keepNext/>
        <w:ind w:left="2268" w:hanging="1134"/>
        <w:jc w:val="left"/>
        <w:rPr>
          <w:szCs w:val="24"/>
        </w:rPr>
      </w:pPr>
      <w:r w:rsidRPr="001A4497">
        <w:rPr>
          <w:szCs w:val="24"/>
        </w:rPr>
        <w:lastRenderedPageBreak/>
        <w:t>3.2.5.3.5.2</w:t>
      </w:r>
      <w:r w:rsidRPr="001A4497">
        <w:rPr>
          <w:szCs w:val="24"/>
        </w:rPr>
        <w:tab/>
        <w:t xml:space="preserve">Autres limites </w:t>
      </w:r>
      <w:r>
        <w:rPr>
          <w:szCs w:val="24"/>
        </w:rPr>
        <w:t xml:space="preserve">relatives aux </w:t>
      </w:r>
      <w:r w:rsidRPr="001A4497">
        <w:rPr>
          <w:szCs w:val="24"/>
        </w:rPr>
        <w:t>données et cons</w:t>
      </w:r>
      <w:r>
        <w:rPr>
          <w:szCs w:val="24"/>
        </w:rPr>
        <w:t>é</w:t>
      </w:r>
      <w:r w:rsidRPr="001A4497">
        <w:rPr>
          <w:szCs w:val="24"/>
        </w:rPr>
        <w:t xml:space="preserve">quences pour </w:t>
      </w:r>
      <w:r>
        <w:rPr>
          <w:szCs w:val="24"/>
        </w:rPr>
        <w:t xml:space="preserve">la </w:t>
      </w:r>
      <w:r w:rsidRPr="001A4497">
        <w:rPr>
          <w:szCs w:val="24"/>
        </w:rPr>
        <w:t>classification</w:t>
      </w:r>
    </w:p>
    <w:p w:rsidR="00AC212D" w:rsidRPr="001B0E5D" w:rsidRDefault="00AC212D" w:rsidP="004A5E71">
      <w:pPr>
        <w:pStyle w:val="SingleTxtG"/>
        <w:keepNext/>
        <w:ind w:left="2268" w:hanging="1134"/>
        <w:rPr>
          <w:szCs w:val="24"/>
        </w:rPr>
      </w:pPr>
      <w:r w:rsidRPr="001B0E5D">
        <w:rPr>
          <w:szCs w:val="24"/>
        </w:rPr>
        <w:t>3.2.5.3.5.2.1</w:t>
      </w:r>
      <w:r w:rsidRPr="001B0E5D">
        <w:rPr>
          <w:szCs w:val="24"/>
        </w:rPr>
        <w:tab/>
        <w:t>Les essais de toxicité aiguë</w:t>
      </w:r>
      <w:r>
        <w:rPr>
          <w:szCs w:val="24"/>
        </w:rPr>
        <w:t xml:space="preserve">, les études </w:t>
      </w:r>
      <w:r w:rsidRPr="001B0E5D">
        <w:rPr>
          <w:szCs w:val="24"/>
        </w:rPr>
        <w:t xml:space="preserve">de toxicité à doses répétées sur les animaux </w:t>
      </w:r>
      <w:r>
        <w:rPr>
          <w:szCs w:val="24"/>
        </w:rPr>
        <w:t xml:space="preserve">et </w:t>
      </w:r>
      <w:r w:rsidRPr="001B0E5D">
        <w:rPr>
          <w:szCs w:val="24"/>
        </w:rPr>
        <w:t>les études de sensibilisation et d</w:t>
      </w:r>
      <w:r>
        <w:rPr>
          <w:szCs w:val="24"/>
        </w:rPr>
        <w:t>’</w:t>
      </w:r>
      <w:r w:rsidRPr="001B0E5D">
        <w:rPr>
          <w:szCs w:val="24"/>
        </w:rPr>
        <w:t xml:space="preserve">absorption cutanée peuvent tous </w:t>
      </w:r>
      <w:r>
        <w:rPr>
          <w:szCs w:val="24"/>
        </w:rPr>
        <w:t>s’écarter</w:t>
      </w:r>
      <w:r w:rsidRPr="001B0E5D">
        <w:rPr>
          <w:szCs w:val="24"/>
        </w:rPr>
        <w:t xml:space="preserve"> </w:t>
      </w:r>
      <w:r>
        <w:rPr>
          <w:szCs w:val="24"/>
        </w:rPr>
        <w:t>de la norme pour l’</w:t>
      </w:r>
      <w:r w:rsidRPr="001B0E5D">
        <w:rPr>
          <w:szCs w:val="24"/>
        </w:rPr>
        <w:t xml:space="preserve">essai </w:t>
      </w:r>
      <w:r w:rsidRPr="00ED5814">
        <w:rPr>
          <w:i/>
          <w:szCs w:val="24"/>
        </w:rPr>
        <w:t>in vivo</w:t>
      </w:r>
      <w:r>
        <w:rPr>
          <w:szCs w:val="24"/>
        </w:rPr>
        <w:t xml:space="preserve"> d’</w:t>
      </w:r>
      <w:r w:rsidRPr="001B0E5D">
        <w:rPr>
          <w:szCs w:val="24"/>
        </w:rPr>
        <w:t>irritation</w:t>
      </w:r>
      <w:r>
        <w:rPr>
          <w:szCs w:val="24"/>
        </w:rPr>
        <w:t xml:space="preserve"> ou de </w:t>
      </w:r>
      <w:r w:rsidRPr="001B0E5D">
        <w:rPr>
          <w:szCs w:val="24"/>
        </w:rPr>
        <w:t xml:space="preserve">corrosion </w:t>
      </w:r>
      <w:r>
        <w:rPr>
          <w:szCs w:val="24"/>
        </w:rPr>
        <w:t xml:space="preserve">cutanée aiguë </w:t>
      </w:r>
      <w:r w:rsidRPr="001B0E5D">
        <w:rPr>
          <w:szCs w:val="24"/>
        </w:rPr>
        <w:t>(</w:t>
      </w:r>
      <w:r>
        <w:rPr>
          <w:szCs w:val="24"/>
        </w:rPr>
        <w:t xml:space="preserve">voir par exemple la Ligne directrice </w:t>
      </w:r>
      <w:r w:rsidR="00ED5814" w:rsidRPr="00ED5814">
        <w:rPr>
          <w:rFonts w:eastAsia="MS Mincho"/>
          <w:szCs w:val="24"/>
        </w:rPr>
        <w:t>n</w:t>
      </w:r>
      <w:r w:rsidR="00ED5814" w:rsidRPr="00ED5814">
        <w:rPr>
          <w:rFonts w:eastAsia="MS Mincho"/>
          <w:szCs w:val="24"/>
          <w:vertAlign w:val="superscript"/>
        </w:rPr>
        <w:t>o</w:t>
      </w:r>
      <w:r w:rsidR="00ED5814">
        <w:rPr>
          <w:szCs w:val="24"/>
        </w:rPr>
        <w:t> </w:t>
      </w:r>
      <w:r>
        <w:rPr>
          <w:szCs w:val="24"/>
        </w:rPr>
        <w:t>404 de l’OCDE</w:t>
      </w:r>
      <w:r w:rsidRPr="001B0E5D">
        <w:rPr>
          <w:szCs w:val="24"/>
        </w:rPr>
        <w:t xml:space="preserve">) </w:t>
      </w:r>
      <w:r>
        <w:rPr>
          <w:szCs w:val="24"/>
        </w:rPr>
        <w:t>en ce qui concerne la durée d’exposition, le rapport dose/surface, l’utilisation de substances dissoutes, le niveau d’occlusion, le type de patch, l’établissement des scores et le suivi des lésions cutanées et des espèces soumises à l’essai</w:t>
      </w:r>
      <w:r w:rsidRPr="001B0E5D">
        <w:rPr>
          <w:szCs w:val="24"/>
        </w:rPr>
        <w:t xml:space="preserve">. </w:t>
      </w:r>
    </w:p>
    <w:p w:rsidR="00AC212D" w:rsidRPr="00886550" w:rsidRDefault="00AC212D" w:rsidP="004A5E71">
      <w:pPr>
        <w:pStyle w:val="SingleTxtG"/>
        <w:keepNext/>
        <w:ind w:left="2268" w:hanging="1134"/>
        <w:rPr>
          <w:szCs w:val="24"/>
        </w:rPr>
      </w:pPr>
      <w:r w:rsidRPr="00C343FB">
        <w:rPr>
          <w:szCs w:val="24"/>
        </w:rPr>
        <w:t>3.2.5.3.5.2.2</w:t>
      </w:r>
      <w:r w:rsidRPr="00C343FB">
        <w:rPr>
          <w:szCs w:val="24"/>
        </w:rPr>
        <w:tab/>
        <w:t>La destruction des tissus cutanés dans tout essai de toxicité cutanée aiguë (</w:t>
      </w:r>
      <w:r>
        <w:rPr>
          <w:szCs w:val="24"/>
        </w:rPr>
        <w:t xml:space="preserve">voir </w:t>
      </w:r>
      <w:r w:rsidRPr="00C343FB">
        <w:rPr>
          <w:szCs w:val="24"/>
        </w:rPr>
        <w:t xml:space="preserve">par exemple </w:t>
      </w:r>
      <w:r>
        <w:rPr>
          <w:szCs w:val="24"/>
        </w:rPr>
        <w:t>la</w:t>
      </w:r>
      <w:r w:rsidRPr="00C343FB">
        <w:rPr>
          <w:szCs w:val="24"/>
        </w:rPr>
        <w:t xml:space="preserve"> </w:t>
      </w:r>
      <w:r>
        <w:rPr>
          <w:szCs w:val="24"/>
        </w:rPr>
        <w:t>L</w:t>
      </w:r>
      <w:r w:rsidRPr="00C343FB">
        <w:rPr>
          <w:szCs w:val="24"/>
        </w:rPr>
        <w:t xml:space="preserve">igne directrice </w:t>
      </w:r>
      <w:r w:rsidR="006B1D14" w:rsidRPr="006B1D14">
        <w:rPr>
          <w:rFonts w:eastAsia="MS Mincho"/>
          <w:szCs w:val="24"/>
        </w:rPr>
        <w:t>n</w:t>
      </w:r>
      <w:r w:rsidR="006B1D14" w:rsidRPr="006B1D14">
        <w:rPr>
          <w:rFonts w:eastAsia="MS Mincho"/>
          <w:szCs w:val="24"/>
          <w:vertAlign w:val="superscript"/>
        </w:rPr>
        <w:t>o</w:t>
      </w:r>
      <w:r w:rsidR="006B1D14">
        <w:rPr>
          <w:szCs w:val="24"/>
        </w:rPr>
        <w:t> </w:t>
      </w:r>
      <w:r w:rsidRPr="00C343FB">
        <w:rPr>
          <w:szCs w:val="24"/>
        </w:rPr>
        <w:t>402 de l</w:t>
      </w:r>
      <w:r>
        <w:rPr>
          <w:szCs w:val="24"/>
        </w:rPr>
        <w:t>’</w:t>
      </w:r>
      <w:r w:rsidRPr="00C343FB">
        <w:rPr>
          <w:szCs w:val="24"/>
        </w:rPr>
        <w:t xml:space="preserve">OCDE) devrait </w:t>
      </w:r>
      <w:r>
        <w:rPr>
          <w:szCs w:val="24"/>
        </w:rPr>
        <w:t xml:space="preserve">être prise en compte pour le classement du produit comme substance corrosive </w:t>
      </w:r>
      <w:r w:rsidRPr="00C343FB">
        <w:rPr>
          <w:szCs w:val="24"/>
        </w:rPr>
        <w:t>(cat</w:t>
      </w:r>
      <w:r>
        <w:rPr>
          <w:szCs w:val="24"/>
        </w:rPr>
        <w:t>é</w:t>
      </w:r>
      <w:r w:rsidRPr="00C343FB">
        <w:rPr>
          <w:szCs w:val="24"/>
        </w:rPr>
        <w:t>gor</w:t>
      </w:r>
      <w:r>
        <w:rPr>
          <w:szCs w:val="24"/>
        </w:rPr>
        <w:t>ie</w:t>
      </w:r>
      <w:r w:rsidRPr="00C343FB">
        <w:rPr>
          <w:szCs w:val="24"/>
        </w:rPr>
        <w:t xml:space="preserve"> 1 o</w:t>
      </w:r>
      <w:r>
        <w:rPr>
          <w:szCs w:val="24"/>
        </w:rPr>
        <w:t>u</w:t>
      </w:r>
      <w:r w:rsidRPr="00C343FB">
        <w:rPr>
          <w:szCs w:val="24"/>
        </w:rPr>
        <w:t xml:space="preserve"> s</w:t>
      </w:r>
      <w:r>
        <w:rPr>
          <w:szCs w:val="24"/>
        </w:rPr>
        <w:t>ous</w:t>
      </w:r>
      <w:r w:rsidRPr="00C343FB">
        <w:rPr>
          <w:szCs w:val="24"/>
        </w:rPr>
        <w:t>-cat</w:t>
      </w:r>
      <w:r>
        <w:rPr>
          <w:szCs w:val="24"/>
        </w:rPr>
        <w:t>é</w:t>
      </w:r>
      <w:r w:rsidRPr="00C343FB">
        <w:rPr>
          <w:szCs w:val="24"/>
        </w:rPr>
        <w:t>gor</w:t>
      </w:r>
      <w:r>
        <w:rPr>
          <w:szCs w:val="24"/>
        </w:rPr>
        <w:t>ie</w:t>
      </w:r>
      <w:r w:rsidRPr="00C343FB">
        <w:rPr>
          <w:szCs w:val="24"/>
        </w:rPr>
        <w:t xml:space="preserve"> 1A, 1B o</w:t>
      </w:r>
      <w:r>
        <w:rPr>
          <w:szCs w:val="24"/>
        </w:rPr>
        <w:t>u</w:t>
      </w:r>
      <w:r w:rsidRPr="00C343FB">
        <w:rPr>
          <w:szCs w:val="24"/>
        </w:rPr>
        <w:t xml:space="preserve"> 1C </w:t>
      </w:r>
      <w:r>
        <w:rPr>
          <w:szCs w:val="24"/>
        </w:rPr>
        <w:t>lorsque cela est possible et nécessaire</w:t>
      </w:r>
      <w:r w:rsidRPr="00C343FB">
        <w:rPr>
          <w:szCs w:val="24"/>
        </w:rPr>
        <w:t xml:space="preserve">). </w:t>
      </w:r>
      <w:r>
        <w:rPr>
          <w:szCs w:val="24"/>
        </w:rPr>
        <w:t>On</w:t>
      </w:r>
      <w:r w:rsidR="006B1D14">
        <w:rPr>
          <w:szCs w:val="24"/>
        </w:rPr>
        <w:t> </w:t>
      </w:r>
      <w:r>
        <w:rPr>
          <w:szCs w:val="24"/>
        </w:rPr>
        <w:t xml:space="preserve">peut envisager de classer comme irritant pour la peau un produit utilisé dans le cadre d’une </w:t>
      </w:r>
      <w:r w:rsidRPr="004F5171">
        <w:rPr>
          <w:szCs w:val="24"/>
        </w:rPr>
        <w:t xml:space="preserve">étude de toxicité aiguë portant sur </w:t>
      </w:r>
      <w:r>
        <w:rPr>
          <w:szCs w:val="24"/>
        </w:rPr>
        <w:t xml:space="preserve">les lapins et remplissant les critères exposés dans le tableau </w:t>
      </w:r>
      <w:r w:rsidRPr="004F5171">
        <w:rPr>
          <w:szCs w:val="24"/>
        </w:rPr>
        <w:t>3.2.2</w:t>
      </w:r>
      <w:r>
        <w:rPr>
          <w:szCs w:val="24"/>
        </w:rPr>
        <w:t xml:space="preserve"> lorsque les conditions d’exposition permettent d’exclure les effets corrosifs. Une irritation cutanée observée dans le cadre d’une étude de </w:t>
      </w:r>
      <w:r w:rsidRPr="004F5171">
        <w:rPr>
          <w:szCs w:val="24"/>
        </w:rPr>
        <w:t xml:space="preserve">toxicité aiguë </w:t>
      </w:r>
      <w:r>
        <w:rPr>
          <w:szCs w:val="24"/>
        </w:rPr>
        <w:t xml:space="preserve">portant sur d’autres espèces devrait être considérée comme non concluante, dans la mesure où ces espèces peuvent être plus ou moins sensibles que les lapins. Cette observation devrait être prise en compte dans le cadre d’une évaluation fondée sur la force probante des données. </w:t>
      </w:r>
      <w:r w:rsidRPr="00886550">
        <w:rPr>
          <w:szCs w:val="24"/>
        </w:rPr>
        <w:t>L</w:t>
      </w:r>
      <w:r>
        <w:rPr>
          <w:szCs w:val="24"/>
        </w:rPr>
        <w:t>’</w:t>
      </w:r>
      <w:r w:rsidRPr="00886550">
        <w:rPr>
          <w:szCs w:val="24"/>
        </w:rPr>
        <w:t>absence d</w:t>
      </w:r>
      <w:r>
        <w:rPr>
          <w:szCs w:val="24"/>
        </w:rPr>
        <w:t>’</w:t>
      </w:r>
      <w:r w:rsidRPr="00886550">
        <w:rPr>
          <w:szCs w:val="24"/>
        </w:rPr>
        <w:t>irritation cutanée devrait également être considérée comme non concluante et prise en compte dans une évaluation fondée sur la force probante des données.</w:t>
      </w:r>
    </w:p>
    <w:p w:rsidR="00AC212D" w:rsidRPr="001C789C" w:rsidRDefault="00AC212D" w:rsidP="004A5E71">
      <w:pPr>
        <w:pStyle w:val="SingleTxtG"/>
        <w:keepNext/>
        <w:ind w:left="2268" w:hanging="1134"/>
        <w:rPr>
          <w:szCs w:val="24"/>
        </w:rPr>
      </w:pPr>
      <w:r w:rsidRPr="00886550">
        <w:rPr>
          <w:szCs w:val="24"/>
        </w:rPr>
        <w:t>3.2.5.3.5.2.3</w:t>
      </w:r>
      <w:r w:rsidRPr="00886550">
        <w:rPr>
          <w:szCs w:val="24"/>
        </w:rPr>
        <w:tab/>
      </w:r>
      <w:r>
        <w:rPr>
          <w:szCs w:val="24"/>
        </w:rPr>
        <w:t>L</w:t>
      </w:r>
      <w:r w:rsidRPr="00886550">
        <w:rPr>
          <w:szCs w:val="24"/>
        </w:rPr>
        <w:t xml:space="preserve">es études de toxicité par administration réitérée </w:t>
      </w:r>
      <w:r>
        <w:rPr>
          <w:szCs w:val="24"/>
        </w:rPr>
        <w:t xml:space="preserve">d’une dose </w:t>
      </w:r>
      <w:r w:rsidRPr="00886550">
        <w:rPr>
          <w:szCs w:val="24"/>
        </w:rPr>
        <w:t>(</w:t>
      </w:r>
      <w:r>
        <w:rPr>
          <w:szCs w:val="24"/>
        </w:rPr>
        <w:t xml:space="preserve">voir </w:t>
      </w:r>
      <w:r w:rsidRPr="00886550">
        <w:rPr>
          <w:szCs w:val="24"/>
        </w:rPr>
        <w:t xml:space="preserve">par exemple </w:t>
      </w:r>
      <w:r>
        <w:rPr>
          <w:szCs w:val="24"/>
        </w:rPr>
        <w:t>les L</w:t>
      </w:r>
      <w:r w:rsidRPr="00886550">
        <w:rPr>
          <w:szCs w:val="24"/>
        </w:rPr>
        <w:t xml:space="preserve">ignes directrices </w:t>
      </w:r>
      <w:r w:rsidR="006B1D14" w:rsidRPr="006B1D14">
        <w:rPr>
          <w:rFonts w:eastAsia="MS Mincho"/>
          <w:szCs w:val="24"/>
        </w:rPr>
        <w:t>n</w:t>
      </w:r>
      <w:r w:rsidR="006B1D14" w:rsidRPr="006B1D14">
        <w:rPr>
          <w:rFonts w:eastAsia="MS Mincho"/>
          <w:szCs w:val="24"/>
          <w:vertAlign w:val="superscript"/>
        </w:rPr>
        <w:t>o</w:t>
      </w:r>
      <w:r w:rsidR="006B1D14">
        <w:rPr>
          <w:rFonts w:eastAsia="MS Mincho"/>
          <w:szCs w:val="24"/>
          <w:vertAlign w:val="superscript"/>
        </w:rPr>
        <w:t>s</w:t>
      </w:r>
      <w:r w:rsidR="006B1D14">
        <w:rPr>
          <w:szCs w:val="24"/>
        </w:rPr>
        <w:t> </w:t>
      </w:r>
      <w:r w:rsidRPr="00886550">
        <w:rPr>
          <w:szCs w:val="24"/>
        </w:rPr>
        <w:t>410 et 412 de l</w:t>
      </w:r>
      <w:r>
        <w:rPr>
          <w:szCs w:val="24"/>
        </w:rPr>
        <w:t>’</w:t>
      </w:r>
      <w:r w:rsidRPr="00886550">
        <w:rPr>
          <w:szCs w:val="24"/>
        </w:rPr>
        <w:t xml:space="preserve">OCDE) </w:t>
      </w:r>
      <w:r>
        <w:rPr>
          <w:szCs w:val="24"/>
        </w:rPr>
        <w:t>peuvent être utilisées pour classer les produits comme corrosifs lorsque l’on observe une destruction des tissus cutanés après les premières expositions</w:t>
      </w:r>
      <w:r w:rsidRPr="00886550">
        <w:rPr>
          <w:szCs w:val="24"/>
        </w:rPr>
        <w:t xml:space="preserve">. </w:t>
      </w:r>
      <w:r>
        <w:rPr>
          <w:szCs w:val="24"/>
        </w:rPr>
        <w:t xml:space="preserve">Toutefois, ce type d’exposition est généralement évité et les effets ne peuvent être observés que dans des études de détermination des doses. </w:t>
      </w:r>
      <w:r w:rsidRPr="001C789C">
        <w:rPr>
          <w:szCs w:val="24"/>
        </w:rPr>
        <w:t>De plus, l</w:t>
      </w:r>
      <w:r>
        <w:rPr>
          <w:szCs w:val="24"/>
        </w:rPr>
        <w:t>’</w:t>
      </w:r>
      <w:r w:rsidRPr="001C789C">
        <w:rPr>
          <w:szCs w:val="24"/>
        </w:rPr>
        <w:t xml:space="preserve">établissement de sous-catégories pour la corrosion est rarement possible en raison de </w:t>
      </w:r>
      <w:r>
        <w:rPr>
          <w:szCs w:val="24"/>
        </w:rPr>
        <w:t xml:space="preserve">la durée de la période qui s’écoule entre le début de l’exposition et la première observation. </w:t>
      </w:r>
      <w:r w:rsidRPr="001C789C">
        <w:rPr>
          <w:szCs w:val="24"/>
        </w:rPr>
        <w:t>L</w:t>
      </w:r>
      <w:r>
        <w:rPr>
          <w:szCs w:val="24"/>
        </w:rPr>
        <w:t>’</w:t>
      </w:r>
      <w:r w:rsidRPr="001C789C">
        <w:rPr>
          <w:szCs w:val="24"/>
        </w:rPr>
        <w:t>observation d</w:t>
      </w:r>
      <w:r>
        <w:rPr>
          <w:szCs w:val="24"/>
        </w:rPr>
        <w:t>’</w:t>
      </w:r>
      <w:r w:rsidRPr="001C789C">
        <w:rPr>
          <w:szCs w:val="24"/>
        </w:rPr>
        <w:t xml:space="preserve">une irritation cutanée ou de </w:t>
      </w:r>
      <w:r>
        <w:rPr>
          <w:szCs w:val="24"/>
        </w:rPr>
        <w:t>l’</w:t>
      </w:r>
      <w:r w:rsidRPr="001C789C">
        <w:rPr>
          <w:szCs w:val="24"/>
        </w:rPr>
        <w:t xml:space="preserve">absence </w:t>
      </w:r>
      <w:r>
        <w:rPr>
          <w:szCs w:val="24"/>
        </w:rPr>
        <w:t xml:space="preserve">d’effets irritants pour la peau </w:t>
      </w:r>
      <w:r w:rsidRPr="001C789C">
        <w:rPr>
          <w:szCs w:val="24"/>
        </w:rPr>
        <w:t xml:space="preserve">devrait être considérée comme non concluante. </w:t>
      </w:r>
      <w:r>
        <w:rPr>
          <w:szCs w:val="24"/>
        </w:rPr>
        <w:t>Les</w:t>
      </w:r>
      <w:r w:rsidR="006B1D14">
        <w:rPr>
          <w:szCs w:val="24"/>
        </w:rPr>
        <w:t> </w:t>
      </w:r>
      <w:r>
        <w:rPr>
          <w:szCs w:val="24"/>
        </w:rPr>
        <w:t>effets cutanés observés uniquement après des expositions multiples peuvent indiquer une sensibilisation cutanée plutôt qu’une irritation de la</w:t>
      </w:r>
      <w:r w:rsidR="006B1D14">
        <w:rPr>
          <w:szCs w:val="24"/>
        </w:rPr>
        <w:t> </w:t>
      </w:r>
      <w:r>
        <w:rPr>
          <w:szCs w:val="24"/>
        </w:rPr>
        <w:t>peau</w:t>
      </w:r>
      <w:r w:rsidRPr="001C789C">
        <w:rPr>
          <w:szCs w:val="24"/>
        </w:rPr>
        <w:t xml:space="preserve">. </w:t>
      </w:r>
    </w:p>
    <w:p w:rsidR="00AC212D" w:rsidRPr="00571259" w:rsidRDefault="00AC212D" w:rsidP="004A5E71">
      <w:pPr>
        <w:pStyle w:val="SingleTxtG"/>
        <w:keepNext/>
        <w:ind w:left="2268" w:hanging="1134"/>
        <w:rPr>
          <w:szCs w:val="24"/>
        </w:rPr>
      </w:pPr>
      <w:r w:rsidRPr="004A207B">
        <w:rPr>
          <w:szCs w:val="24"/>
        </w:rPr>
        <w:t>3.2.5.3.5.2.4</w:t>
      </w:r>
      <w:r w:rsidRPr="004A207B">
        <w:rPr>
          <w:szCs w:val="24"/>
        </w:rPr>
        <w:tab/>
      </w:r>
      <w:r>
        <w:rPr>
          <w:szCs w:val="24"/>
        </w:rPr>
        <w:t>Il faut éviter toute exposition provoquant irritation sévère et corrosion d</w:t>
      </w:r>
      <w:r w:rsidRPr="004A207B">
        <w:rPr>
          <w:szCs w:val="24"/>
        </w:rPr>
        <w:t xml:space="preserve">ans les études de sensibilisation cutanée sur </w:t>
      </w:r>
      <w:r>
        <w:rPr>
          <w:szCs w:val="24"/>
        </w:rPr>
        <w:t>l</w:t>
      </w:r>
      <w:r w:rsidRPr="004A207B">
        <w:rPr>
          <w:szCs w:val="24"/>
        </w:rPr>
        <w:t>es cobayes (</w:t>
      </w:r>
      <w:r>
        <w:rPr>
          <w:szCs w:val="24"/>
        </w:rPr>
        <w:t xml:space="preserve">voir par exemple la Ligne directrice </w:t>
      </w:r>
      <w:r w:rsidR="00C41DFC" w:rsidRPr="00C41DFC">
        <w:rPr>
          <w:rFonts w:eastAsia="MS Mincho"/>
          <w:szCs w:val="24"/>
        </w:rPr>
        <w:t>n</w:t>
      </w:r>
      <w:r w:rsidR="00C41DFC" w:rsidRPr="00C41DFC">
        <w:rPr>
          <w:rFonts w:eastAsia="MS Mincho"/>
          <w:szCs w:val="24"/>
          <w:vertAlign w:val="superscript"/>
        </w:rPr>
        <w:t>o</w:t>
      </w:r>
      <w:r w:rsidR="00C41DFC">
        <w:rPr>
          <w:szCs w:val="24"/>
        </w:rPr>
        <w:t> </w:t>
      </w:r>
      <w:r>
        <w:rPr>
          <w:szCs w:val="24"/>
        </w:rPr>
        <w:t>406 de l’OCDE</w:t>
      </w:r>
      <w:r w:rsidRPr="004A207B">
        <w:rPr>
          <w:szCs w:val="24"/>
        </w:rPr>
        <w:t xml:space="preserve">). </w:t>
      </w:r>
      <w:r w:rsidRPr="00571259">
        <w:rPr>
          <w:szCs w:val="24"/>
        </w:rPr>
        <w:t>Ces effets ne sont</w:t>
      </w:r>
      <w:r>
        <w:rPr>
          <w:szCs w:val="24"/>
        </w:rPr>
        <w:t xml:space="preserve"> donc </w:t>
      </w:r>
      <w:r w:rsidRPr="00571259">
        <w:rPr>
          <w:szCs w:val="24"/>
        </w:rPr>
        <w:t>général</w:t>
      </w:r>
      <w:r>
        <w:rPr>
          <w:szCs w:val="24"/>
        </w:rPr>
        <w:t>ement</w:t>
      </w:r>
      <w:r w:rsidRPr="00571259">
        <w:rPr>
          <w:szCs w:val="24"/>
        </w:rPr>
        <w:t xml:space="preserve"> observés que dans les études de d</w:t>
      </w:r>
      <w:r>
        <w:rPr>
          <w:szCs w:val="24"/>
        </w:rPr>
        <w:t>é</w:t>
      </w:r>
      <w:r w:rsidRPr="00571259">
        <w:rPr>
          <w:szCs w:val="24"/>
        </w:rPr>
        <w:t>termination des doses</w:t>
      </w:r>
      <w:r>
        <w:rPr>
          <w:szCs w:val="24"/>
        </w:rPr>
        <w:t>, dont les</w:t>
      </w:r>
      <w:r w:rsidRPr="00571259">
        <w:rPr>
          <w:szCs w:val="24"/>
        </w:rPr>
        <w:t xml:space="preserve"> résultats</w:t>
      </w:r>
      <w:r>
        <w:rPr>
          <w:szCs w:val="24"/>
        </w:rPr>
        <w:t>,</w:t>
      </w:r>
      <w:r w:rsidRPr="00571259">
        <w:rPr>
          <w:szCs w:val="24"/>
        </w:rPr>
        <w:t xml:space="preserve"> à l</w:t>
      </w:r>
      <w:r>
        <w:rPr>
          <w:szCs w:val="24"/>
        </w:rPr>
        <w:t>’</w:t>
      </w:r>
      <w:r w:rsidRPr="00571259">
        <w:rPr>
          <w:szCs w:val="24"/>
        </w:rPr>
        <w:t xml:space="preserve">exception de </w:t>
      </w:r>
      <w:r>
        <w:rPr>
          <w:szCs w:val="24"/>
        </w:rPr>
        <w:t xml:space="preserve">ceux qui sont produits par </w:t>
      </w:r>
      <w:r w:rsidRPr="00571259">
        <w:rPr>
          <w:szCs w:val="24"/>
        </w:rPr>
        <w:t>injection intradermique dans l</w:t>
      </w:r>
      <w:r>
        <w:rPr>
          <w:szCs w:val="24"/>
        </w:rPr>
        <w:t>’</w:t>
      </w:r>
      <w:r w:rsidRPr="00571259">
        <w:rPr>
          <w:szCs w:val="24"/>
        </w:rPr>
        <w:t xml:space="preserve">essai de maximisation, peuvent </w:t>
      </w:r>
      <w:r>
        <w:rPr>
          <w:szCs w:val="24"/>
        </w:rPr>
        <w:t>être utilisés pour classer le produit comme corrosif lorsque l’on observe une destruction des tissus cutanés.</w:t>
      </w:r>
      <w:r w:rsidRPr="00571259">
        <w:rPr>
          <w:szCs w:val="24"/>
        </w:rPr>
        <w:t xml:space="preserve"> La présence ou l</w:t>
      </w:r>
      <w:r>
        <w:rPr>
          <w:szCs w:val="24"/>
        </w:rPr>
        <w:t>’</w:t>
      </w:r>
      <w:r w:rsidRPr="00571259">
        <w:rPr>
          <w:szCs w:val="24"/>
        </w:rPr>
        <w:t>absence d</w:t>
      </w:r>
      <w:r>
        <w:rPr>
          <w:szCs w:val="24"/>
        </w:rPr>
        <w:t>’</w:t>
      </w:r>
      <w:r w:rsidRPr="00571259">
        <w:rPr>
          <w:szCs w:val="24"/>
        </w:rPr>
        <w:t>irritation cutanée dans une étude de sensibilisation cutanée devrait être considérée comme non concluante en soi</w:t>
      </w:r>
      <w:r>
        <w:rPr>
          <w:szCs w:val="24"/>
        </w:rPr>
        <w:t>,</w:t>
      </w:r>
      <w:r w:rsidRPr="00571259">
        <w:rPr>
          <w:szCs w:val="24"/>
        </w:rPr>
        <w:t xml:space="preserve"> dans la mesure où les espèces soumises à l</w:t>
      </w:r>
      <w:r>
        <w:rPr>
          <w:szCs w:val="24"/>
        </w:rPr>
        <w:t>’</w:t>
      </w:r>
      <w:r w:rsidRPr="00571259">
        <w:rPr>
          <w:szCs w:val="24"/>
        </w:rPr>
        <w:t xml:space="preserve">essai peuvent </w:t>
      </w:r>
      <w:r>
        <w:rPr>
          <w:szCs w:val="24"/>
        </w:rPr>
        <w:t>être plus ou moins sensibles que les lapins, mais les signes d’irritation doivent être pris en compte dans une évaluation fondée sur la force probante des données</w:t>
      </w:r>
      <w:r w:rsidRPr="00571259">
        <w:rPr>
          <w:szCs w:val="24"/>
        </w:rPr>
        <w:t xml:space="preserve">. </w:t>
      </w:r>
    </w:p>
    <w:p w:rsidR="00AC212D" w:rsidRPr="00ED69DC" w:rsidRDefault="00AC212D" w:rsidP="004A5E71">
      <w:pPr>
        <w:pStyle w:val="SingleTxtG"/>
        <w:keepNext/>
        <w:ind w:left="2268" w:hanging="1134"/>
        <w:rPr>
          <w:szCs w:val="24"/>
        </w:rPr>
      </w:pPr>
      <w:r w:rsidRPr="003A5355">
        <w:rPr>
          <w:szCs w:val="24"/>
        </w:rPr>
        <w:t>3.2.5.3.5.2.5</w:t>
      </w:r>
      <w:r w:rsidRPr="003A5355">
        <w:rPr>
          <w:szCs w:val="24"/>
        </w:rPr>
        <w:tab/>
        <w:t xml:space="preserve">Les données </w:t>
      </w:r>
      <w:r>
        <w:rPr>
          <w:szCs w:val="24"/>
        </w:rPr>
        <w:t>d’</w:t>
      </w:r>
      <w:r w:rsidRPr="003A5355">
        <w:rPr>
          <w:szCs w:val="24"/>
        </w:rPr>
        <w:t>irritation r</w:t>
      </w:r>
      <w:r>
        <w:rPr>
          <w:szCs w:val="24"/>
        </w:rPr>
        <w:t>é</w:t>
      </w:r>
      <w:r w:rsidRPr="003A5355">
        <w:rPr>
          <w:szCs w:val="24"/>
        </w:rPr>
        <w:t>sultant de l</w:t>
      </w:r>
      <w:r>
        <w:rPr>
          <w:szCs w:val="24"/>
        </w:rPr>
        <w:t>’</w:t>
      </w:r>
      <w:r w:rsidRPr="003A5355">
        <w:rPr>
          <w:szCs w:val="24"/>
        </w:rPr>
        <w:t xml:space="preserve">essai de stimulation locale des ganglions lymphatiques </w:t>
      </w:r>
      <w:r>
        <w:rPr>
          <w:szCs w:val="24"/>
        </w:rPr>
        <w:t xml:space="preserve">(voir </w:t>
      </w:r>
      <w:r w:rsidRPr="003A5355">
        <w:rPr>
          <w:szCs w:val="24"/>
        </w:rPr>
        <w:t xml:space="preserve">par exemple </w:t>
      </w:r>
      <w:r>
        <w:rPr>
          <w:szCs w:val="24"/>
        </w:rPr>
        <w:t>les L</w:t>
      </w:r>
      <w:r w:rsidRPr="003A5355">
        <w:rPr>
          <w:szCs w:val="24"/>
        </w:rPr>
        <w:t xml:space="preserve">ignes directrices </w:t>
      </w:r>
      <w:r w:rsidR="00C41DFC" w:rsidRPr="00C41DFC">
        <w:rPr>
          <w:rFonts w:eastAsia="MS Mincho"/>
          <w:szCs w:val="24"/>
        </w:rPr>
        <w:t>n</w:t>
      </w:r>
      <w:r w:rsidR="00C41DFC" w:rsidRPr="00C41DFC">
        <w:rPr>
          <w:rFonts w:eastAsia="MS Mincho"/>
          <w:szCs w:val="24"/>
          <w:vertAlign w:val="superscript"/>
        </w:rPr>
        <w:t>o</w:t>
      </w:r>
      <w:r w:rsidR="00C41DFC">
        <w:rPr>
          <w:rFonts w:eastAsia="MS Mincho"/>
          <w:szCs w:val="24"/>
          <w:vertAlign w:val="superscript"/>
        </w:rPr>
        <w:t>s</w:t>
      </w:r>
      <w:r w:rsidR="00C41DFC">
        <w:rPr>
          <w:szCs w:val="24"/>
        </w:rPr>
        <w:t> </w:t>
      </w:r>
      <w:r w:rsidRPr="003A5355">
        <w:rPr>
          <w:szCs w:val="24"/>
        </w:rPr>
        <w:t>429, 442A et 442B de l</w:t>
      </w:r>
      <w:r>
        <w:rPr>
          <w:szCs w:val="24"/>
        </w:rPr>
        <w:t>’</w:t>
      </w:r>
      <w:r w:rsidRPr="003A5355">
        <w:rPr>
          <w:szCs w:val="24"/>
        </w:rPr>
        <w:t xml:space="preserve">OCDE) </w:t>
      </w:r>
      <w:r>
        <w:rPr>
          <w:szCs w:val="24"/>
        </w:rPr>
        <w:t xml:space="preserve">ne </w:t>
      </w:r>
      <w:r w:rsidRPr="003A5355">
        <w:rPr>
          <w:szCs w:val="24"/>
        </w:rPr>
        <w:t xml:space="preserve">devraient </w:t>
      </w:r>
      <w:r>
        <w:rPr>
          <w:szCs w:val="24"/>
        </w:rPr>
        <w:t>en principe pas</w:t>
      </w:r>
      <w:r w:rsidRPr="003A5355">
        <w:rPr>
          <w:szCs w:val="24"/>
        </w:rPr>
        <w:t xml:space="preserve"> être utilisées à des fins de classification dans la mesure o</w:t>
      </w:r>
      <w:r>
        <w:rPr>
          <w:szCs w:val="24"/>
        </w:rPr>
        <w:t xml:space="preserve">ù la substance est appliquée sur le dos de l’oreille par application topique ouverte et que dans certains cas des moyens spécifiques </w:t>
      </w:r>
      <w:r w:rsidRPr="00F92533">
        <w:rPr>
          <w:szCs w:val="24"/>
        </w:rPr>
        <w:t xml:space="preserve">sont utilisés </w:t>
      </w:r>
      <w:r>
        <w:rPr>
          <w:szCs w:val="24"/>
        </w:rPr>
        <w:t xml:space="preserve">pour une meilleure pénétration cutanée. </w:t>
      </w:r>
      <w:r w:rsidRPr="00A00823">
        <w:rPr>
          <w:szCs w:val="24"/>
        </w:rPr>
        <w:t>De</w:t>
      </w:r>
      <w:r w:rsidR="00C41DFC">
        <w:rPr>
          <w:szCs w:val="24"/>
        </w:rPr>
        <w:t> </w:t>
      </w:r>
      <w:r w:rsidRPr="00A00823">
        <w:rPr>
          <w:szCs w:val="24"/>
        </w:rPr>
        <w:t>plus, en raison de l</w:t>
      </w:r>
      <w:r>
        <w:rPr>
          <w:szCs w:val="24"/>
        </w:rPr>
        <w:t>’</w:t>
      </w:r>
      <w:r w:rsidRPr="00A00823">
        <w:rPr>
          <w:szCs w:val="24"/>
        </w:rPr>
        <w:t>augmentation proportionnelle de l</w:t>
      </w:r>
      <w:r>
        <w:rPr>
          <w:szCs w:val="24"/>
        </w:rPr>
        <w:t>’</w:t>
      </w:r>
      <w:r w:rsidRPr="00A00823">
        <w:rPr>
          <w:szCs w:val="24"/>
        </w:rPr>
        <w:t xml:space="preserve">épaisseur de la peau du fait de </w:t>
      </w:r>
      <w:r w:rsidRPr="00A00823">
        <w:rPr>
          <w:szCs w:val="24"/>
        </w:rPr>
        <w:lastRenderedPageBreak/>
        <w:t>l</w:t>
      </w:r>
      <w:r>
        <w:rPr>
          <w:szCs w:val="24"/>
        </w:rPr>
        <w:t>’</w:t>
      </w:r>
      <w:r w:rsidRPr="00A00823">
        <w:rPr>
          <w:szCs w:val="24"/>
        </w:rPr>
        <w:t>augmentation de la masse corporelle, c</w:t>
      </w:r>
      <w:r>
        <w:rPr>
          <w:szCs w:val="24"/>
        </w:rPr>
        <w:t>’</w:t>
      </w:r>
      <w:r w:rsidRPr="00A00823">
        <w:rPr>
          <w:szCs w:val="24"/>
        </w:rPr>
        <w:t xml:space="preserve">est la souris qui </w:t>
      </w:r>
      <w:r>
        <w:rPr>
          <w:szCs w:val="24"/>
        </w:rPr>
        <w:t xml:space="preserve">s’éloigne le plus des lapins et des humains. </w:t>
      </w:r>
    </w:p>
    <w:p w:rsidR="00AC212D" w:rsidRDefault="00AC212D" w:rsidP="004A5E71">
      <w:pPr>
        <w:pStyle w:val="SingleTxtG"/>
        <w:keepNext/>
        <w:ind w:left="2268" w:hanging="1134"/>
        <w:rPr>
          <w:szCs w:val="24"/>
        </w:rPr>
      </w:pPr>
      <w:r w:rsidRPr="00A00823">
        <w:rPr>
          <w:szCs w:val="24"/>
        </w:rPr>
        <w:t>3.2.5.3.5.2.6</w:t>
      </w:r>
      <w:r w:rsidRPr="00A00823">
        <w:rPr>
          <w:szCs w:val="24"/>
        </w:rPr>
        <w:tab/>
        <w:t>Dans les études sur l</w:t>
      </w:r>
      <w:r>
        <w:rPr>
          <w:szCs w:val="24"/>
        </w:rPr>
        <w:t>’</w:t>
      </w:r>
      <w:r w:rsidRPr="00A00823">
        <w:rPr>
          <w:szCs w:val="24"/>
        </w:rPr>
        <w:t>absorption cutanée (</w:t>
      </w:r>
      <w:r>
        <w:rPr>
          <w:szCs w:val="24"/>
        </w:rPr>
        <w:t xml:space="preserve">voir </w:t>
      </w:r>
      <w:r w:rsidRPr="00A00823">
        <w:rPr>
          <w:szCs w:val="24"/>
        </w:rPr>
        <w:t xml:space="preserve">par exemple la </w:t>
      </w:r>
      <w:r>
        <w:rPr>
          <w:szCs w:val="24"/>
        </w:rPr>
        <w:t>L</w:t>
      </w:r>
      <w:r w:rsidRPr="00A00823">
        <w:rPr>
          <w:szCs w:val="24"/>
        </w:rPr>
        <w:t xml:space="preserve">igne directrice </w:t>
      </w:r>
      <w:r w:rsidR="00DD30CF" w:rsidRPr="00DD30CF">
        <w:rPr>
          <w:rFonts w:eastAsia="MS Mincho"/>
          <w:szCs w:val="24"/>
        </w:rPr>
        <w:t>n</w:t>
      </w:r>
      <w:r w:rsidR="00DD30CF" w:rsidRPr="00DD30CF">
        <w:rPr>
          <w:rFonts w:eastAsia="MS Mincho"/>
          <w:szCs w:val="24"/>
          <w:vertAlign w:val="superscript"/>
        </w:rPr>
        <w:t>o</w:t>
      </w:r>
      <w:r w:rsidR="00DD30CF">
        <w:rPr>
          <w:szCs w:val="24"/>
        </w:rPr>
        <w:t> </w:t>
      </w:r>
      <w:r w:rsidRPr="00A00823">
        <w:rPr>
          <w:szCs w:val="24"/>
        </w:rPr>
        <w:t>427 de l</w:t>
      </w:r>
      <w:r>
        <w:rPr>
          <w:szCs w:val="24"/>
        </w:rPr>
        <w:t>’</w:t>
      </w:r>
      <w:r w:rsidRPr="00A00823">
        <w:rPr>
          <w:szCs w:val="24"/>
        </w:rPr>
        <w:t xml:space="preserve">OCDE), les </w:t>
      </w:r>
      <w:r>
        <w:rPr>
          <w:szCs w:val="24"/>
        </w:rPr>
        <w:t xml:space="preserve">conditions d’exposition provoquant une corrosion cutanée sont généralement évitées dans la mesure où cela nuit à l’absorption. Les informations relatives aux effets cutanés tirées de ces études ne permettent pas d’établir directement une classification, mais peuvent être examinées dans le cadre d’une méthode fondée sur la force probante des données. </w:t>
      </w:r>
      <w:r w:rsidRPr="00B80146">
        <w:rPr>
          <w:szCs w:val="24"/>
        </w:rPr>
        <w:t>Les informations relatives à l</w:t>
      </w:r>
      <w:r>
        <w:rPr>
          <w:szCs w:val="24"/>
        </w:rPr>
        <w:t>’</w:t>
      </w:r>
      <w:r w:rsidRPr="00B80146">
        <w:rPr>
          <w:szCs w:val="24"/>
        </w:rPr>
        <w:t>absorption cutanée peuvent cependant être prises en compte dans le cadre d</w:t>
      </w:r>
      <w:r>
        <w:rPr>
          <w:szCs w:val="24"/>
        </w:rPr>
        <w:t>’</w:t>
      </w:r>
      <w:r w:rsidRPr="00B80146">
        <w:rPr>
          <w:szCs w:val="24"/>
        </w:rPr>
        <w:t>une évaluation fondée s</w:t>
      </w:r>
      <w:r>
        <w:rPr>
          <w:szCs w:val="24"/>
        </w:rPr>
        <w:t>ur les données probantes puisqu’un niveau élevé d’absorption cutanée combiné à des éléments supplémentaires révélant une cytotoxicité élevée peut être un signe d’irritation ou de corrosion</w:t>
      </w:r>
      <w:r w:rsidRPr="00B80146">
        <w:rPr>
          <w:szCs w:val="24"/>
        </w:rPr>
        <w:t>.</w:t>
      </w:r>
      <w:r w:rsidR="00C41DFC">
        <w:rPr>
          <w:szCs w:val="24"/>
        </w:rPr>
        <w:t> ».</w:t>
      </w:r>
    </w:p>
    <w:p w:rsidR="004A5E71" w:rsidRPr="00DD30CF" w:rsidRDefault="00DD30CF" w:rsidP="00DD30CF">
      <w:pPr>
        <w:pStyle w:val="SingleTxtG"/>
        <w:spacing w:before="240" w:after="0"/>
        <w:jc w:val="center"/>
        <w:rPr>
          <w:u w:val="single"/>
        </w:rPr>
      </w:pPr>
      <w:r>
        <w:rPr>
          <w:u w:val="single"/>
        </w:rPr>
        <w:tab/>
      </w:r>
      <w:r>
        <w:rPr>
          <w:u w:val="single"/>
        </w:rPr>
        <w:tab/>
      </w:r>
      <w:r>
        <w:rPr>
          <w:u w:val="single"/>
        </w:rPr>
        <w:tab/>
      </w:r>
    </w:p>
    <w:sectPr w:rsidR="004A5E71" w:rsidRPr="00DD30CF" w:rsidSect="00AC212D">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A43" w:rsidRDefault="00C41A43" w:rsidP="00F95C08">
      <w:pPr>
        <w:spacing w:line="240" w:lineRule="auto"/>
      </w:pPr>
    </w:p>
  </w:endnote>
  <w:endnote w:type="continuationSeparator" w:id="0">
    <w:p w:rsidR="00C41A43" w:rsidRPr="00AC3823" w:rsidRDefault="00C41A43" w:rsidP="00AC3823">
      <w:pPr>
        <w:pStyle w:val="Footer"/>
      </w:pPr>
    </w:p>
  </w:endnote>
  <w:endnote w:type="continuationNotice" w:id="1">
    <w:p w:rsidR="00C41A43" w:rsidRDefault="00C41A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09198E" w:rsidRDefault="00C41A43" w:rsidP="0009198E">
    <w:pPr>
      <w:pStyle w:val="Footer"/>
      <w:tabs>
        <w:tab w:val="right" w:pos="9638"/>
      </w:tabs>
    </w:pP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14</w:t>
    </w:r>
    <w:r w:rsidRPr="0009198E">
      <w:rPr>
        <w:b/>
        <w:sz w:val="18"/>
      </w:rPr>
      <w:fldChar w:fldCharType="end"/>
    </w:r>
    <w:r>
      <w:rPr>
        <w:b/>
        <w:sz w:val="18"/>
      </w:rPr>
      <w:tab/>
    </w:r>
    <w:r>
      <w:t>GE.18-15918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09198E" w:rsidRDefault="00C41A43" w:rsidP="0009198E">
    <w:pPr>
      <w:pStyle w:val="Footer"/>
      <w:tabs>
        <w:tab w:val="right" w:pos="9638"/>
      </w:tabs>
      <w:rPr>
        <w:b/>
        <w:sz w:val="18"/>
      </w:rPr>
    </w:pPr>
    <w:r>
      <w:t>GE.18-15918</w:t>
    </w:r>
    <w:r>
      <w:tab/>
    </w: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15</w:t>
    </w:r>
    <w:r w:rsidRPr="000919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09198E" w:rsidRDefault="00C41A43" w:rsidP="0009198E">
    <w:pPr>
      <w:pStyle w:val="Footer"/>
      <w:spacing w:before="120"/>
      <w:rPr>
        <w:sz w:val="20"/>
      </w:rPr>
    </w:pPr>
    <w:r>
      <w:rPr>
        <w:sz w:val="20"/>
      </w:rPr>
      <w:t>GE.</w:t>
    </w:r>
    <w:r>
      <w:rPr>
        <w:noProof/>
        <w:lang w:eastAsia="fr-CH"/>
      </w:rPr>
      <w:drawing>
        <wp:anchor distT="0" distB="0" distL="114300" distR="114300" simplePos="0" relativeHeight="25165004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18-15918  (F)    191018    221018</w:t>
    </w:r>
    <w:r>
      <w:rPr>
        <w:sz w:val="20"/>
      </w:rPr>
      <w:br/>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sidRPr="0009198E">
      <w:rPr>
        <w:rFonts w:ascii="C39T30Lfz" w:hAnsi="C39T30Lfz"/>
        <w:sz w:val="56"/>
      </w:rPr>
      <w:t></w:t>
    </w:r>
    <w:r>
      <w:rPr>
        <w:noProof/>
        <w:sz w:val="20"/>
        <w:lang w:eastAsia="fr-CH"/>
      </w:rPr>
      <w:drawing>
        <wp:anchor distT="0" distB="0" distL="114300" distR="114300" simplePos="0" relativeHeight="2516357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7F5A87" w:rsidRDefault="00C41A43" w:rsidP="007F5A87">
    <w:pPr>
      <w:pStyle w:val="Footer"/>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41A43" w:rsidRPr="0009198E" w:rsidRDefault="00C41A43" w:rsidP="007F5A87">
                          <w:pPr>
                            <w:pStyle w:val="Footer"/>
                            <w:tabs>
                              <w:tab w:val="right" w:pos="9638"/>
                            </w:tabs>
                          </w:pP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16</w:t>
                          </w:r>
                          <w:r w:rsidRPr="0009198E">
                            <w:rPr>
                              <w:b/>
                              <w:sz w:val="18"/>
                            </w:rPr>
                            <w:fldChar w:fldCharType="end"/>
                          </w:r>
                          <w:r>
                            <w:rPr>
                              <w:b/>
                              <w:sz w:val="18"/>
                            </w:rPr>
                            <w:tab/>
                          </w:r>
                          <w:r>
                            <w:t>GE.18-15918</w:t>
                          </w:r>
                        </w:p>
                        <w:p w:rsidR="00C41A43" w:rsidRDefault="00C41A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6"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5AAMAALo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Jeaq5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C41A43" w:rsidRPr="0009198E" w:rsidRDefault="00C41A43" w:rsidP="007F5A87">
                    <w:pPr>
                      <w:pStyle w:val="Footer"/>
                      <w:tabs>
                        <w:tab w:val="right" w:pos="9638"/>
                      </w:tabs>
                    </w:pP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16</w:t>
                    </w:r>
                    <w:r w:rsidRPr="0009198E">
                      <w:rPr>
                        <w:b/>
                        <w:sz w:val="18"/>
                      </w:rPr>
                      <w:fldChar w:fldCharType="end"/>
                    </w:r>
                    <w:r>
                      <w:rPr>
                        <w:b/>
                        <w:sz w:val="18"/>
                      </w:rPr>
                      <w:tab/>
                    </w:r>
                    <w:r>
                      <w:t>GE.18-15918</w:t>
                    </w:r>
                  </w:p>
                  <w:p w:rsidR="00C41A43" w:rsidRDefault="00C41A4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7F5A87" w:rsidRDefault="00C41A43" w:rsidP="007F5A87">
    <w:pPr>
      <w:pStyle w:val="Footer"/>
    </w:pPr>
    <w:r>
      <w:rPr>
        <w:noProof/>
        <w:lang w:eastAsia="fr-CH"/>
      </w:rPr>
      <mc:AlternateContent>
        <mc:Choice Requires="wps">
          <w:drawing>
            <wp:anchor distT="0" distB="0" distL="114300" distR="114300" simplePos="0" relativeHeight="25165312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41A43" w:rsidRPr="0009198E" w:rsidRDefault="00C41A43" w:rsidP="007F5A87">
                          <w:pPr>
                            <w:pStyle w:val="Footer"/>
                            <w:tabs>
                              <w:tab w:val="right" w:pos="9638"/>
                            </w:tabs>
                            <w:rPr>
                              <w:b/>
                              <w:sz w:val="18"/>
                            </w:rPr>
                          </w:pPr>
                          <w:r>
                            <w:t>GE.18-15918</w:t>
                          </w:r>
                          <w:r>
                            <w:tab/>
                          </w: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17</w:t>
                          </w:r>
                          <w:r w:rsidRPr="0009198E">
                            <w:rPr>
                              <w:b/>
                              <w:sz w:val="18"/>
                            </w:rPr>
                            <w:fldChar w:fldCharType="end"/>
                          </w:r>
                        </w:p>
                        <w:p w:rsidR="00C41A43" w:rsidRDefault="00C41A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4" o:spid="_x0000_s1029"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MAAMAALo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3NCM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C41A43" w:rsidRPr="0009198E" w:rsidRDefault="00C41A43" w:rsidP="007F5A87">
                    <w:pPr>
                      <w:pStyle w:val="Footer"/>
                      <w:tabs>
                        <w:tab w:val="right" w:pos="9638"/>
                      </w:tabs>
                      <w:rPr>
                        <w:b/>
                        <w:sz w:val="18"/>
                      </w:rPr>
                    </w:pPr>
                    <w:r>
                      <w:t>GE.18-15918</w:t>
                    </w:r>
                    <w:r>
                      <w:tab/>
                    </w:r>
                    <w:r w:rsidRPr="0009198E">
                      <w:rPr>
                        <w:b/>
                        <w:sz w:val="18"/>
                      </w:rPr>
                      <w:fldChar w:fldCharType="begin"/>
                    </w:r>
                    <w:r w:rsidRPr="0009198E">
                      <w:rPr>
                        <w:b/>
                        <w:sz w:val="18"/>
                      </w:rPr>
                      <w:instrText xml:space="preserve"> PAGE  \* MERGEFORMAT </w:instrText>
                    </w:r>
                    <w:r w:rsidRPr="0009198E">
                      <w:rPr>
                        <w:b/>
                        <w:sz w:val="18"/>
                      </w:rPr>
                      <w:fldChar w:fldCharType="separate"/>
                    </w:r>
                    <w:r w:rsidR="000B1F52">
                      <w:rPr>
                        <w:b/>
                        <w:noProof/>
                        <w:sz w:val="18"/>
                      </w:rPr>
                      <w:t>17</w:t>
                    </w:r>
                    <w:r w:rsidRPr="0009198E">
                      <w:rPr>
                        <w:b/>
                        <w:sz w:val="18"/>
                      </w:rPr>
                      <w:fldChar w:fldCharType="end"/>
                    </w:r>
                  </w:p>
                  <w:p w:rsidR="00C41A43" w:rsidRDefault="00C41A4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2D" w:rsidRPr="00AC212D" w:rsidRDefault="00AC212D" w:rsidP="00AC212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0B1F52">
      <w:rPr>
        <w:b/>
        <w:noProof/>
        <w:sz w:val="18"/>
      </w:rPr>
      <w:t>18</w:t>
    </w:r>
    <w:r>
      <w:rPr>
        <w:b/>
        <w:sz w:val="18"/>
      </w:rPr>
      <w:fldChar w:fldCharType="end"/>
    </w:r>
    <w:r>
      <w:rPr>
        <w:b/>
        <w:sz w:val="18"/>
      </w:rPr>
      <w:tab/>
    </w:r>
    <w:r w:rsidRPr="00AC212D">
      <w:t>GE.18-15918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2D" w:rsidRPr="00AC212D" w:rsidRDefault="00AC212D" w:rsidP="00AC212D">
    <w:pPr>
      <w:pStyle w:val="Footer"/>
      <w:tabs>
        <w:tab w:val="right" w:pos="9638"/>
      </w:tabs>
      <w:rPr>
        <w:b/>
        <w:sz w:val="18"/>
      </w:rPr>
    </w:pPr>
    <w:r>
      <w:t>GE.</w:t>
    </w:r>
    <w:r w:rsidRPr="00AC212D">
      <w:t>18</w:t>
    </w:r>
    <w:r>
      <w:t>-</w:t>
    </w:r>
    <w:r w:rsidRPr="00AC212D">
      <w:t>15918</w:t>
    </w:r>
    <w:r>
      <w:tab/>
    </w:r>
    <w:r>
      <w:rPr>
        <w:b/>
        <w:sz w:val="18"/>
      </w:rPr>
      <w:fldChar w:fldCharType="begin"/>
    </w:r>
    <w:r>
      <w:rPr>
        <w:b/>
        <w:sz w:val="18"/>
      </w:rPr>
      <w:instrText xml:space="preserve"> PAGE  \* MERGEFORMAT </w:instrText>
    </w:r>
    <w:r>
      <w:rPr>
        <w:b/>
        <w:sz w:val="18"/>
      </w:rPr>
      <w:fldChar w:fldCharType="separate"/>
    </w:r>
    <w:r w:rsidR="000B1F52">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A43" w:rsidRPr="00AC3823" w:rsidRDefault="00C41A43" w:rsidP="00AC3823">
      <w:pPr>
        <w:pStyle w:val="Footer"/>
        <w:tabs>
          <w:tab w:val="right" w:pos="2155"/>
        </w:tabs>
        <w:spacing w:after="80" w:line="240" w:lineRule="atLeast"/>
        <w:ind w:left="680"/>
        <w:rPr>
          <w:u w:val="single"/>
        </w:rPr>
      </w:pPr>
      <w:r>
        <w:rPr>
          <w:u w:val="single"/>
        </w:rPr>
        <w:tab/>
      </w:r>
    </w:p>
  </w:footnote>
  <w:footnote w:type="continuationSeparator" w:id="0">
    <w:p w:rsidR="00C41A43" w:rsidRPr="00AC3823" w:rsidRDefault="00C41A43" w:rsidP="00AC3823">
      <w:pPr>
        <w:pStyle w:val="Footer"/>
        <w:tabs>
          <w:tab w:val="right" w:pos="2155"/>
        </w:tabs>
        <w:spacing w:after="80" w:line="240" w:lineRule="atLeast"/>
        <w:ind w:left="680"/>
        <w:rPr>
          <w:u w:val="single"/>
        </w:rPr>
      </w:pPr>
      <w:r>
        <w:rPr>
          <w:u w:val="single"/>
        </w:rPr>
        <w:tab/>
      </w:r>
    </w:p>
  </w:footnote>
  <w:footnote w:type="continuationNotice" w:id="1">
    <w:p w:rsidR="00C41A43" w:rsidRPr="00AC3823" w:rsidRDefault="00C41A43">
      <w:pPr>
        <w:spacing w:line="240" w:lineRule="auto"/>
        <w:rPr>
          <w:sz w:val="2"/>
          <w:szCs w:val="2"/>
        </w:rPr>
      </w:pPr>
    </w:p>
  </w:footnote>
  <w:footnote w:id="2">
    <w:p w:rsidR="00C41A43" w:rsidRPr="00C4755F" w:rsidRDefault="00C41A43" w:rsidP="00EA227C">
      <w:pPr>
        <w:pStyle w:val="FootnoteText"/>
      </w:pPr>
      <w:r>
        <w:tab/>
      </w:r>
      <w:r w:rsidRPr="00D7582A">
        <w:rPr>
          <w:rStyle w:val="FootnoteReference"/>
          <w:sz w:val="20"/>
          <w:vertAlign w:val="baseline"/>
        </w:rPr>
        <w:t>*</w:t>
      </w:r>
      <w:r>
        <w:rPr>
          <w:rStyle w:val="FootnoteReference"/>
        </w:rPr>
        <w:tab/>
      </w:r>
      <w:r w:rsidRPr="00C4755F">
        <w:t>Conformément au programme de travail du Sous-Comité pour 2017</w:t>
      </w:r>
      <w:r>
        <w:t>-</w:t>
      </w:r>
      <w:r w:rsidRPr="00C4755F">
        <w:t>2018</w:t>
      </w:r>
      <w:r>
        <w:t>,</w:t>
      </w:r>
      <w:r w:rsidRPr="00C4755F">
        <w:t xml:space="preserve"> approuvé par le Comité à sa huitième session (</w:t>
      </w:r>
      <w:r>
        <w:t>voir</w:t>
      </w:r>
      <w:r w:rsidRPr="00C4755F">
        <w:t xml:space="preserve"> ST/SG/AC.10/C.3/100, par</w:t>
      </w:r>
      <w:r>
        <w:t>.</w:t>
      </w:r>
      <w:r w:rsidRPr="00C4755F">
        <w:t xml:space="preserve"> 98</w:t>
      </w:r>
      <w:r>
        <w:t>,</w:t>
      </w:r>
      <w:r w:rsidRPr="00C4755F">
        <w:t xml:space="preserve"> </w:t>
      </w:r>
      <w:r>
        <w:t>et</w:t>
      </w:r>
      <w:r w:rsidRPr="00C4755F">
        <w:t xml:space="preserve"> ST/SG/AC.10/44, par</w:t>
      </w:r>
      <w:r>
        <w:t>.</w:t>
      </w:r>
      <w:r w:rsidRPr="00C4755F">
        <w:t> 14)</w:t>
      </w:r>
      <w:r w:rsidRPr="00C4755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09198E" w:rsidRDefault="007A557D">
    <w:pPr>
      <w:pStyle w:val="Header"/>
    </w:pPr>
    <w:r>
      <w:fldChar w:fldCharType="begin"/>
    </w:r>
    <w:r>
      <w:instrText xml:space="preserve"> TITLE  \* MERGEFORMAT </w:instrText>
    </w:r>
    <w:r>
      <w:fldChar w:fldCharType="separate"/>
    </w:r>
    <w:r>
      <w:t>ST/SG/AC.10/C.4/2018/29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09198E" w:rsidRDefault="007A557D" w:rsidP="0009198E">
    <w:pPr>
      <w:pStyle w:val="Header"/>
      <w:jc w:val="right"/>
    </w:pPr>
    <w:r>
      <w:fldChar w:fldCharType="begin"/>
    </w:r>
    <w:r>
      <w:instrText xml:space="preserve"> TITLE  \* MERGEFORMAT </w:instrText>
    </w:r>
    <w:r>
      <w:fldChar w:fldCharType="separate"/>
    </w:r>
    <w:r>
      <w:t>ST/SG/AC.10/C.4/2018/29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7F5A87" w:rsidRDefault="00C41A43" w:rsidP="007F5A87">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41A43" w:rsidRPr="0009198E" w:rsidRDefault="007A557D" w:rsidP="007F5A87">
                          <w:pPr>
                            <w:pStyle w:val="Header"/>
                          </w:pPr>
                          <w:r>
                            <w:fldChar w:fldCharType="begin"/>
                          </w:r>
                          <w:r>
                            <w:instrText xml:space="preserve"> TITLE  \* MERGEFORMAT </w:instrText>
                          </w:r>
                          <w:r>
                            <w:fldChar w:fldCharType="separate"/>
                          </w:r>
                          <w:r>
                            <w:t>ST/SG/AC.10/C.4/2018/29</w:t>
                          </w:r>
                          <w:r>
                            <w:fldChar w:fldCharType="end"/>
                          </w:r>
                        </w:p>
                        <w:p w:rsidR="00C41A43" w:rsidRDefault="00C41A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5"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" fillcolor="#4f81bd [3204]" stroked="f" strokeweight=".5pt">
              <v:fill opacity="0"/>
              <v:path arrowok="t"/>
              <v:textbox style="layout-flow:vertical" inset="0,0,0,0">
                <w:txbxContent>
                  <w:p w:rsidR="00C41A43" w:rsidRPr="0009198E" w:rsidRDefault="007A557D" w:rsidP="007F5A87">
                    <w:pPr>
                      <w:pStyle w:val="Header"/>
                    </w:pPr>
                    <w:r>
                      <w:fldChar w:fldCharType="begin"/>
                    </w:r>
                    <w:r>
                      <w:instrText xml:space="preserve"> TITLE  \* MERGEFORMAT </w:instrText>
                    </w:r>
                    <w:r>
                      <w:fldChar w:fldCharType="separate"/>
                    </w:r>
                    <w:r>
                      <w:t>ST/SG/AC.10/C.4/2018/29</w:t>
                    </w:r>
                    <w:r>
                      <w:fldChar w:fldCharType="end"/>
                    </w:r>
                  </w:p>
                  <w:p w:rsidR="00C41A43" w:rsidRDefault="00C41A4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43" w:rsidRPr="007F5A87" w:rsidRDefault="00C41A43" w:rsidP="007F5A87">
    <w:r>
      <w:rPr>
        <w:noProof/>
        <w:lang w:eastAsia="fr-CH"/>
      </w:rPr>
      <mc:AlternateContent>
        <mc:Choice Requires="wps">
          <w:drawing>
            <wp:anchor distT="0" distB="0" distL="114300" distR="114300" simplePos="0" relativeHeight="2516387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41A43" w:rsidRPr="0009198E" w:rsidRDefault="007A557D" w:rsidP="007F5A87">
                          <w:pPr>
                            <w:pStyle w:val="Header"/>
                            <w:jc w:val="right"/>
                          </w:pPr>
                          <w:r>
                            <w:fldChar w:fldCharType="begin"/>
                          </w:r>
                          <w:r>
                            <w:instrText xml:space="preserve"> TITLE  \* MERGEFORMAT </w:instrText>
                          </w:r>
                          <w:r>
                            <w:fldChar w:fldCharType="separate"/>
                          </w:r>
                          <w:r>
                            <w:t>ST/SG/AC.10/C.4/2018/29</w:t>
                          </w:r>
                          <w:r>
                            <w:fldChar w:fldCharType="end"/>
                          </w:r>
                        </w:p>
                        <w:p w:rsidR="00C41A43" w:rsidRDefault="00C41A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3" o:spid="_x0000_s1027" type="#_x0000_t202" style="position:absolute;margin-left:782.35pt;margin-top:0;width:17pt;height:481.9pt;z-index:251638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wT/wIAALo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fFuwT/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C41A43" w:rsidRPr="0009198E" w:rsidRDefault="007A557D" w:rsidP="007F5A87">
                    <w:pPr>
                      <w:pStyle w:val="Header"/>
                      <w:jc w:val="right"/>
                    </w:pPr>
                    <w:r>
                      <w:fldChar w:fldCharType="begin"/>
                    </w:r>
                    <w:r>
                      <w:instrText xml:space="preserve"> TITLE  \* MERGEFORMAT </w:instrText>
                    </w:r>
                    <w:r>
                      <w:fldChar w:fldCharType="separate"/>
                    </w:r>
                    <w:r>
                      <w:t>ST/SG/AC.10/C.4/2018/29</w:t>
                    </w:r>
                    <w:r>
                      <w:fldChar w:fldCharType="end"/>
                    </w:r>
                  </w:p>
                  <w:p w:rsidR="00C41A43" w:rsidRDefault="00C41A4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2D" w:rsidRPr="00AC212D" w:rsidRDefault="007A557D" w:rsidP="00AC212D">
    <w:pPr>
      <w:pStyle w:val="Header"/>
    </w:pPr>
    <w:r>
      <w:fldChar w:fldCharType="begin"/>
    </w:r>
    <w:r>
      <w:instrText xml:space="preserve"> TITLE  \* MERGEFORMAT </w:instrText>
    </w:r>
    <w:r>
      <w:fldChar w:fldCharType="separate"/>
    </w:r>
    <w:r>
      <w:t>ST/SG/AC.10/C.4/2018/29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2D" w:rsidRPr="00AC212D" w:rsidRDefault="007A557D" w:rsidP="00AC212D">
    <w:pPr>
      <w:pStyle w:val="Header"/>
      <w:jc w:val="right"/>
    </w:pPr>
    <w:r>
      <w:fldChar w:fldCharType="begin"/>
    </w:r>
    <w:r>
      <w:instrText xml:space="preserve"> TITLE  \* MERGEFORMAT </w:instrText>
    </w:r>
    <w:r>
      <w:fldChar w:fldCharType="separate"/>
    </w:r>
    <w:r>
      <w:t>ST/SG/AC.10/C.4/2018/29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69A2"/>
    <w:multiLevelType w:val="hybridMultilevel"/>
    <w:tmpl w:val="FF6C68C0"/>
    <w:lvl w:ilvl="0" w:tplc="A6F6969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84383C"/>
    <w:multiLevelType w:val="hybridMultilevel"/>
    <w:tmpl w:val="26D411F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4D907F4"/>
    <w:multiLevelType w:val="hybridMultilevel"/>
    <w:tmpl w:val="A8A419B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40FBF"/>
    <w:multiLevelType w:val="hybridMultilevel"/>
    <w:tmpl w:val="8D740A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7"/>
  </w:num>
  <w:num w:numId="18">
    <w:abstractNumId w:val="15"/>
  </w:num>
  <w:num w:numId="19">
    <w:abstractNumId w:val="14"/>
  </w:num>
  <w:num w:numId="20">
    <w:abstractNumId w:val="20"/>
  </w:num>
  <w:num w:numId="21">
    <w:abstractNumId w:val="18"/>
  </w:num>
  <w:num w:numId="22">
    <w:abstractNumId w:val="12"/>
  </w:num>
  <w:num w:numId="23">
    <w:abstractNumId w:val="13"/>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A7"/>
    <w:rsid w:val="0000077E"/>
    <w:rsid w:val="00014E63"/>
    <w:rsid w:val="00017F94"/>
    <w:rsid w:val="00023842"/>
    <w:rsid w:val="000305D3"/>
    <w:rsid w:val="000334F9"/>
    <w:rsid w:val="00047D74"/>
    <w:rsid w:val="00056EF1"/>
    <w:rsid w:val="0007796D"/>
    <w:rsid w:val="0009198E"/>
    <w:rsid w:val="000B1F52"/>
    <w:rsid w:val="000B7790"/>
    <w:rsid w:val="000C36C3"/>
    <w:rsid w:val="000C681A"/>
    <w:rsid w:val="00111F2F"/>
    <w:rsid w:val="00132EA9"/>
    <w:rsid w:val="001342B3"/>
    <w:rsid w:val="0014365E"/>
    <w:rsid w:val="00176178"/>
    <w:rsid w:val="00187E62"/>
    <w:rsid w:val="001C647E"/>
    <w:rsid w:val="001D7063"/>
    <w:rsid w:val="001F314F"/>
    <w:rsid w:val="001F525A"/>
    <w:rsid w:val="0020525A"/>
    <w:rsid w:val="0020575C"/>
    <w:rsid w:val="00223272"/>
    <w:rsid w:val="00232364"/>
    <w:rsid w:val="0024779E"/>
    <w:rsid w:val="00247A59"/>
    <w:rsid w:val="00251C37"/>
    <w:rsid w:val="0025368D"/>
    <w:rsid w:val="00266BF6"/>
    <w:rsid w:val="00283190"/>
    <w:rsid w:val="002832AC"/>
    <w:rsid w:val="002A21CF"/>
    <w:rsid w:val="002D1117"/>
    <w:rsid w:val="002D675E"/>
    <w:rsid w:val="002D7C93"/>
    <w:rsid w:val="00367C1C"/>
    <w:rsid w:val="003B31E3"/>
    <w:rsid w:val="003E4AAD"/>
    <w:rsid w:val="003F59DA"/>
    <w:rsid w:val="00441C3B"/>
    <w:rsid w:val="00446FE5"/>
    <w:rsid w:val="00452396"/>
    <w:rsid w:val="004A0563"/>
    <w:rsid w:val="004A5E71"/>
    <w:rsid w:val="004B1D0B"/>
    <w:rsid w:val="004B40CA"/>
    <w:rsid w:val="004E468C"/>
    <w:rsid w:val="004F3808"/>
    <w:rsid w:val="00525BCC"/>
    <w:rsid w:val="00526CD7"/>
    <w:rsid w:val="0052799A"/>
    <w:rsid w:val="00533105"/>
    <w:rsid w:val="0054170E"/>
    <w:rsid w:val="005505B7"/>
    <w:rsid w:val="00573BE5"/>
    <w:rsid w:val="0057624E"/>
    <w:rsid w:val="00584DC4"/>
    <w:rsid w:val="00586ED3"/>
    <w:rsid w:val="00596AA9"/>
    <w:rsid w:val="005B4354"/>
    <w:rsid w:val="005B7235"/>
    <w:rsid w:val="005E0D56"/>
    <w:rsid w:val="00620449"/>
    <w:rsid w:val="00663DDA"/>
    <w:rsid w:val="0068456F"/>
    <w:rsid w:val="006B1D14"/>
    <w:rsid w:val="006F44FA"/>
    <w:rsid w:val="006F7507"/>
    <w:rsid w:val="007056F9"/>
    <w:rsid w:val="0071601D"/>
    <w:rsid w:val="00765992"/>
    <w:rsid w:val="007772E0"/>
    <w:rsid w:val="007A557D"/>
    <w:rsid w:val="007A62E6"/>
    <w:rsid w:val="007E67E1"/>
    <w:rsid w:val="007F5A87"/>
    <w:rsid w:val="00804DE2"/>
    <w:rsid w:val="0080684C"/>
    <w:rsid w:val="00827DF8"/>
    <w:rsid w:val="00847FF7"/>
    <w:rsid w:val="008565D3"/>
    <w:rsid w:val="00871C75"/>
    <w:rsid w:val="008776DC"/>
    <w:rsid w:val="0088293A"/>
    <w:rsid w:val="008B2747"/>
    <w:rsid w:val="008B40CD"/>
    <w:rsid w:val="008B6267"/>
    <w:rsid w:val="008C69FD"/>
    <w:rsid w:val="00920C0F"/>
    <w:rsid w:val="009705C8"/>
    <w:rsid w:val="00984532"/>
    <w:rsid w:val="009845D2"/>
    <w:rsid w:val="009A7DF9"/>
    <w:rsid w:val="009B36D5"/>
    <w:rsid w:val="009C1CF4"/>
    <w:rsid w:val="00A30353"/>
    <w:rsid w:val="00A32730"/>
    <w:rsid w:val="00A35B0C"/>
    <w:rsid w:val="00AB4646"/>
    <w:rsid w:val="00AC212D"/>
    <w:rsid w:val="00AC3823"/>
    <w:rsid w:val="00AD2707"/>
    <w:rsid w:val="00AD72A5"/>
    <w:rsid w:val="00AE323C"/>
    <w:rsid w:val="00AE32EB"/>
    <w:rsid w:val="00AE6A17"/>
    <w:rsid w:val="00AF4FAB"/>
    <w:rsid w:val="00B00181"/>
    <w:rsid w:val="00B00B0D"/>
    <w:rsid w:val="00B135FE"/>
    <w:rsid w:val="00B14B0B"/>
    <w:rsid w:val="00B35AAC"/>
    <w:rsid w:val="00B54EAF"/>
    <w:rsid w:val="00B765F7"/>
    <w:rsid w:val="00B7708D"/>
    <w:rsid w:val="00BA0CA9"/>
    <w:rsid w:val="00BA2C03"/>
    <w:rsid w:val="00BA6F98"/>
    <w:rsid w:val="00BC0617"/>
    <w:rsid w:val="00BD4E90"/>
    <w:rsid w:val="00BF7CD3"/>
    <w:rsid w:val="00C02897"/>
    <w:rsid w:val="00C21019"/>
    <w:rsid w:val="00C22018"/>
    <w:rsid w:val="00C25C0D"/>
    <w:rsid w:val="00C41A43"/>
    <w:rsid w:val="00C41DFC"/>
    <w:rsid w:val="00C5201F"/>
    <w:rsid w:val="00C75273"/>
    <w:rsid w:val="00C81349"/>
    <w:rsid w:val="00CB65BF"/>
    <w:rsid w:val="00D16C4F"/>
    <w:rsid w:val="00D179F1"/>
    <w:rsid w:val="00D3439C"/>
    <w:rsid w:val="00D412F9"/>
    <w:rsid w:val="00D457AE"/>
    <w:rsid w:val="00D7582A"/>
    <w:rsid w:val="00D7765B"/>
    <w:rsid w:val="00DB1831"/>
    <w:rsid w:val="00DC2995"/>
    <w:rsid w:val="00DD30CF"/>
    <w:rsid w:val="00DD3BFD"/>
    <w:rsid w:val="00DE2736"/>
    <w:rsid w:val="00DF6678"/>
    <w:rsid w:val="00E10A49"/>
    <w:rsid w:val="00E23DED"/>
    <w:rsid w:val="00E257F1"/>
    <w:rsid w:val="00E36C5A"/>
    <w:rsid w:val="00E54991"/>
    <w:rsid w:val="00E63E27"/>
    <w:rsid w:val="00E645FC"/>
    <w:rsid w:val="00E74265"/>
    <w:rsid w:val="00E76B56"/>
    <w:rsid w:val="00EA227C"/>
    <w:rsid w:val="00ED2E89"/>
    <w:rsid w:val="00ED5814"/>
    <w:rsid w:val="00EE185C"/>
    <w:rsid w:val="00EF2E22"/>
    <w:rsid w:val="00EF7F04"/>
    <w:rsid w:val="00F00546"/>
    <w:rsid w:val="00F01738"/>
    <w:rsid w:val="00F10A00"/>
    <w:rsid w:val="00F24467"/>
    <w:rsid w:val="00F250D9"/>
    <w:rsid w:val="00F26BFB"/>
    <w:rsid w:val="00F660DF"/>
    <w:rsid w:val="00F730C8"/>
    <w:rsid w:val="00F8473A"/>
    <w:rsid w:val="00F95C08"/>
    <w:rsid w:val="00FA13A7"/>
    <w:rsid w:val="00FA5A41"/>
    <w:rsid w:val="00FC236B"/>
    <w:rsid w:val="00FC26FA"/>
    <w:rsid w:val="00FD394A"/>
    <w:rsid w:val="00FE6A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4612E9-1C0F-47E6-B3FF-C341D44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20449"/>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CommentReference">
    <w:name w:val="annotation reference"/>
    <w:rsid w:val="00EA227C"/>
    <w:rPr>
      <w:sz w:val="16"/>
      <w:szCs w:val="16"/>
    </w:rPr>
  </w:style>
  <w:style w:type="character" w:customStyle="1" w:styleId="HChGChar">
    <w:name w:val="_ H _Ch_G Char"/>
    <w:link w:val="HChG"/>
    <w:locked/>
    <w:rsid w:val="00EA227C"/>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620449"/>
    <w:rPr>
      <w:rFonts w:ascii="Times New Roman" w:eastAsiaTheme="minorHAnsi" w:hAnsi="Times New Roman" w:cs="Times New Roman"/>
      <w:sz w:val="20"/>
      <w:szCs w:val="20"/>
      <w:lang w:eastAsia="en-US"/>
    </w:rPr>
  </w:style>
  <w:style w:type="character" w:customStyle="1" w:styleId="H1GChar">
    <w:name w:val="_ H_1_G Char"/>
    <w:link w:val="H1G"/>
    <w:rsid w:val="00EA227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8270</Words>
  <Characters>47142</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ST/SG/AC.10/C.4/2018/29</vt:lpstr>
      <vt:lpstr>ST/SG/AC.10/C.4/2018/29</vt:lpstr>
    </vt:vector>
  </TitlesOfParts>
  <Company>DCM</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ST/SG/AC.10/C.4/2018/29</dc:title>
  <dc:subject/>
  <dc:creator>Nath VITTOZ</dc:creator>
  <cp:keywords/>
  <cp:lastModifiedBy>Laurence Berthet</cp:lastModifiedBy>
  <cp:revision>3</cp:revision>
  <cp:lastPrinted>2018-10-22T12:53:00Z</cp:lastPrinted>
  <dcterms:created xsi:type="dcterms:W3CDTF">2018-10-22T12:53:00Z</dcterms:created>
  <dcterms:modified xsi:type="dcterms:W3CDTF">2018-10-22T12:54:00Z</dcterms:modified>
</cp:coreProperties>
</file>