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3E7127" w14:paraId="1229EDA3" w14:textId="77777777" w:rsidTr="009F0F06">
        <w:trPr>
          <w:trHeight w:val="851"/>
        </w:trPr>
        <w:tc>
          <w:tcPr>
            <w:tcW w:w="1259" w:type="dxa"/>
            <w:tcBorders>
              <w:top w:val="nil"/>
              <w:left w:val="nil"/>
              <w:bottom w:val="single" w:sz="4" w:space="0" w:color="auto"/>
              <w:right w:val="nil"/>
            </w:tcBorders>
          </w:tcPr>
          <w:p w14:paraId="1F7BA1C1" w14:textId="77777777" w:rsidR="00446DE4" w:rsidRPr="00130577" w:rsidRDefault="00446DE4" w:rsidP="00F54674">
            <w:pPr>
              <w:spacing w:after="80" w:line="340" w:lineRule="exact"/>
            </w:pPr>
          </w:p>
        </w:tc>
        <w:tc>
          <w:tcPr>
            <w:tcW w:w="2236" w:type="dxa"/>
            <w:tcBorders>
              <w:top w:val="nil"/>
              <w:left w:val="nil"/>
              <w:bottom w:val="single" w:sz="4" w:space="0" w:color="auto"/>
              <w:right w:val="nil"/>
            </w:tcBorders>
            <w:vAlign w:val="bottom"/>
          </w:tcPr>
          <w:p w14:paraId="64F91BC3" w14:textId="77777777" w:rsidR="00446DE4" w:rsidRPr="00130577" w:rsidRDefault="00B3317B" w:rsidP="00F54674">
            <w:pPr>
              <w:spacing w:after="80" w:line="340" w:lineRule="exact"/>
              <w:rPr>
                <w:sz w:val="28"/>
                <w:szCs w:val="28"/>
              </w:rPr>
            </w:pPr>
            <w:r w:rsidRPr="00130577">
              <w:rPr>
                <w:sz w:val="28"/>
                <w:szCs w:val="28"/>
              </w:rPr>
              <w:t>United Nations</w:t>
            </w:r>
          </w:p>
        </w:tc>
        <w:tc>
          <w:tcPr>
            <w:tcW w:w="6144" w:type="dxa"/>
            <w:gridSpan w:val="2"/>
            <w:tcBorders>
              <w:top w:val="nil"/>
              <w:left w:val="nil"/>
              <w:bottom w:val="single" w:sz="4" w:space="0" w:color="auto"/>
              <w:right w:val="nil"/>
            </w:tcBorders>
            <w:vAlign w:val="bottom"/>
          </w:tcPr>
          <w:p w14:paraId="43AAFFF3" w14:textId="4AEEF19D" w:rsidR="0095385C" w:rsidRPr="00130577" w:rsidRDefault="00227EEF" w:rsidP="00AB385E">
            <w:pPr>
              <w:jc w:val="right"/>
              <w:rPr>
                <w:highlight w:val="yellow"/>
              </w:rPr>
            </w:pPr>
            <w:r w:rsidRPr="00130577">
              <w:rPr>
                <w:sz w:val="40"/>
              </w:rPr>
              <w:t>ST</w:t>
            </w:r>
            <w:r w:rsidRPr="00130577">
              <w:t>/SG/AC.10/C.3/2018/</w:t>
            </w:r>
            <w:r w:rsidR="00E440AB">
              <w:t>94</w:t>
            </w:r>
            <w:r w:rsidRPr="00130577">
              <w:t>−</w:t>
            </w:r>
            <w:r w:rsidRPr="00130577">
              <w:rPr>
                <w:sz w:val="40"/>
              </w:rPr>
              <w:t>ST</w:t>
            </w:r>
            <w:r w:rsidRPr="00130577">
              <w:t>/SG/AC.10/C.4/2018/</w:t>
            </w:r>
            <w:r w:rsidR="00E440AB">
              <w:t>22</w:t>
            </w:r>
          </w:p>
        </w:tc>
      </w:tr>
      <w:tr w:rsidR="003107FA" w:rsidRPr="006500BA" w14:paraId="0192FCF6" w14:textId="77777777" w:rsidTr="009F0F06">
        <w:trPr>
          <w:trHeight w:val="2835"/>
        </w:trPr>
        <w:tc>
          <w:tcPr>
            <w:tcW w:w="1259" w:type="dxa"/>
            <w:tcBorders>
              <w:top w:val="single" w:sz="4" w:space="0" w:color="auto"/>
              <w:left w:val="nil"/>
              <w:bottom w:val="single" w:sz="12" w:space="0" w:color="auto"/>
              <w:right w:val="nil"/>
            </w:tcBorders>
          </w:tcPr>
          <w:p w14:paraId="6D8E5051" w14:textId="77777777" w:rsidR="003107FA" w:rsidRPr="006500BA" w:rsidRDefault="009D1AAE" w:rsidP="002B1CDA">
            <w:pPr>
              <w:spacing w:before="120"/>
              <w:jc w:val="center"/>
            </w:pPr>
            <w:r>
              <w:rPr>
                <w:noProof/>
                <w:lang w:eastAsia="en-GB"/>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Default="0095385C" w:rsidP="0095385C">
            <w:pPr>
              <w:spacing w:before="240" w:line="240" w:lineRule="exact"/>
            </w:pPr>
            <w:r>
              <w:t>Distr.: General</w:t>
            </w:r>
          </w:p>
          <w:p w14:paraId="53F0414B" w14:textId="7A07C316" w:rsidR="0095385C" w:rsidRPr="002600C2" w:rsidRDefault="00E57918" w:rsidP="0095385C">
            <w:pPr>
              <w:spacing w:line="240" w:lineRule="exact"/>
            </w:pPr>
            <w:r>
              <w:t>5 September</w:t>
            </w:r>
            <w:r w:rsidR="002600C2" w:rsidRPr="002600C2">
              <w:t xml:space="preserve"> 2018</w:t>
            </w:r>
          </w:p>
          <w:p w14:paraId="4305B0CA" w14:textId="77777777" w:rsidR="0095385C" w:rsidRDefault="0095385C" w:rsidP="0095385C">
            <w:pPr>
              <w:spacing w:line="240" w:lineRule="exact"/>
            </w:pPr>
          </w:p>
          <w:p w14:paraId="4C5C075B" w14:textId="77777777" w:rsidR="0095385C" w:rsidRPr="006500BA" w:rsidRDefault="0095385C" w:rsidP="0095385C">
            <w:pPr>
              <w:spacing w:line="240" w:lineRule="exact"/>
            </w:pPr>
            <w:r>
              <w:t>Original: English</w:t>
            </w:r>
          </w:p>
        </w:tc>
      </w:tr>
    </w:tbl>
    <w:p w14:paraId="09901E08" w14:textId="77777777" w:rsidR="00227EEF" w:rsidRPr="006500BA" w:rsidRDefault="00227EEF" w:rsidP="00227EEF">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227EEF" w14:paraId="406F6A53" w14:textId="77777777" w:rsidTr="000563CA">
        <w:tc>
          <w:tcPr>
            <w:tcW w:w="4644" w:type="dxa"/>
            <w:shd w:val="clear" w:color="auto" w:fill="auto"/>
          </w:tcPr>
          <w:p w14:paraId="78DCD9CA" w14:textId="77777777" w:rsidR="00227EEF" w:rsidRPr="00D76B09" w:rsidRDefault="00227EEF" w:rsidP="000563CA">
            <w:pPr>
              <w:spacing w:before="120" w:after="120"/>
              <w:rPr>
                <w:b/>
              </w:rPr>
            </w:pPr>
            <w:r w:rsidRPr="00D76B09">
              <w:rPr>
                <w:b/>
              </w:rPr>
              <w:t xml:space="preserve">Sub-Committee of Experts on the Transport </w:t>
            </w:r>
            <w:r w:rsidRPr="00D76B09">
              <w:rPr>
                <w:b/>
              </w:rPr>
              <w:br/>
              <w:t xml:space="preserve">of Dangerous Goods </w:t>
            </w:r>
          </w:p>
        </w:tc>
        <w:tc>
          <w:tcPr>
            <w:tcW w:w="5103" w:type="dxa"/>
            <w:shd w:val="clear" w:color="auto" w:fill="auto"/>
          </w:tcPr>
          <w:p w14:paraId="4B9C2620" w14:textId="77777777" w:rsidR="00227EEF" w:rsidRPr="00D76B09" w:rsidRDefault="00227EEF" w:rsidP="000563CA">
            <w:pPr>
              <w:spacing w:before="120"/>
              <w:rPr>
                <w:b/>
              </w:rPr>
            </w:pPr>
            <w:r w:rsidRPr="00D76B09">
              <w:rPr>
                <w:b/>
              </w:rPr>
              <w:t xml:space="preserve">Sub-Committee of Experts on the Globally Harmonized System of Classification and Labelling of Chemicals </w:t>
            </w:r>
          </w:p>
        </w:tc>
      </w:tr>
      <w:tr w:rsidR="00227EEF" w14:paraId="57463C30" w14:textId="77777777" w:rsidTr="000563CA">
        <w:tc>
          <w:tcPr>
            <w:tcW w:w="4644" w:type="dxa"/>
            <w:shd w:val="clear" w:color="auto" w:fill="auto"/>
          </w:tcPr>
          <w:p w14:paraId="0D4EBDAF" w14:textId="3D3FD63B" w:rsidR="00227EEF" w:rsidRPr="00D76B09" w:rsidRDefault="00227EEF" w:rsidP="00AB385E">
            <w:pPr>
              <w:rPr>
                <w:b/>
              </w:rPr>
            </w:pPr>
            <w:r w:rsidRPr="00D76B09">
              <w:rPr>
                <w:b/>
              </w:rPr>
              <w:t>Fifty-</w:t>
            </w:r>
            <w:r w:rsidR="00AB385E">
              <w:rPr>
                <w:b/>
              </w:rPr>
              <w:t>fourth</w:t>
            </w:r>
            <w:r w:rsidRPr="00D76B09">
              <w:rPr>
                <w:b/>
              </w:rPr>
              <w:t xml:space="preserve"> session</w:t>
            </w:r>
          </w:p>
        </w:tc>
        <w:tc>
          <w:tcPr>
            <w:tcW w:w="5103" w:type="dxa"/>
            <w:shd w:val="clear" w:color="auto" w:fill="auto"/>
          </w:tcPr>
          <w:p w14:paraId="20CF99A6" w14:textId="0AA6B5C3" w:rsidR="00227EEF" w:rsidRPr="00D76B09" w:rsidRDefault="00227EEF" w:rsidP="00AB385E">
            <w:pPr>
              <w:rPr>
                <w:b/>
              </w:rPr>
            </w:pPr>
            <w:r w:rsidRPr="00D76B09">
              <w:rPr>
                <w:b/>
              </w:rPr>
              <w:t>Thirty-</w:t>
            </w:r>
            <w:r w:rsidR="00AB385E">
              <w:rPr>
                <w:b/>
              </w:rPr>
              <w:t>sixth</w:t>
            </w:r>
            <w:r w:rsidRPr="00D76B09">
              <w:rPr>
                <w:b/>
              </w:rPr>
              <w:t xml:space="preserve"> session</w:t>
            </w:r>
          </w:p>
        </w:tc>
      </w:tr>
      <w:tr w:rsidR="00227EEF" w14:paraId="0F17A7D9" w14:textId="77777777" w:rsidTr="000563CA">
        <w:trPr>
          <w:trHeight w:val="1016"/>
        </w:trPr>
        <w:tc>
          <w:tcPr>
            <w:tcW w:w="4644" w:type="dxa"/>
            <w:shd w:val="clear" w:color="auto" w:fill="auto"/>
          </w:tcPr>
          <w:p w14:paraId="3C7FD0D5" w14:textId="5EE04CB5" w:rsidR="00227EEF" w:rsidRDefault="00227EEF" w:rsidP="000563CA">
            <w:pPr>
              <w:ind w:right="57"/>
            </w:pPr>
            <w:r>
              <w:t>Geneva, 2</w:t>
            </w:r>
            <w:r w:rsidR="00581B32">
              <w:t>6</w:t>
            </w:r>
            <w:r>
              <w:t xml:space="preserve"> </w:t>
            </w:r>
            <w:r w:rsidR="00581B32">
              <w:t>November</w:t>
            </w:r>
            <w:r>
              <w:t xml:space="preserve">-4 </w:t>
            </w:r>
            <w:r w:rsidR="00581B32">
              <w:t>December</w:t>
            </w:r>
            <w:r>
              <w:t xml:space="preserve"> 2018</w:t>
            </w:r>
          </w:p>
          <w:p w14:paraId="0E7B5B97" w14:textId="28C2837E" w:rsidR="00227EEF" w:rsidRPr="005A0185" w:rsidRDefault="00227EEF" w:rsidP="000563CA">
            <w:pPr>
              <w:ind w:right="57"/>
            </w:pPr>
            <w:r w:rsidRPr="005A0185">
              <w:t xml:space="preserve">Item </w:t>
            </w:r>
            <w:r w:rsidR="00814CCA">
              <w:t>7</w:t>
            </w:r>
            <w:r w:rsidRPr="005A0185">
              <w:t xml:space="preserve"> (</w:t>
            </w:r>
            <w:r w:rsidR="00814CCA">
              <w:t>e</w:t>
            </w:r>
            <w:r w:rsidRPr="005A0185">
              <w:t>) of the provisional agenda</w:t>
            </w:r>
          </w:p>
          <w:p w14:paraId="2D756C06" w14:textId="77777777" w:rsidR="00227EEF" w:rsidRPr="005A0185" w:rsidRDefault="00227EEF" w:rsidP="000563CA">
            <w:pPr>
              <w:ind w:right="57"/>
              <w:rPr>
                <w:b/>
              </w:rPr>
            </w:pPr>
            <w:r w:rsidRPr="005A0185">
              <w:rPr>
                <w:b/>
              </w:rPr>
              <w:t>Issues relating to the Globally Harmonized System of Classification and Labelling of Chemicals:</w:t>
            </w:r>
          </w:p>
          <w:p w14:paraId="0CBDF68D" w14:textId="2A33FBED" w:rsidR="00227EEF" w:rsidRPr="00D76B09" w:rsidRDefault="00E440AB" w:rsidP="000563CA">
            <w:pPr>
              <w:ind w:right="57"/>
              <w:rPr>
                <w:b/>
              </w:rPr>
            </w:pPr>
            <w:r>
              <w:rPr>
                <w:b/>
              </w:rPr>
              <w:t>m</w:t>
            </w:r>
            <w:r w:rsidR="007B52DB">
              <w:rPr>
                <w:b/>
              </w:rPr>
              <w:t>iscellaneous</w:t>
            </w:r>
          </w:p>
        </w:tc>
        <w:tc>
          <w:tcPr>
            <w:tcW w:w="5103" w:type="dxa"/>
            <w:shd w:val="clear" w:color="auto" w:fill="auto"/>
          </w:tcPr>
          <w:p w14:paraId="6EA846ED" w14:textId="07E0217C" w:rsidR="00227EEF" w:rsidRDefault="00227EEF" w:rsidP="000563CA">
            <w:r>
              <w:t xml:space="preserve">Geneva, </w:t>
            </w:r>
            <w:r w:rsidR="00581B32">
              <w:t>5-7</w:t>
            </w:r>
            <w:r>
              <w:t xml:space="preserve"> </w:t>
            </w:r>
            <w:r w:rsidR="00581B32">
              <w:t>December</w:t>
            </w:r>
            <w:r>
              <w:t xml:space="preserve"> 2018</w:t>
            </w:r>
          </w:p>
          <w:p w14:paraId="48B5EBC8" w14:textId="0CAD4BE3" w:rsidR="00227EEF" w:rsidRPr="005A0185" w:rsidRDefault="00227EEF" w:rsidP="000563CA">
            <w:r w:rsidRPr="005A0185">
              <w:t xml:space="preserve">Item </w:t>
            </w:r>
            <w:r w:rsidR="00012035">
              <w:t>3 (a)</w:t>
            </w:r>
            <w:r w:rsidRPr="005A0185">
              <w:t xml:space="preserve"> of the provisional agenda</w:t>
            </w:r>
          </w:p>
          <w:p w14:paraId="062330E6" w14:textId="2017D343" w:rsidR="007B52DB" w:rsidRPr="00012035" w:rsidRDefault="00012035" w:rsidP="000563CA">
            <w:pPr>
              <w:rPr>
                <w:b/>
                <w:bCs/>
              </w:rPr>
            </w:pPr>
            <w:r w:rsidRPr="00012035">
              <w:rPr>
                <w:b/>
                <w:bCs/>
              </w:rPr>
              <w:t>Classification criteria and related hazard communication:</w:t>
            </w:r>
            <w:r w:rsidRPr="00012035">
              <w:rPr>
                <w:b/>
                <w:bCs/>
              </w:rPr>
              <w:br/>
              <w:t>work of the Sub-Committee of Experts on the Transport of Dangerous Goods (TDG) on matters of interest to the GHS Sub-Committee</w:t>
            </w:r>
          </w:p>
        </w:tc>
      </w:tr>
    </w:tbl>
    <w:p w14:paraId="6E5E7DF2" w14:textId="762039E8" w:rsidR="006A7B01" w:rsidRPr="007B5849" w:rsidRDefault="00BC03B3" w:rsidP="002B4976">
      <w:pPr>
        <w:pStyle w:val="HChG"/>
      </w:pPr>
      <w:r>
        <w:tab/>
      </w:r>
      <w:r>
        <w:tab/>
      </w:r>
      <w:r w:rsidR="007B52DB">
        <w:t xml:space="preserve">Proposed amendment to the classification criteria for flammable liquids in Chapter 2.6 of the GHS </w:t>
      </w:r>
    </w:p>
    <w:p w14:paraId="3A12A21A" w14:textId="246281E8" w:rsidR="0095385C" w:rsidRDefault="006A7B01" w:rsidP="009D1290">
      <w:pPr>
        <w:pStyle w:val="H1G"/>
      </w:pPr>
      <w:r w:rsidRPr="00D24888">
        <w:tab/>
      </w:r>
      <w:r w:rsidRPr="00D24888">
        <w:tab/>
      </w:r>
      <w:r w:rsidR="007B5849">
        <w:t xml:space="preserve">Submitted </w:t>
      </w:r>
      <w:r w:rsidR="00227EEF">
        <w:t xml:space="preserve">by the </w:t>
      </w:r>
      <w:r w:rsidR="007B52DB">
        <w:t>International Paint and Printing Ink Council</w:t>
      </w:r>
      <w:r w:rsidR="00227EEF">
        <w:t xml:space="preserve"> (</w:t>
      </w:r>
      <w:r w:rsidR="007B52DB">
        <w:t>IPPIC)</w:t>
      </w:r>
      <w:r w:rsidR="001F685B">
        <w:rPr>
          <w:rStyle w:val="FootnoteReference"/>
        </w:rPr>
        <w:footnoteReference w:customMarkFollows="1" w:id="2"/>
        <w:t>*</w:t>
      </w:r>
    </w:p>
    <w:p w14:paraId="330C3346" w14:textId="5913024C" w:rsidR="00830015" w:rsidRPr="00830015" w:rsidRDefault="00E440AB" w:rsidP="00E440AB">
      <w:pPr>
        <w:pStyle w:val="HChG"/>
      </w:pPr>
      <w:r>
        <w:tab/>
      </w:r>
      <w:r>
        <w:tab/>
      </w:r>
      <w:r w:rsidR="00830015">
        <w:t>Introduction</w:t>
      </w:r>
    </w:p>
    <w:p w14:paraId="121CABE7" w14:textId="5C7D5990" w:rsidR="00A57EF0" w:rsidRDefault="00A57EF0" w:rsidP="00A57EF0">
      <w:pPr>
        <w:pStyle w:val="SingleTxtG"/>
      </w:pPr>
      <w:r>
        <w:t>1.</w:t>
      </w:r>
      <w:r>
        <w:tab/>
      </w:r>
      <w:r w:rsidR="00830015">
        <w:t xml:space="preserve">The goal of the GHS, as described in Chapter 1.1, is to achieve worldwide harmonization in the </w:t>
      </w:r>
      <w:r w:rsidR="00830015" w:rsidRPr="002B77AC">
        <w:t>classification and labelling</w:t>
      </w:r>
      <w:r w:rsidR="00830015">
        <w:t xml:space="preserve"> of chemicals.  </w:t>
      </w:r>
      <w:r w:rsidR="00830015" w:rsidRPr="002B77AC">
        <w:t>The International Paint and Printing Ink Council (IPPIC)</w:t>
      </w:r>
      <w:r w:rsidR="00486443">
        <w:t>, which has many member companies operating globally or multi-nationally,</w:t>
      </w:r>
      <w:r w:rsidR="00830015" w:rsidRPr="002B77AC">
        <w:t xml:space="preserve"> supports </w:t>
      </w:r>
      <w:r w:rsidR="00830015">
        <w:t>this</w:t>
      </w:r>
      <w:r w:rsidR="00830015" w:rsidRPr="002B77AC">
        <w:t xml:space="preserve"> goal of harmoni</w:t>
      </w:r>
      <w:r w:rsidR="00830015">
        <w:t>z</w:t>
      </w:r>
      <w:r w:rsidR="00830015" w:rsidRPr="002B77AC">
        <w:t xml:space="preserve">ation and </w:t>
      </w:r>
      <w:r w:rsidR="00830015" w:rsidRPr="002B77AC">
        <w:rPr>
          <w:rFonts w:cs="TimesNewRoman"/>
        </w:rPr>
        <w:t>appreciates the work that has gone into creating and developing the GHS since its inception</w:t>
      </w:r>
      <w:r w:rsidR="00830015" w:rsidRPr="002B77AC">
        <w:t>.</w:t>
      </w:r>
    </w:p>
    <w:p w14:paraId="70FB703E" w14:textId="651777D8" w:rsidR="00A57EF0" w:rsidRDefault="00486443" w:rsidP="00A57EF0">
      <w:pPr>
        <w:pStyle w:val="SingleTxtG"/>
      </w:pPr>
      <w:r>
        <w:t>2.</w:t>
      </w:r>
      <w:r>
        <w:tab/>
        <w:t>It is also a goal to achieve harmonization or consistency between the GHS and the rules for the</w:t>
      </w:r>
      <w:r w:rsidR="00E440AB">
        <w:t xml:space="preserve"> transport of dangerous goods. </w:t>
      </w:r>
      <w:r w:rsidR="00012035">
        <w:t>Paragraph</w:t>
      </w:r>
      <w:r>
        <w:t xml:space="preserve"> 1.1.3.1.2 states that “For transport, it is expected that application of the GHS will be </w:t>
      </w:r>
      <w:proofErr w:type="gramStart"/>
      <w:r>
        <w:t>similar to</w:t>
      </w:r>
      <w:proofErr w:type="gramEnd"/>
      <w:r>
        <w:t xml:space="preserve"> application of current transport requirements.”  Section 1.3.1.2 states that for physical hazards, the transport definitions, test methods and classification criteria were used as the basis for de</w:t>
      </w:r>
      <w:r w:rsidR="00E440AB">
        <w:t xml:space="preserve">velopment of the GHS criteria. </w:t>
      </w:r>
      <w:r>
        <w:t xml:space="preserve">At the present time a substantial amount of work is ongoing to revise the </w:t>
      </w:r>
      <w:r w:rsidR="00E66E35">
        <w:t xml:space="preserve">UN Recommendations on the Transport of Dangerous Goods - </w:t>
      </w:r>
      <w:r>
        <w:t>Manual of Tests and Criteria to better take into account its use in the context of the GHS.</w:t>
      </w:r>
    </w:p>
    <w:p w14:paraId="45F206C2" w14:textId="2526F2CA" w:rsidR="00273203" w:rsidRDefault="00E440AB" w:rsidP="00E440AB">
      <w:pPr>
        <w:pStyle w:val="HChG"/>
      </w:pPr>
      <w:r>
        <w:lastRenderedPageBreak/>
        <w:tab/>
      </w:r>
      <w:r>
        <w:tab/>
      </w:r>
      <w:r w:rsidR="00273203">
        <w:t>Background and discussion</w:t>
      </w:r>
    </w:p>
    <w:p w14:paraId="790DE49E" w14:textId="4353AC5F" w:rsidR="00A57EF0" w:rsidRDefault="00A57EF0" w:rsidP="00A57EF0">
      <w:pPr>
        <w:pStyle w:val="SingleTxtG"/>
      </w:pPr>
      <w:r>
        <w:t>3.</w:t>
      </w:r>
      <w:r>
        <w:tab/>
      </w:r>
      <w:r w:rsidR="00273203">
        <w:t xml:space="preserve">Note 2 in section 2.6.2 of the GHS </w:t>
      </w:r>
      <w:r w:rsidR="0030371D">
        <w:t xml:space="preserve">describes the possibility to ‘de-classify’ liquids, which would be classified as flammable based on flash point alone, on the basis of a negative result in the sustained combustibility test L.2 of Part III, section 32 of the Manual of Tests and Criteria.  </w:t>
      </w:r>
      <w:r w:rsidR="00E66E35">
        <w:t xml:space="preserve">(The same note also appears as footnote 2 to the decision logic in 2.6.4.1.)  </w:t>
      </w:r>
    </w:p>
    <w:p w14:paraId="12F98E3F" w14:textId="064B5153" w:rsidR="00B173CE" w:rsidRDefault="00E326FF" w:rsidP="007C77F8">
      <w:pPr>
        <w:pStyle w:val="SingleTxtG"/>
      </w:pPr>
      <w:r>
        <w:t>4</w:t>
      </w:r>
      <w:r w:rsidR="009F58CC">
        <w:t>.</w:t>
      </w:r>
      <w:r w:rsidR="009F58CC">
        <w:tab/>
      </w:r>
      <w:r w:rsidR="00B173CE">
        <w:t xml:space="preserve">This possibility however applies only to some other regulatory purposes, such as transport, and is not implemented as a classification criterion in GHS itself.  </w:t>
      </w:r>
      <w:r w:rsidR="00C24DDC">
        <w:t xml:space="preserve">It seems incongruous that the </w:t>
      </w:r>
      <w:r w:rsidR="00E66E35">
        <w:t xml:space="preserve">results of </w:t>
      </w:r>
      <w:r w:rsidR="00C24DDC">
        <w:t xml:space="preserve">test L.2 cannot also be applied for classification under GHS, </w:t>
      </w:r>
      <w:r w:rsidR="00D17B7B">
        <w:t>which creates</w:t>
      </w:r>
      <w:r w:rsidR="00C24DDC">
        <w:t xml:space="preserve"> an </w:t>
      </w:r>
      <w:r w:rsidR="0012499A">
        <w:t>inconsistency</w:t>
      </w:r>
      <w:r w:rsidR="00C24DDC">
        <w:t xml:space="preserve"> between transport classification and GHS classification for supply and use.  </w:t>
      </w:r>
      <w:r w:rsidR="00AB3E44">
        <w:t xml:space="preserve">This inconsistency </w:t>
      </w:r>
      <w:r w:rsidR="0012499A">
        <w:t>can</w:t>
      </w:r>
      <w:r w:rsidR="00AB3E44">
        <w:t xml:space="preserve"> cause confusion and lead to consignments being stopped or delayed </w:t>
      </w:r>
      <w:r w:rsidR="00D17B7B">
        <w:t>when packages</w:t>
      </w:r>
      <w:r w:rsidR="0012499A">
        <w:t xml:space="preserve"> carry labelling/marking for both supply and transport.</w:t>
      </w:r>
    </w:p>
    <w:p w14:paraId="654DF158" w14:textId="172F3512" w:rsidR="009F58CC" w:rsidRDefault="00B173CE" w:rsidP="007C77F8">
      <w:pPr>
        <w:pStyle w:val="SingleTxtG"/>
      </w:pPr>
      <w:r>
        <w:t>5.</w:t>
      </w:r>
      <w:r>
        <w:tab/>
      </w:r>
      <w:r w:rsidR="00C24DDC">
        <w:t xml:space="preserve">In the European Union </w:t>
      </w:r>
      <w:r w:rsidR="00E66E35">
        <w:t xml:space="preserve">the note </w:t>
      </w:r>
      <w:r w:rsidR="0012499A">
        <w:t>has been</w:t>
      </w:r>
      <w:r w:rsidR="00E66E35">
        <w:t xml:space="preserve"> adopted as a core classification criterion in </w:t>
      </w:r>
      <w:r w:rsidR="00AB3E44">
        <w:t xml:space="preserve">its implementation of GHS, </w:t>
      </w:r>
      <w:r w:rsidR="00E66E35">
        <w:t>Regulation (EC) No 1272/2008 (</w:t>
      </w:r>
      <w:r w:rsidR="00007F78">
        <w:t xml:space="preserve">the </w:t>
      </w:r>
      <w:r w:rsidR="00E66E35">
        <w:t>‘CLP Regulation’), in Annex I Part 1, section 2.6.4 ‘Additional Classification Considerations’ for flammable liquids:</w:t>
      </w:r>
    </w:p>
    <w:p w14:paraId="12C81BB1" w14:textId="4C425ABB" w:rsidR="00E66E35" w:rsidRPr="00E66E35" w:rsidRDefault="00E66E35" w:rsidP="00E440AB">
      <w:pPr>
        <w:pStyle w:val="SingleTxtG"/>
        <w:tabs>
          <w:tab w:val="left" w:pos="2552"/>
        </w:tabs>
        <w:ind w:left="1701"/>
        <w:rPr>
          <w:sz w:val="24"/>
        </w:rPr>
      </w:pPr>
      <w:r>
        <w:rPr>
          <w:color w:val="000000"/>
          <w:szCs w:val="17"/>
        </w:rPr>
        <w:t>“2.6.4.5</w:t>
      </w:r>
      <w:r>
        <w:rPr>
          <w:color w:val="000000"/>
          <w:szCs w:val="17"/>
        </w:rPr>
        <w:tab/>
      </w:r>
      <w:r w:rsidRPr="00E66E35">
        <w:rPr>
          <w:color w:val="000000"/>
          <w:szCs w:val="17"/>
        </w:rPr>
        <w:t xml:space="preserve">Liquids with a flash point of more than 35 °C </w:t>
      </w:r>
      <w:r w:rsidR="00B173CE">
        <w:rPr>
          <w:color w:val="000000"/>
          <w:szCs w:val="17"/>
        </w:rPr>
        <w:t>[</w:t>
      </w:r>
      <w:r w:rsidRPr="00E66E35">
        <w:rPr>
          <w:color w:val="000000"/>
          <w:szCs w:val="17"/>
        </w:rPr>
        <w:t>and not more than 60 °C</w:t>
      </w:r>
      <w:r w:rsidR="00B173CE">
        <w:rPr>
          <w:color w:val="000000"/>
          <w:szCs w:val="17"/>
        </w:rPr>
        <w:t>]</w:t>
      </w:r>
      <w:r w:rsidRPr="00E66E35">
        <w:rPr>
          <w:color w:val="000000"/>
          <w:szCs w:val="17"/>
        </w:rPr>
        <w:t xml:space="preserve"> need not be classified in Category 3 if negative results have been obtained in the sustained combustibility test L.2, Part III, section 32 of the UN RTDG, Manual of Tests and Criteria.</w:t>
      </w:r>
      <w:r>
        <w:rPr>
          <w:color w:val="000000"/>
          <w:szCs w:val="17"/>
        </w:rPr>
        <w:t>”</w:t>
      </w:r>
    </w:p>
    <w:p w14:paraId="53F9EA96" w14:textId="4F8BAED5" w:rsidR="00007F78" w:rsidRDefault="00B173CE" w:rsidP="00E440AB">
      <w:pPr>
        <w:pStyle w:val="SingleTxtG"/>
        <w:ind w:left="1701"/>
      </w:pPr>
      <w:r>
        <w:t xml:space="preserve">The text in square brackets was added </w:t>
      </w:r>
      <w:r w:rsidR="00007F78">
        <w:t>in the second Adaptation to Technical Progress, Commission Regulation (EU</w:t>
      </w:r>
      <w:r w:rsidR="00AB3E44">
        <w:t>) No 286/2011.  Category 4 for flammable liquids is not implemented in the CLP Regulation.</w:t>
      </w:r>
    </w:p>
    <w:p w14:paraId="050A4771" w14:textId="5515E524" w:rsidR="00007F78" w:rsidRDefault="00007F78" w:rsidP="007C77F8">
      <w:pPr>
        <w:pStyle w:val="SingleTxtG"/>
      </w:pPr>
      <w:r>
        <w:t>6.</w:t>
      </w:r>
      <w:r>
        <w:tab/>
      </w:r>
      <w:r w:rsidR="0012499A">
        <w:t xml:space="preserve">In order to remove the inconsistency between supply and transport classification, and to increase harmonisation between jurisdictions implementing GHS, IPPIC proposes to </w:t>
      </w:r>
      <w:r w:rsidR="00DB2B8B">
        <w:t>delete</w:t>
      </w:r>
      <w:r w:rsidR="00B37029">
        <w:t xml:space="preserve"> Note 2 </w:t>
      </w:r>
      <w:r w:rsidR="00DB2B8B">
        <w:t xml:space="preserve">and convert its content </w:t>
      </w:r>
      <w:r w:rsidR="00D17B7B">
        <w:t>in</w:t>
      </w:r>
      <w:r w:rsidR="00B37029">
        <w:t xml:space="preserve">to </w:t>
      </w:r>
      <w:r w:rsidR="00D17B7B">
        <w:t xml:space="preserve">GHS </w:t>
      </w:r>
      <w:r w:rsidR="00B37029">
        <w:t>classification criteria text</w:t>
      </w:r>
      <w:r w:rsidR="00DB2B8B">
        <w:t>,</w:t>
      </w:r>
      <w:r w:rsidR="00B37029">
        <w:t xml:space="preserve"> </w:t>
      </w:r>
      <w:r w:rsidR="00D17B7B">
        <w:t>to enable its</w:t>
      </w:r>
      <w:r w:rsidR="00B37029">
        <w:t xml:space="preserve"> </w:t>
      </w:r>
      <w:r w:rsidR="00D17B7B">
        <w:t>implementation</w:t>
      </w:r>
      <w:r w:rsidR="00B37029">
        <w:t xml:space="preserve"> </w:t>
      </w:r>
      <w:r w:rsidR="00D17B7B">
        <w:t>as part of the hazard class flammable liquids.</w:t>
      </w:r>
      <w:r w:rsidR="00B37029">
        <w:t xml:space="preserve">  </w:t>
      </w:r>
    </w:p>
    <w:p w14:paraId="6EBAABBF" w14:textId="4AF72075" w:rsidR="00B37029" w:rsidRDefault="00B37029" w:rsidP="007C77F8">
      <w:pPr>
        <w:pStyle w:val="SingleTxtG"/>
      </w:pPr>
      <w:r>
        <w:t>7.</w:t>
      </w:r>
      <w:r>
        <w:tab/>
      </w:r>
      <w:r w:rsidR="00625C64">
        <w:t xml:space="preserve">In its document </w:t>
      </w:r>
      <w:r w:rsidR="00C1021B" w:rsidRPr="00C1021B">
        <w:t>ST/SG/AC.10/C.3/2016/62−ST/SG/AC.10/C.4/2016/13</w:t>
      </w:r>
      <w:r w:rsidR="00C1021B">
        <w:t xml:space="preserve"> </w:t>
      </w:r>
      <w:r w:rsidR="00012035">
        <w:t>(</w:t>
      </w:r>
      <w:r w:rsidR="00C1021B">
        <w:t>fiftieth</w:t>
      </w:r>
      <w:r w:rsidR="00012035">
        <w:t xml:space="preserve"> session of the TDG Sub-Committee thirty-second session of the GHS Sub-Committee)</w:t>
      </w:r>
      <w:r w:rsidR="00C1021B">
        <w:t xml:space="preserve">, </w:t>
      </w:r>
      <w:r w:rsidRPr="00C1021B">
        <w:t>Germany point</w:t>
      </w:r>
      <w:r w:rsidR="00C1021B">
        <w:t xml:space="preserve">ed out that in principle it should also be possible to exempt flammable liquids of Category 4 in a similar way using a sustained combustibility test.  This would however require a modification to test </w:t>
      </w:r>
      <w:r w:rsidRPr="00C1021B">
        <w:t xml:space="preserve">L.2 </w:t>
      </w:r>
      <w:r w:rsidR="00C1021B">
        <w:t xml:space="preserve">to introduce test temperatures </w:t>
      </w:r>
      <w:r w:rsidR="00C12542">
        <w:t xml:space="preserve">appropriate </w:t>
      </w:r>
      <w:r w:rsidR="00C1021B">
        <w:t xml:space="preserve">to liquids with a flash point </w:t>
      </w:r>
      <w:r w:rsidR="00C12542">
        <w:t xml:space="preserve">above 60 °C.  This aspect is not addressed in </w:t>
      </w:r>
      <w:r w:rsidR="00B153C3">
        <w:t>this proposal from IPPIC</w:t>
      </w:r>
      <w:r w:rsidR="00C12542">
        <w:t xml:space="preserve"> and should be the subject of a separate dedicated proposal.  In the meantime however, the first reference to footnote 2 in the decision logic in 2.6.4.1 </w:t>
      </w:r>
      <w:r w:rsidR="00B153C3">
        <w:t>remains</w:t>
      </w:r>
      <w:r w:rsidR="00C12542">
        <w:t xml:space="preserve"> erroneous</w:t>
      </w:r>
      <w:r w:rsidR="00B153C3">
        <w:t xml:space="preserve">, as pointed out by the expert from Germany, </w:t>
      </w:r>
      <w:r w:rsidR="00C12542">
        <w:t>and should perhaps be deleted unless/until such amendment is adopted.</w:t>
      </w:r>
    </w:p>
    <w:p w14:paraId="440480B3" w14:textId="3AC42CA7" w:rsidR="00DB2B8B" w:rsidRDefault="00DB2B8B" w:rsidP="007C77F8">
      <w:pPr>
        <w:pStyle w:val="SingleTxtG"/>
      </w:pPr>
      <w:r>
        <w:t>8.</w:t>
      </w:r>
      <w:r>
        <w:tab/>
      </w:r>
      <w:r w:rsidR="00625C64">
        <w:t>In this document IPPIC is proposing amendments to the GHS only, and no changes are proposed to the Model Regulations on the Transport of Dangerous Goods.  It is nonetheless submitted as a f</w:t>
      </w:r>
      <w:r w:rsidR="00012035">
        <w:t>ormal working document to both sub-c</w:t>
      </w:r>
      <w:r w:rsidR="00625C64">
        <w:t>ommittees since it concerns a physical hazard, for which the TDG Sub-Committee is the relevant focal point.</w:t>
      </w:r>
    </w:p>
    <w:p w14:paraId="32D3B76F" w14:textId="77777777" w:rsidR="00E440AB" w:rsidRDefault="00E440AB">
      <w:pPr>
        <w:suppressAutoHyphens w:val="0"/>
        <w:spacing w:line="240" w:lineRule="auto"/>
        <w:rPr>
          <w:b/>
          <w:sz w:val="28"/>
        </w:rPr>
      </w:pPr>
      <w:r>
        <w:br w:type="page"/>
      </w:r>
    </w:p>
    <w:p w14:paraId="7A1B6495" w14:textId="47F23B24" w:rsidR="00E26C1D" w:rsidRDefault="00771C45" w:rsidP="001F685B">
      <w:pPr>
        <w:pStyle w:val="HChG"/>
      </w:pPr>
      <w:bookmarkStart w:id="0" w:name="_GoBack"/>
      <w:bookmarkEnd w:id="0"/>
      <w:r>
        <w:lastRenderedPageBreak/>
        <w:tab/>
      </w:r>
      <w:r w:rsidR="001F685B">
        <w:tab/>
      </w:r>
      <w:r w:rsidR="001F685B">
        <w:tab/>
      </w:r>
      <w:r w:rsidR="00E26C1D" w:rsidRPr="001020F4">
        <w:t>Propos</w:t>
      </w:r>
      <w:r w:rsidR="0030371D">
        <w:t>al</w:t>
      </w:r>
    </w:p>
    <w:p w14:paraId="10B6EA3A" w14:textId="390EC1A9" w:rsidR="00C05F7D" w:rsidRPr="00740E0F" w:rsidRDefault="00CD7A04" w:rsidP="00C05F7D">
      <w:pPr>
        <w:pStyle w:val="SingleTxtG"/>
      </w:pPr>
      <w:r>
        <w:t>9</w:t>
      </w:r>
      <w:r w:rsidR="00740E0F" w:rsidRPr="00740E0F">
        <w:t>.</w:t>
      </w:r>
      <w:r w:rsidR="00740E0F" w:rsidRPr="00740E0F">
        <w:tab/>
      </w:r>
      <w:r w:rsidR="00D17B7B">
        <w:t>Amend</w:t>
      </w:r>
      <w:r w:rsidR="002C4E58">
        <w:t xml:space="preserve"> section 2.6.2 of the GHS as follows (a</w:t>
      </w:r>
      <w:r w:rsidR="002C4E58" w:rsidRPr="00740E0F">
        <w:t xml:space="preserve">dditions are </w:t>
      </w:r>
      <w:r w:rsidR="002C4E58" w:rsidRPr="00130577">
        <w:rPr>
          <w:u w:val="single"/>
        </w:rPr>
        <w:t>underlined</w:t>
      </w:r>
      <w:r w:rsidR="002C4E58" w:rsidRPr="00740E0F">
        <w:t xml:space="preserve">, deletions in </w:t>
      </w:r>
      <w:r w:rsidR="002C4E58" w:rsidRPr="00130577">
        <w:rPr>
          <w:strike/>
        </w:rPr>
        <w:t>strikethrough</w:t>
      </w:r>
      <w:r w:rsidR="002C4E58">
        <w:t>)</w:t>
      </w:r>
      <w:r w:rsidR="002C4E58" w:rsidRPr="00740E0F">
        <w:t>:</w:t>
      </w:r>
    </w:p>
    <w:p w14:paraId="0415A096" w14:textId="4807847B" w:rsidR="002C4E58" w:rsidRPr="002C4E58" w:rsidRDefault="00740E0F" w:rsidP="002C4E58">
      <w:pPr>
        <w:pStyle w:val="GHSHeading3"/>
        <w:tabs>
          <w:tab w:val="left" w:pos="1985"/>
        </w:tabs>
        <w:spacing w:after="240"/>
        <w:ind w:left="1134" w:right="1134"/>
        <w:jc w:val="both"/>
        <w:rPr>
          <w:sz w:val="20"/>
          <w:szCs w:val="20"/>
        </w:rPr>
      </w:pPr>
      <w:r w:rsidRPr="002C4E58">
        <w:rPr>
          <w:sz w:val="20"/>
          <w:szCs w:val="20"/>
        </w:rPr>
        <w:t>“</w:t>
      </w:r>
      <w:r w:rsidR="002C4E58">
        <w:rPr>
          <w:sz w:val="20"/>
          <w:szCs w:val="20"/>
        </w:rPr>
        <w:t>2.6.2</w:t>
      </w:r>
      <w:r w:rsidR="002C4E58">
        <w:rPr>
          <w:sz w:val="20"/>
          <w:szCs w:val="20"/>
        </w:rPr>
        <w:tab/>
      </w:r>
      <w:r w:rsidR="002C4E58">
        <w:rPr>
          <w:sz w:val="20"/>
          <w:szCs w:val="20"/>
        </w:rPr>
        <w:tab/>
      </w:r>
      <w:r w:rsidR="002C4E58" w:rsidRPr="002C4E58">
        <w:rPr>
          <w:sz w:val="20"/>
          <w:szCs w:val="20"/>
        </w:rPr>
        <w:t>Classification criteria</w:t>
      </w:r>
    </w:p>
    <w:p w14:paraId="3CB08A08" w14:textId="051FDE77" w:rsidR="002C4E58" w:rsidRPr="002C4E58" w:rsidRDefault="002C4E58" w:rsidP="002C4E58">
      <w:pPr>
        <w:pStyle w:val="GHSHeading3"/>
        <w:tabs>
          <w:tab w:val="left" w:pos="1985"/>
        </w:tabs>
        <w:spacing w:after="240"/>
        <w:ind w:left="1134" w:right="1134"/>
        <w:jc w:val="both"/>
        <w:rPr>
          <w:b w:val="0"/>
          <w:sz w:val="20"/>
          <w:szCs w:val="20"/>
        </w:rPr>
      </w:pPr>
      <w:r w:rsidRPr="002C4E58">
        <w:rPr>
          <w:b w:val="0"/>
          <w:sz w:val="20"/>
          <w:szCs w:val="20"/>
          <w:u w:val="single"/>
        </w:rPr>
        <w:t>2.6.2.1</w:t>
      </w:r>
      <w:r>
        <w:rPr>
          <w:b w:val="0"/>
          <w:sz w:val="20"/>
          <w:szCs w:val="20"/>
        </w:rPr>
        <w:tab/>
      </w:r>
      <w:r>
        <w:rPr>
          <w:b w:val="0"/>
          <w:sz w:val="20"/>
          <w:szCs w:val="20"/>
        </w:rPr>
        <w:tab/>
      </w:r>
      <w:r w:rsidRPr="002C4E58">
        <w:rPr>
          <w:b w:val="0"/>
          <w:sz w:val="20"/>
          <w:szCs w:val="20"/>
        </w:rPr>
        <w:t>A flammable liquid is classified in one of the four categories for this class according to the following table:</w:t>
      </w:r>
    </w:p>
    <w:p w14:paraId="5BAC3184" w14:textId="77777777" w:rsidR="002C4E58" w:rsidRPr="002C4E58" w:rsidRDefault="002C4E58" w:rsidP="002C4E58">
      <w:pPr>
        <w:pStyle w:val="GHSHeading3"/>
        <w:tabs>
          <w:tab w:val="left" w:pos="1985"/>
        </w:tabs>
        <w:spacing w:after="240"/>
        <w:ind w:left="1134" w:right="1134"/>
        <w:jc w:val="center"/>
        <w:rPr>
          <w:sz w:val="20"/>
          <w:szCs w:val="20"/>
        </w:rPr>
      </w:pPr>
      <w:r w:rsidRPr="002C4E58">
        <w:rPr>
          <w:sz w:val="20"/>
          <w:szCs w:val="20"/>
        </w:rPr>
        <w:t>Table 2.6.1: Criteria for flammable liquids</w:t>
      </w:r>
    </w:p>
    <w:tbl>
      <w:tblPr>
        <w:tblStyle w:val="TableGrid"/>
        <w:tblW w:w="0" w:type="auto"/>
        <w:tblInd w:w="1134" w:type="dxa"/>
        <w:tblLayout w:type="fixed"/>
        <w:tblLook w:val="04A0" w:firstRow="1" w:lastRow="0" w:firstColumn="1" w:lastColumn="0" w:noHBand="0" w:noVBand="1"/>
      </w:tblPr>
      <w:tblGrid>
        <w:gridCol w:w="1296"/>
        <w:gridCol w:w="6496"/>
      </w:tblGrid>
      <w:tr w:rsidR="002C4E58" w:rsidRPr="00BE3932" w14:paraId="532063F8" w14:textId="77777777" w:rsidTr="00130577">
        <w:trPr>
          <w:trHeight w:val="357"/>
        </w:trPr>
        <w:tc>
          <w:tcPr>
            <w:tcW w:w="1296" w:type="dxa"/>
            <w:noWrap/>
            <w:vAlign w:val="center"/>
          </w:tcPr>
          <w:p w14:paraId="07F54614" w14:textId="77777777" w:rsidR="002C4E58" w:rsidRPr="002C4E58" w:rsidRDefault="002C4E58" w:rsidP="00C05F7D">
            <w:pPr>
              <w:spacing w:line="240" w:lineRule="auto"/>
              <w:jc w:val="center"/>
              <w:rPr>
                <w:b/>
              </w:rPr>
            </w:pPr>
            <w:r w:rsidRPr="002C4E58">
              <w:rPr>
                <w:b/>
              </w:rPr>
              <w:t>Category</w:t>
            </w:r>
          </w:p>
        </w:tc>
        <w:tc>
          <w:tcPr>
            <w:tcW w:w="6496" w:type="dxa"/>
            <w:noWrap/>
            <w:vAlign w:val="center"/>
          </w:tcPr>
          <w:p w14:paraId="678E24A3" w14:textId="77777777" w:rsidR="002C4E58" w:rsidRPr="002C4E58" w:rsidRDefault="002C4E58" w:rsidP="00C05F7D">
            <w:pPr>
              <w:ind w:right="1134"/>
              <w:jc w:val="center"/>
              <w:rPr>
                <w:b/>
              </w:rPr>
            </w:pPr>
            <w:r w:rsidRPr="002C4E58">
              <w:rPr>
                <w:b/>
              </w:rPr>
              <w:t>Criteria</w:t>
            </w:r>
          </w:p>
        </w:tc>
      </w:tr>
      <w:tr w:rsidR="002C4E58" w:rsidRPr="00685D57" w14:paraId="428D137F" w14:textId="77777777" w:rsidTr="00130577">
        <w:trPr>
          <w:trHeight w:val="278"/>
        </w:trPr>
        <w:tc>
          <w:tcPr>
            <w:tcW w:w="1296" w:type="dxa"/>
            <w:vAlign w:val="center"/>
          </w:tcPr>
          <w:p w14:paraId="1CA80A5F" w14:textId="77777777" w:rsidR="002C4E58" w:rsidRPr="00C05F7D" w:rsidRDefault="002C4E58" w:rsidP="00C05F7D">
            <w:pPr>
              <w:spacing w:line="240" w:lineRule="auto"/>
              <w:jc w:val="center"/>
              <w:rPr>
                <w:b/>
              </w:rPr>
            </w:pPr>
            <w:r w:rsidRPr="00C05F7D">
              <w:rPr>
                <w:b/>
              </w:rPr>
              <w:t>1</w:t>
            </w:r>
          </w:p>
        </w:tc>
        <w:tc>
          <w:tcPr>
            <w:tcW w:w="6496" w:type="dxa"/>
            <w:vAlign w:val="center"/>
          </w:tcPr>
          <w:p w14:paraId="2F2BE8C1" w14:textId="143E5281" w:rsidR="002C4E58" w:rsidRPr="00C05F7D" w:rsidRDefault="00C05F7D" w:rsidP="00C05F7D">
            <w:pPr>
              <w:spacing w:line="240" w:lineRule="auto"/>
            </w:pPr>
            <w:r>
              <w:t xml:space="preserve">  </w:t>
            </w:r>
            <w:r w:rsidRPr="00C05F7D">
              <w:t>Flash point &lt; 23 °C and initial boiling point ≤ 35 °C</w:t>
            </w:r>
          </w:p>
        </w:tc>
      </w:tr>
      <w:tr w:rsidR="00C05F7D" w:rsidRPr="00685D57" w14:paraId="466CE66D" w14:textId="77777777" w:rsidTr="00130577">
        <w:trPr>
          <w:trHeight w:val="278"/>
        </w:trPr>
        <w:tc>
          <w:tcPr>
            <w:tcW w:w="1296" w:type="dxa"/>
            <w:vAlign w:val="center"/>
          </w:tcPr>
          <w:p w14:paraId="02B78BE4" w14:textId="68C97A57" w:rsidR="00C05F7D" w:rsidRPr="00C05F7D" w:rsidRDefault="00C05F7D" w:rsidP="00C05F7D">
            <w:pPr>
              <w:spacing w:line="240" w:lineRule="auto"/>
              <w:jc w:val="center"/>
              <w:rPr>
                <w:b/>
              </w:rPr>
            </w:pPr>
            <w:r>
              <w:rPr>
                <w:b/>
              </w:rPr>
              <w:t>2</w:t>
            </w:r>
          </w:p>
        </w:tc>
        <w:tc>
          <w:tcPr>
            <w:tcW w:w="6496" w:type="dxa"/>
            <w:vAlign w:val="center"/>
          </w:tcPr>
          <w:p w14:paraId="567E4D6B" w14:textId="401AC7B7" w:rsidR="00C05F7D" w:rsidRDefault="00C05F7D" w:rsidP="00C05F7D">
            <w:pPr>
              <w:spacing w:line="240" w:lineRule="auto"/>
            </w:pPr>
            <w:r>
              <w:t xml:space="preserve">  </w:t>
            </w:r>
            <w:r w:rsidRPr="00C05F7D">
              <w:t>Flash point &lt; 2</w:t>
            </w:r>
            <w:r>
              <w:t>3 °C and initial boiling point &gt;</w:t>
            </w:r>
            <w:r w:rsidRPr="00C05F7D">
              <w:t xml:space="preserve"> 35 °C</w:t>
            </w:r>
          </w:p>
        </w:tc>
      </w:tr>
      <w:tr w:rsidR="00C05F7D" w:rsidRPr="00685D57" w14:paraId="7132AA79" w14:textId="77777777" w:rsidTr="00130577">
        <w:trPr>
          <w:trHeight w:val="278"/>
        </w:trPr>
        <w:tc>
          <w:tcPr>
            <w:tcW w:w="1296" w:type="dxa"/>
            <w:vAlign w:val="center"/>
          </w:tcPr>
          <w:p w14:paraId="77077F95" w14:textId="14673838" w:rsidR="00C05F7D" w:rsidRPr="00C05F7D" w:rsidRDefault="00C05F7D" w:rsidP="00C05F7D">
            <w:pPr>
              <w:spacing w:line="240" w:lineRule="auto"/>
              <w:jc w:val="center"/>
              <w:rPr>
                <w:b/>
              </w:rPr>
            </w:pPr>
            <w:r>
              <w:rPr>
                <w:b/>
              </w:rPr>
              <w:t>3</w:t>
            </w:r>
          </w:p>
        </w:tc>
        <w:tc>
          <w:tcPr>
            <w:tcW w:w="6496" w:type="dxa"/>
            <w:vAlign w:val="center"/>
          </w:tcPr>
          <w:p w14:paraId="75B6644C" w14:textId="1E0C8BD1" w:rsidR="00C05F7D" w:rsidRDefault="00C05F7D" w:rsidP="00C05F7D">
            <w:pPr>
              <w:spacing w:line="240" w:lineRule="auto"/>
            </w:pPr>
            <w:r>
              <w:t xml:space="preserve">  Flash point ≥</w:t>
            </w:r>
            <w:r w:rsidRPr="00C05F7D">
              <w:t xml:space="preserve"> 23 °C and ≤ </w:t>
            </w:r>
            <w:r>
              <w:t>60</w:t>
            </w:r>
            <w:r w:rsidRPr="00C05F7D">
              <w:t xml:space="preserve"> °C</w:t>
            </w:r>
          </w:p>
        </w:tc>
      </w:tr>
      <w:tr w:rsidR="00C05F7D" w:rsidRPr="00685D57" w14:paraId="5A7F82CB" w14:textId="77777777" w:rsidTr="00130577">
        <w:trPr>
          <w:trHeight w:val="278"/>
        </w:trPr>
        <w:tc>
          <w:tcPr>
            <w:tcW w:w="1296" w:type="dxa"/>
            <w:vAlign w:val="center"/>
          </w:tcPr>
          <w:p w14:paraId="0F6ED856" w14:textId="56E4834D" w:rsidR="00C05F7D" w:rsidRPr="00C05F7D" w:rsidRDefault="00C05F7D" w:rsidP="00C05F7D">
            <w:pPr>
              <w:spacing w:line="240" w:lineRule="auto"/>
              <w:jc w:val="center"/>
              <w:rPr>
                <w:b/>
              </w:rPr>
            </w:pPr>
            <w:r>
              <w:rPr>
                <w:b/>
              </w:rPr>
              <w:t>4</w:t>
            </w:r>
          </w:p>
        </w:tc>
        <w:tc>
          <w:tcPr>
            <w:tcW w:w="6496" w:type="dxa"/>
            <w:vAlign w:val="center"/>
          </w:tcPr>
          <w:p w14:paraId="2A6E09ED" w14:textId="4BDE6B7B" w:rsidR="00C05F7D" w:rsidRDefault="00C05F7D" w:rsidP="00C05F7D">
            <w:pPr>
              <w:spacing w:line="240" w:lineRule="auto"/>
            </w:pPr>
            <w:r>
              <w:t xml:space="preserve">  Flash point &gt; 60</w:t>
            </w:r>
            <w:r w:rsidRPr="00C05F7D">
              <w:t xml:space="preserve"> °C and ≤ </w:t>
            </w:r>
            <w:r>
              <w:t>9</w:t>
            </w:r>
            <w:r w:rsidRPr="00C05F7D">
              <w:t>3 °C</w:t>
            </w:r>
          </w:p>
        </w:tc>
      </w:tr>
    </w:tbl>
    <w:p w14:paraId="6976DC49" w14:textId="77777777" w:rsidR="00C05F7D" w:rsidRDefault="00C05F7D" w:rsidP="00C05F7D">
      <w:pPr>
        <w:pStyle w:val="GHSHeading3"/>
        <w:tabs>
          <w:tab w:val="left" w:pos="1985"/>
        </w:tabs>
        <w:ind w:left="1134" w:right="1134"/>
        <w:jc w:val="both"/>
        <w:rPr>
          <w:b w:val="0"/>
          <w:sz w:val="20"/>
          <w:szCs w:val="20"/>
          <w:u w:val="single"/>
        </w:rPr>
      </w:pPr>
    </w:p>
    <w:p w14:paraId="5017DE93" w14:textId="40FA45D0" w:rsidR="002C4E58" w:rsidRPr="00C05F7D" w:rsidRDefault="00C05F7D" w:rsidP="002C4E58">
      <w:pPr>
        <w:pStyle w:val="GHSHeading3"/>
        <w:tabs>
          <w:tab w:val="left" w:pos="1985"/>
        </w:tabs>
        <w:spacing w:after="240"/>
        <w:ind w:left="1134" w:right="1134"/>
        <w:jc w:val="both"/>
        <w:rPr>
          <w:b w:val="0"/>
          <w:iCs/>
          <w:sz w:val="20"/>
          <w:szCs w:val="20"/>
          <w:u w:val="single"/>
        </w:rPr>
      </w:pPr>
      <w:r>
        <w:rPr>
          <w:b w:val="0"/>
          <w:sz w:val="20"/>
          <w:szCs w:val="20"/>
          <w:u w:val="single"/>
        </w:rPr>
        <w:t>2.6.2.2</w:t>
      </w:r>
      <w:r>
        <w:rPr>
          <w:b w:val="0"/>
          <w:sz w:val="20"/>
          <w:szCs w:val="20"/>
        </w:rPr>
        <w:tab/>
      </w:r>
      <w:r>
        <w:rPr>
          <w:b w:val="0"/>
          <w:sz w:val="20"/>
          <w:szCs w:val="20"/>
        </w:rPr>
        <w:tab/>
      </w:r>
      <w:r w:rsidRPr="00C05F7D">
        <w:rPr>
          <w:b w:val="0"/>
          <w:sz w:val="20"/>
          <w:szCs w:val="20"/>
          <w:u w:val="single"/>
        </w:rPr>
        <w:t xml:space="preserve">Liquids with a flash point of more than 35 °C and not more than 60 °C </w:t>
      </w:r>
      <w:r w:rsidR="00DB2B8B">
        <w:rPr>
          <w:b w:val="0"/>
          <w:sz w:val="20"/>
          <w:szCs w:val="20"/>
          <w:u w:val="single"/>
        </w:rPr>
        <w:t>need not be classified in Category 3</w:t>
      </w:r>
      <w:r w:rsidRPr="00C05F7D">
        <w:rPr>
          <w:b w:val="0"/>
          <w:sz w:val="20"/>
          <w:szCs w:val="20"/>
          <w:u w:val="single"/>
        </w:rPr>
        <w:t xml:space="preserve"> if negative results have been obtained in the sustained combustibility test L.2 of Part III, section 32 of the UN Recommendations on the Transport of Dangerous Goods, Manual of Tests and Criteria.</w:t>
      </w:r>
    </w:p>
    <w:p w14:paraId="61CEF12B" w14:textId="0BE4A67A" w:rsidR="002C4E58" w:rsidRPr="00DB2B8B" w:rsidRDefault="002C4E58" w:rsidP="002C4E58">
      <w:pPr>
        <w:pStyle w:val="GHSHeading3"/>
        <w:tabs>
          <w:tab w:val="left" w:pos="1985"/>
        </w:tabs>
        <w:spacing w:after="240"/>
        <w:ind w:left="1134" w:right="1134"/>
        <w:jc w:val="both"/>
        <w:rPr>
          <w:b w:val="0"/>
          <w:i/>
          <w:iCs/>
          <w:sz w:val="20"/>
          <w:szCs w:val="20"/>
        </w:rPr>
      </w:pPr>
      <w:r w:rsidRPr="00DB2B8B">
        <w:rPr>
          <w:i/>
          <w:iCs/>
          <w:sz w:val="20"/>
          <w:szCs w:val="20"/>
        </w:rPr>
        <w:t xml:space="preserve">NOTE 1: </w:t>
      </w:r>
      <w:r w:rsidRPr="00DB2B8B">
        <w:rPr>
          <w:b w:val="0"/>
          <w:i/>
          <w:iCs/>
          <w:sz w:val="20"/>
          <w:szCs w:val="20"/>
        </w:rPr>
        <w:t>Gas oils, diesel and light heating oils in the flash point range of 55 °C to 75 °C may be regarded as a</w:t>
      </w:r>
      <w:r w:rsidR="00C05F7D" w:rsidRPr="00DB2B8B">
        <w:rPr>
          <w:b w:val="0"/>
          <w:i/>
          <w:iCs/>
          <w:sz w:val="20"/>
          <w:szCs w:val="20"/>
        </w:rPr>
        <w:t xml:space="preserve"> </w:t>
      </w:r>
      <w:r w:rsidRPr="00DB2B8B">
        <w:rPr>
          <w:b w:val="0"/>
          <w:i/>
          <w:iCs/>
          <w:sz w:val="20"/>
          <w:szCs w:val="20"/>
        </w:rPr>
        <w:t>special group for some regulatory purposes.</w:t>
      </w:r>
    </w:p>
    <w:p w14:paraId="46874B37" w14:textId="0FB1B7E2" w:rsidR="002C4E58" w:rsidRPr="00DB2B8B" w:rsidRDefault="002C4E58" w:rsidP="002C4E58">
      <w:pPr>
        <w:pStyle w:val="GHSHeading3"/>
        <w:tabs>
          <w:tab w:val="left" w:pos="1985"/>
        </w:tabs>
        <w:spacing w:after="240"/>
        <w:ind w:left="1134" w:right="1134"/>
        <w:jc w:val="both"/>
        <w:rPr>
          <w:b w:val="0"/>
          <w:i/>
          <w:iCs/>
          <w:strike/>
          <w:sz w:val="20"/>
          <w:szCs w:val="20"/>
        </w:rPr>
      </w:pPr>
      <w:r w:rsidRPr="00DB2B8B">
        <w:rPr>
          <w:i/>
          <w:iCs/>
          <w:strike/>
          <w:sz w:val="20"/>
          <w:szCs w:val="20"/>
        </w:rPr>
        <w:t xml:space="preserve">NOTE 2: </w:t>
      </w:r>
      <w:r w:rsidRPr="00DB2B8B">
        <w:rPr>
          <w:b w:val="0"/>
          <w:i/>
          <w:iCs/>
          <w:strike/>
          <w:sz w:val="20"/>
          <w:szCs w:val="20"/>
        </w:rPr>
        <w:t xml:space="preserve">Liquids with a flash point of more than 35 °C and not more than 60 °C may be regarded as </w:t>
      </w:r>
      <w:r w:rsidR="00C05F7D" w:rsidRPr="00DB2B8B">
        <w:rPr>
          <w:b w:val="0"/>
          <w:i/>
          <w:iCs/>
          <w:strike/>
          <w:sz w:val="20"/>
          <w:szCs w:val="20"/>
        </w:rPr>
        <w:t xml:space="preserve">non-flammable </w:t>
      </w:r>
      <w:r w:rsidRPr="00DB2B8B">
        <w:rPr>
          <w:b w:val="0"/>
          <w:i/>
          <w:iCs/>
          <w:strike/>
          <w:sz w:val="20"/>
          <w:szCs w:val="20"/>
        </w:rPr>
        <w:t>liquids for some regulatory purposes (e.g. transport) if negative results have been obtained in the sustained</w:t>
      </w:r>
      <w:r w:rsidR="00C05F7D" w:rsidRPr="00DB2B8B">
        <w:rPr>
          <w:b w:val="0"/>
          <w:i/>
          <w:iCs/>
          <w:strike/>
          <w:sz w:val="20"/>
          <w:szCs w:val="20"/>
        </w:rPr>
        <w:t xml:space="preserve"> </w:t>
      </w:r>
      <w:r w:rsidRPr="00DB2B8B">
        <w:rPr>
          <w:b w:val="0"/>
          <w:i/>
          <w:iCs/>
          <w:strike/>
          <w:sz w:val="20"/>
          <w:szCs w:val="20"/>
        </w:rPr>
        <w:t>combustibility test L.2 of Part III, section 32 of the UN Recommendations on the Transport of Dangerous Goods,</w:t>
      </w:r>
      <w:r w:rsidR="00C05F7D" w:rsidRPr="00DB2B8B">
        <w:rPr>
          <w:b w:val="0"/>
          <w:i/>
          <w:iCs/>
          <w:strike/>
          <w:sz w:val="20"/>
          <w:szCs w:val="20"/>
        </w:rPr>
        <w:t xml:space="preserve"> </w:t>
      </w:r>
      <w:r w:rsidRPr="00DB2B8B">
        <w:rPr>
          <w:b w:val="0"/>
          <w:i/>
          <w:iCs/>
          <w:strike/>
          <w:sz w:val="20"/>
          <w:szCs w:val="20"/>
        </w:rPr>
        <w:t>Manual of Tests and Criteria.</w:t>
      </w:r>
    </w:p>
    <w:p w14:paraId="13962831" w14:textId="1908B7E8" w:rsidR="002C4E58" w:rsidRPr="00DB2B8B" w:rsidRDefault="002C4E58" w:rsidP="002C4E58">
      <w:pPr>
        <w:pStyle w:val="GHSHeading3"/>
        <w:tabs>
          <w:tab w:val="left" w:pos="1985"/>
        </w:tabs>
        <w:spacing w:after="240"/>
        <w:ind w:left="1134" w:right="1134"/>
        <w:jc w:val="both"/>
        <w:rPr>
          <w:b w:val="0"/>
          <w:i/>
          <w:iCs/>
          <w:sz w:val="20"/>
          <w:szCs w:val="20"/>
        </w:rPr>
      </w:pPr>
      <w:r w:rsidRPr="00DB2B8B">
        <w:rPr>
          <w:i/>
          <w:iCs/>
          <w:sz w:val="20"/>
          <w:szCs w:val="20"/>
        </w:rPr>
        <w:t xml:space="preserve">NOTE </w:t>
      </w:r>
      <w:r w:rsidRPr="00DB2B8B">
        <w:rPr>
          <w:i/>
          <w:iCs/>
          <w:strike/>
          <w:sz w:val="20"/>
          <w:szCs w:val="20"/>
        </w:rPr>
        <w:t>3</w:t>
      </w:r>
      <w:r w:rsidR="00DB2B8B" w:rsidRPr="00DB2B8B">
        <w:rPr>
          <w:i/>
          <w:iCs/>
          <w:sz w:val="20"/>
          <w:szCs w:val="20"/>
          <w:u w:val="single"/>
        </w:rPr>
        <w:t>2</w:t>
      </w:r>
      <w:r w:rsidRPr="00DB2B8B">
        <w:rPr>
          <w:i/>
          <w:iCs/>
          <w:sz w:val="20"/>
          <w:szCs w:val="20"/>
        </w:rPr>
        <w:t xml:space="preserve">: </w:t>
      </w:r>
      <w:r w:rsidRPr="00DB2B8B">
        <w:rPr>
          <w:b w:val="0"/>
          <w:i/>
          <w:iCs/>
          <w:sz w:val="20"/>
          <w:szCs w:val="20"/>
        </w:rPr>
        <w:t>Viscous flammable liquids such as paints, enamels, lacquers, varnishes, adhesives and polishes may</w:t>
      </w:r>
      <w:r w:rsidR="00DB2B8B">
        <w:rPr>
          <w:b w:val="0"/>
          <w:i/>
          <w:iCs/>
          <w:sz w:val="20"/>
          <w:szCs w:val="20"/>
        </w:rPr>
        <w:t xml:space="preserve"> </w:t>
      </w:r>
      <w:r w:rsidRPr="00DB2B8B">
        <w:rPr>
          <w:b w:val="0"/>
          <w:i/>
          <w:iCs/>
          <w:sz w:val="20"/>
          <w:szCs w:val="20"/>
        </w:rPr>
        <w:t>be regarded as a special group for some regulatory purposes (e.g. transport). The classification or the decision to</w:t>
      </w:r>
      <w:r w:rsidR="00DB2B8B">
        <w:rPr>
          <w:b w:val="0"/>
          <w:i/>
          <w:iCs/>
          <w:sz w:val="20"/>
          <w:szCs w:val="20"/>
        </w:rPr>
        <w:t xml:space="preserve"> </w:t>
      </w:r>
      <w:r w:rsidRPr="00DB2B8B">
        <w:rPr>
          <w:b w:val="0"/>
          <w:i/>
          <w:iCs/>
          <w:sz w:val="20"/>
          <w:szCs w:val="20"/>
        </w:rPr>
        <w:t>consider these liquids as non-flammable may be determined by the pertinent regulation or competent authority.</w:t>
      </w:r>
    </w:p>
    <w:p w14:paraId="27840869" w14:textId="66A8551A" w:rsidR="00DB2B8B" w:rsidRPr="00DB2B8B" w:rsidRDefault="002C4E58" w:rsidP="00DB2B8B">
      <w:pPr>
        <w:pStyle w:val="GHSHeading3"/>
        <w:tabs>
          <w:tab w:val="clear" w:pos="1418"/>
          <w:tab w:val="left" w:pos="1985"/>
        </w:tabs>
        <w:spacing w:after="240"/>
        <w:ind w:left="1134" w:right="1134"/>
        <w:jc w:val="both"/>
        <w:rPr>
          <w:b w:val="0"/>
          <w:sz w:val="20"/>
        </w:rPr>
      </w:pPr>
      <w:r w:rsidRPr="00DB2B8B">
        <w:rPr>
          <w:i/>
          <w:iCs/>
          <w:sz w:val="20"/>
          <w:szCs w:val="20"/>
        </w:rPr>
        <w:t xml:space="preserve">NOTE </w:t>
      </w:r>
      <w:r w:rsidRPr="00DB2B8B">
        <w:rPr>
          <w:i/>
          <w:iCs/>
          <w:strike/>
          <w:sz w:val="20"/>
          <w:szCs w:val="20"/>
        </w:rPr>
        <w:t>4</w:t>
      </w:r>
      <w:r w:rsidR="00DB2B8B">
        <w:rPr>
          <w:i/>
          <w:iCs/>
          <w:sz w:val="20"/>
          <w:szCs w:val="20"/>
          <w:u w:val="single"/>
        </w:rPr>
        <w:t>3</w:t>
      </w:r>
      <w:r w:rsidRPr="00DB2B8B">
        <w:rPr>
          <w:i/>
          <w:iCs/>
          <w:sz w:val="20"/>
          <w:szCs w:val="20"/>
        </w:rPr>
        <w:t xml:space="preserve">: </w:t>
      </w:r>
      <w:r w:rsidRPr="00DB2B8B">
        <w:rPr>
          <w:b w:val="0"/>
          <w:i/>
          <w:iCs/>
          <w:sz w:val="20"/>
          <w:szCs w:val="20"/>
        </w:rPr>
        <w:t>Aerosols should not be classified as flammable liquids. See Chapter 2.3.</w:t>
      </w:r>
      <w:r w:rsidR="00CD7A04">
        <w:rPr>
          <w:b w:val="0"/>
          <w:i/>
          <w:iCs/>
          <w:sz w:val="20"/>
          <w:szCs w:val="20"/>
        </w:rPr>
        <w:t>”</w:t>
      </w:r>
      <w:r w:rsidR="00DB2B8B" w:rsidRPr="00DB2B8B">
        <w:rPr>
          <w:b w:val="0"/>
          <w:sz w:val="20"/>
        </w:rPr>
        <w:t xml:space="preserve"> </w:t>
      </w:r>
    </w:p>
    <w:p w14:paraId="459C38D6" w14:textId="4292316E" w:rsidR="00CD7A04" w:rsidRDefault="00CD7A04" w:rsidP="005D5C97">
      <w:pPr>
        <w:pStyle w:val="SingleTxtG"/>
      </w:pPr>
      <w:r>
        <w:t>10</w:t>
      </w:r>
      <w:r w:rsidR="005D5C97" w:rsidRPr="00740E0F">
        <w:t>.</w:t>
      </w:r>
      <w:r w:rsidR="005D5C97" w:rsidRPr="00740E0F">
        <w:tab/>
      </w:r>
      <w:r>
        <w:t>In section 2.6.4.1, a</w:t>
      </w:r>
      <w:r w:rsidR="005D5C97">
        <w:t xml:space="preserve">mend </w:t>
      </w:r>
      <w:r>
        <w:t xml:space="preserve">footnote 2 to </w:t>
      </w:r>
      <w:r w:rsidR="005D5C97">
        <w:t xml:space="preserve">decision logic 2.6 </w:t>
      </w:r>
      <w:r>
        <w:t xml:space="preserve">to reflect the wording of new section 2.6.2.2 in paragraph 9 above.  </w:t>
      </w:r>
    </w:p>
    <w:p w14:paraId="012E96B2" w14:textId="16D1C3E4" w:rsidR="005D5C97" w:rsidRDefault="00CD7A04" w:rsidP="005D5C97">
      <w:pPr>
        <w:pStyle w:val="SingleTxtG"/>
      </w:pPr>
      <w:r>
        <w:t>11.</w:t>
      </w:r>
      <w:r>
        <w:tab/>
        <w:t>Optional</w:t>
      </w:r>
      <w:r w:rsidR="00C12542">
        <w:t xml:space="preserve"> (temporary) amendment</w:t>
      </w:r>
      <w:r>
        <w:t>: in decision logic 2.6, in the arrow between the second question (“</w:t>
      </w:r>
      <w:r w:rsidRPr="00CD7A04">
        <w:t>Does it have a flash point &gt; 60 °C?</w:t>
      </w:r>
      <w:r>
        <w:t>”) and Category 4, replace “Yes</w:t>
      </w:r>
      <w:r>
        <w:rPr>
          <w:vertAlign w:val="superscript"/>
        </w:rPr>
        <w:t>1,2</w:t>
      </w:r>
      <w:r>
        <w:t>” by “Yes</w:t>
      </w:r>
      <w:r>
        <w:rPr>
          <w:vertAlign w:val="superscript"/>
        </w:rPr>
        <w:t>1</w:t>
      </w:r>
      <w:r>
        <w:t xml:space="preserve">”. </w:t>
      </w:r>
    </w:p>
    <w:p w14:paraId="4A753A48" w14:textId="7DA56DB5" w:rsidR="00C12542" w:rsidRPr="00C12542" w:rsidRDefault="00C12542" w:rsidP="00C12542">
      <w:pPr>
        <w:pStyle w:val="SingleTxtG"/>
        <w:jc w:val="center"/>
        <w:rPr>
          <w:u w:val="single"/>
        </w:rPr>
      </w:pPr>
      <w:r>
        <w:rPr>
          <w:u w:val="single"/>
        </w:rPr>
        <w:tab/>
      </w:r>
      <w:r>
        <w:rPr>
          <w:u w:val="single"/>
        </w:rPr>
        <w:tab/>
      </w:r>
      <w:r>
        <w:rPr>
          <w:u w:val="single"/>
        </w:rPr>
        <w:tab/>
      </w:r>
      <w:r>
        <w:rPr>
          <w:u w:val="single"/>
        </w:rPr>
        <w:tab/>
      </w:r>
    </w:p>
    <w:p w14:paraId="2C3FD47C" w14:textId="1707F6F7" w:rsidR="00FE755F" w:rsidRDefault="00FE755F">
      <w:pPr>
        <w:suppressAutoHyphens w:val="0"/>
        <w:spacing w:line="240" w:lineRule="auto"/>
        <w:rPr>
          <w:b/>
          <w:bCs/>
          <w:i/>
          <w:iCs/>
        </w:rPr>
      </w:pPr>
    </w:p>
    <w:sectPr w:rsidR="00FE755F" w:rsidSect="00BF0E8B">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CE784" w14:textId="77777777" w:rsidR="00D35ED2" w:rsidRDefault="00D35ED2"/>
  </w:endnote>
  <w:endnote w:type="continuationSeparator" w:id="0">
    <w:p w14:paraId="3E6CCFD9" w14:textId="77777777" w:rsidR="00D35ED2" w:rsidRDefault="00D35ED2"/>
  </w:endnote>
  <w:endnote w:type="continuationNotice" w:id="1">
    <w:p w14:paraId="0010C293" w14:textId="77777777" w:rsidR="00D35ED2" w:rsidRDefault="00D35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0B70" w14:textId="74D89B51" w:rsidR="00811FF1" w:rsidRPr="0095385C" w:rsidRDefault="00811FF1"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sidR="00814CCA">
      <w:rPr>
        <w:b/>
        <w:noProof/>
        <w:sz w:val="18"/>
      </w:rPr>
      <w:t>2</w:t>
    </w:r>
    <w:r w:rsidRPr="009538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BC77" w14:textId="1488AEBF" w:rsidR="00811FF1" w:rsidRPr="0095385C" w:rsidRDefault="00811FF1"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814CCA">
      <w:rPr>
        <w:b/>
        <w:noProof/>
        <w:sz w:val="18"/>
      </w:rPr>
      <w:t>3</w:t>
    </w:r>
    <w:r w:rsidRPr="0095385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677BE" w14:textId="77777777" w:rsidR="00D35ED2" w:rsidRPr="000B175B" w:rsidRDefault="00D35ED2" w:rsidP="000B175B">
      <w:pPr>
        <w:tabs>
          <w:tab w:val="right" w:pos="2155"/>
        </w:tabs>
        <w:spacing w:after="80"/>
        <w:ind w:left="680"/>
        <w:rPr>
          <w:u w:val="single"/>
        </w:rPr>
      </w:pPr>
      <w:r>
        <w:rPr>
          <w:u w:val="single"/>
        </w:rPr>
        <w:tab/>
      </w:r>
    </w:p>
  </w:footnote>
  <w:footnote w:type="continuationSeparator" w:id="0">
    <w:p w14:paraId="12258E94" w14:textId="77777777" w:rsidR="00D35ED2" w:rsidRPr="00FC68B7" w:rsidRDefault="00D35ED2" w:rsidP="00FC68B7">
      <w:pPr>
        <w:tabs>
          <w:tab w:val="left" w:pos="2155"/>
        </w:tabs>
        <w:spacing w:after="80"/>
        <w:ind w:left="680"/>
        <w:rPr>
          <w:u w:val="single"/>
        </w:rPr>
      </w:pPr>
      <w:r>
        <w:rPr>
          <w:u w:val="single"/>
        </w:rPr>
        <w:tab/>
      </w:r>
    </w:p>
  </w:footnote>
  <w:footnote w:type="continuationNotice" w:id="1">
    <w:p w14:paraId="0FE79249" w14:textId="77777777" w:rsidR="00D35ED2" w:rsidRDefault="00D35ED2"/>
  </w:footnote>
  <w:footnote w:id="2">
    <w:p w14:paraId="49BE0E1A" w14:textId="4666A34E" w:rsidR="001F685B" w:rsidRPr="001F685B" w:rsidRDefault="001F685B" w:rsidP="001F685B">
      <w:pPr>
        <w:pStyle w:val="FootnoteText"/>
        <w:tabs>
          <w:tab w:val="left" w:pos="1418"/>
        </w:tabs>
        <w:ind w:firstLine="0"/>
        <w:rPr>
          <w:lang w:val="fr-CH"/>
        </w:rPr>
      </w:pPr>
      <w:r>
        <w:rPr>
          <w:rStyle w:val="FootnoteReference"/>
        </w:rPr>
        <w:t>*</w:t>
      </w:r>
      <w:r>
        <w:t xml:space="preserve"> </w:t>
      </w:r>
      <w:r>
        <w:tab/>
        <w:t>In accordance with the programme of work of the Sub-Committee for 2017–2018 approved by the Committee at its eighth session (see ST/SG/AC.10/C.3/100, para. 98, and ST/SG/AC.10/44,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2F85" w14:textId="4A212F7F" w:rsidR="00811FF1" w:rsidRPr="0095385C" w:rsidRDefault="00E326FF">
    <w:pPr>
      <w:pStyle w:val="Header"/>
    </w:pPr>
    <w:r>
      <w:t>ST/SG/AC.10/C.3/2018/</w:t>
    </w:r>
    <w:r w:rsidR="00E440AB">
      <w:t>94</w:t>
    </w:r>
    <w:r w:rsidR="000A5369">
      <w:rPr>
        <w:color w:val="FF0000"/>
      </w:rPr>
      <w:br/>
    </w:r>
    <w:r w:rsidR="00811FF1">
      <w:t>ST/SG/AC.10/C.4/2018/</w:t>
    </w:r>
    <w:r w:rsidR="00E440AB">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18AE" w14:textId="62DCB3FF" w:rsidR="00811FF1" w:rsidRPr="0095385C" w:rsidRDefault="000418DE" w:rsidP="0095385C">
    <w:pPr>
      <w:pStyle w:val="Header"/>
      <w:jc w:val="right"/>
    </w:pPr>
    <w:r>
      <w:br/>
      <w:t>ST/SG/AC.10/C.3/2018/</w:t>
    </w:r>
    <w:r w:rsidR="00E440AB">
      <w:t>94</w:t>
    </w:r>
    <w:r w:rsidR="00E440AB">
      <w:br/>
      <w:t>ST/SG/AC.10/C.4/2018/22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4263E" w14:textId="0B71C9F6" w:rsidR="00130577" w:rsidRDefault="00130577" w:rsidP="0013057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9078E3"/>
    <w:multiLevelType w:val="hybridMultilevel"/>
    <w:tmpl w:val="FB64EE96"/>
    <w:lvl w:ilvl="0" w:tplc="10090017">
      <w:start w:val="1"/>
      <w:numFmt w:val="lowerLetter"/>
      <w:lvlText w:val="%1)"/>
      <w:lvlJc w:val="left"/>
      <w:pPr>
        <w:ind w:left="770" w:hanging="360"/>
      </w:pPr>
      <w:rPr>
        <w:rFont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FC26C7B"/>
    <w:multiLevelType w:val="hybridMultilevel"/>
    <w:tmpl w:val="5412AE8E"/>
    <w:lvl w:ilvl="0" w:tplc="45E2814A">
      <w:numFmt w:val="bullet"/>
      <w:lvlText w:val="–"/>
      <w:lvlJc w:val="left"/>
      <w:pPr>
        <w:ind w:left="1974" w:hanging="555"/>
      </w:pPr>
      <w:rPr>
        <w:rFonts w:ascii="Times New Roman" w:eastAsia="Times New Roman" w:hAnsi="Times New Roman" w:cs="Times New Roman"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4" w15:restartNumberingAfterBreak="0">
    <w:nsid w:val="43E61DE3"/>
    <w:multiLevelType w:val="hybridMultilevel"/>
    <w:tmpl w:val="7594108C"/>
    <w:lvl w:ilvl="0" w:tplc="76FE828E">
      <w:start w:val="1"/>
      <w:numFmt w:val="bullet"/>
      <w:lvlText w:val="­"/>
      <w:lvlJc w:val="left"/>
      <w:pPr>
        <w:ind w:left="1854" w:hanging="360"/>
      </w:pPr>
      <w:rPr>
        <w:rFonts w:ascii="Arial" w:hAnsi="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6654658"/>
    <w:multiLevelType w:val="multilevel"/>
    <w:tmpl w:val="B6EC22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09E7F75"/>
    <w:multiLevelType w:val="multilevel"/>
    <w:tmpl w:val="DE34364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E3034"/>
    <w:multiLevelType w:val="hybridMultilevel"/>
    <w:tmpl w:val="157EE230"/>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2"/>
  </w:num>
  <w:num w:numId="13">
    <w:abstractNumId w:val="10"/>
  </w:num>
  <w:num w:numId="14">
    <w:abstractNumId w:val="18"/>
  </w:num>
  <w:num w:numId="15">
    <w:abstractNumId w:val="20"/>
  </w:num>
  <w:num w:numId="16">
    <w:abstractNumId w:val="11"/>
  </w:num>
  <w:num w:numId="17">
    <w:abstractNumId w:val="19"/>
  </w:num>
  <w:num w:numId="18">
    <w:abstractNumId w:val="16"/>
  </w:num>
  <w:num w:numId="19">
    <w:abstractNumId w:val="15"/>
  </w:num>
  <w:num w:numId="20">
    <w:abstractNumId w:val="14"/>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5C"/>
    <w:rsid w:val="00002487"/>
    <w:rsid w:val="00005982"/>
    <w:rsid w:val="00006490"/>
    <w:rsid w:val="00007F78"/>
    <w:rsid w:val="00012035"/>
    <w:rsid w:val="000222F9"/>
    <w:rsid w:val="00023DBC"/>
    <w:rsid w:val="000418DE"/>
    <w:rsid w:val="00042E5C"/>
    <w:rsid w:val="00044C7A"/>
    <w:rsid w:val="0005042C"/>
    <w:rsid w:val="000504CE"/>
    <w:rsid w:val="00050F6B"/>
    <w:rsid w:val="00052A23"/>
    <w:rsid w:val="00063706"/>
    <w:rsid w:val="000672E1"/>
    <w:rsid w:val="0007037A"/>
    <w:rsid w:val="00072C8C"/>
    <w:rsid w:val="00074D4E"/>
    <w:rsid w:val="00085AFC"/>
    <w:rsid w:val="00087CE1"/>
    <w:rsid w:val="00091419"/>
    <w:rsid w:val="000931C0"/>
    <w:rsid w:val="00097EA0"/>
    <w:rsid w:val="000A004E"/>
    <w:rsid w:val="000A43BC"/>
    <w:rsid w:val="000A5369"/>
    <w:rsid w:val="000B158D"/>
    <w:rsid w:val="000B175B"/>
    <w:rsid w:val="000B1B3B"/>
    <w:rsid w:val="000B28A5"/>
    <w:rsid w:val="000B2FC0"/>
    <w:rsid w:val="000B374C"/>
    <w:rsid w:val="000B3A0F"/>
    <w:rsid w:val="000B602C"/>
    <w:rsid w:val="000C5E7A"/>
    <w:rsid w:val="000D0A97"/>
    <w:rsid w:val="000D3E84"/>
    <w:rsid w:val="000D5982"/>
    <w:rsid w:val="000D6B4A"/>
    <w:rsid w:val="000D6C67"/>
    <w:rsid w:val="000E0415"/>
    <w:rsid w:val="000F0347"/>
    <w:rsid w:val="001033CA"/>
    <w:rsid w:val="00103BFC"/>
    <w:rsid w:val="001102E5"/>
    <w:rsid w:val="00111978"/>
    <w:rsid w:val="00115E7C"/>
    <w:rsid w:val="001168D4"/>
    <w:rsid w:val="00117787"/>
    <w:rsid w:val="00120C46"/>
    <w:rsid w:val="00122EBB"/>
    <w:rsid w:val="0012499A"/>
    <w:rsid w:val="00130577"/>
    <w:rsid w:val="00131D42"/>
    <w:rsid w:val="001339B8"/>
    <w:rsid w:val="001344B8"/>
    <w:rsid w:val="001348A5"/>
    <w:rsid w:val="00141242"/>
    <w:rsid w:val="00151F5B"/>
    <w:rsid w:val="00156502"/>
    <w:rsid w:val="00161772"/>
    <w:rsid w:val="00162164"/>
    <w:rsid w:val="00162F4A"/>
    <w:rsid w:val="001633FB"/>
    <w:rsid w:val="00167293"/>
    <w:rsid w:val="00167786"/>
    <w:rsid w:val="001757C5"/>
    <w:rsid w:val="00175C80"/>
    <w:rsid w:val="001777FD"/>
    <w:rsid w:val="00184821"/>
    <w:rsid w:val="00184FCD"/>
    <w:rsid w:val="00187190"/>
    <w:rsid w:val="00191DE4"/>
    <w:rsid w:val="00193CE3"/>
    <w:rsid w:val="00195244"/>
    <w:rsid w:val="00196E35"/>
    <w:rsid w:val="0019773C"/>
    <w:rsid w:val="001A1EAB"/>
    <w:rsid w:val="001A3561"/>
    <w:rsid w:val="001A5D90"/>
    <w:rsid w:val="001A7069"/>
    <w:rsid w:val="001B372A"/>
    <w:rsid w:val="001B4B04"/>
    <w:rsid w:val="001C106A"/>
    <w:rsid w:val="001C3170"/>
    <w:rsid w:val="001C6663"/>
    <w:rsid w:val="001C6C85"/>
    <w:rsid w:val="001C7895"/>
    <w:rsid w:val="001D1A40"/>
    <w:rsid w:val="001D23B4"/>
    <w:rsid w:val="001D26DF"/>
    <w:rsid w:val="001D2FDC"/>
    <w:rsid w:val="001D50B0"/>
    <w:rsid w:val="001E0F45"/>
    <w:rsid w:val="001E4475"/>
    <w:rsid w:val="001F0FE4"/>
    <w:rsid w:val="001F2D76"/>
    <w:rsid w:val="001F6726"/>
    <w:rsid w:val="001F685B"/>
    <w:rsid w:val="001F7CF4"/>
    <w:rsid w:val="00202134"/>
    <w:rsid w:val="00211DE3"/>
    <w:rsid w:val="00211E0B"/>
    <w:rsid w:val="00212394"/>
    <w:rsid w:val="0021321D"/>
    <w:rsid w:val="00213641"/>
    <w:rsid w:val="0021553B"/>
    <w:rsid w:val="00216609"/>
    <w:rsid w:val="00220264"/>
    <w:rsid w:val="00221C03"/>
    <w:rsid w:val="002228EB"/>
    <w:rsid w:val="00227EEF"/>
    <w:rsid w:val="002309A7"/>
    <w:rsid w:val="00230C9D"/>
    <w:rsid w:val="00237406"/>
    <w:rsid w:val="00237785"/>
    <w:rsid w:val="00241466"/>
    <w:rsid w:val="00252AF4"/>
    <w:rsid w:val="0025304C"/>
    <w:rsid w:val="0025405A"/>
    <w:rsid w:val="00255D32"/>
    <w:rsid w:val="00256E52"/>
    <w:rsid w:val="00257360"/>
    <w:rsid w:val="002600C2"/>
    <w:rsid w:val="00262447"/>
    <w:rsid w:val="00264A94"/>
    <w:rsid w:val="00265E8D"/>
    <w:rsid w:val="00267017"/>
    <w:rsid w:val="00267C9C"/>
    <w:rsid w:val="00270B8F"/>
    <w:rsid w:val="00271FCB"/>
    <w:rsid w:val="002725CA"/>
    <w:rsid w:val="00273203"/>
    <w:rsid w:val="00275C6E"/>
    <w:rsid w:val="00280EB7"/>
    <w:rsid w:val="002819DE"/>
    <w:rsid w:val="00284946"/>
    <w:rsid w:val="002857FE"/>
    <w:rsid w:val="00291986"/>
    <w:rsid w:val="00291A8F"/>
    <w:rsid w:val="00294148"/>
    <w:rsid w:val="00295BA7"/>
    <w:rsid w:val="00297A67"/>
    <w:rsid w:val="002A1B21"/>
    <w:rsid w:val="002A3CA8"/>
    <w:rsid w:val="002A3EEC"/>
    <w:rsid w:val="002A46AC"/>
    <w:rsid w:val="002A591C"/>
    <w:rsid w:val="002B0A21"/>
    <w:rsid w:val="002B10FC"/>
    <w:rsid w:val="002B1CDA"/>
    <w:rsid w:val="002B2424"/>
    <w:rsid w:val="002B3EC6"/>
    <w:rsid w:val="002B4976"/>
    <w:rsid w:val="002B66A3"/>
    <w:rsid w:val="002C4E58"/>
    <w:rsid w:val="002C54FE"/>
    <w:rsid w:val="002C5B87"/>
    <w:rsid w:val="002C65AC"/>
    <w:rsid w:val="002C67F8"/>
    <w:rsid w:val="002D21BA"/>
    <w:rsid w:val="002E5A53"/>
    <w:rsid w:val="002E743A"/>
    <w:rsid w:val="002E7D51"/>
    <w:rsid w:val="002F16E1"/>
    <w:rsid w:val="0030371D"/>
    <w:rsid w:val="00305238"/>
    <w:rsid w:val="003107FA"/>
    <w:rsid w:val="00314FCD"/>
    <w:rsid w:val="003176F1"/>
    <w:rsid w:val="003229D8"/>
    <w:rsid w:val="00324304"/>
    <w:rsid w:val="0033029B"/>
    <w:rsid w:val="00337674"/>
    <w:rsid w:val="00337FD0"/>
    <w:rsid w:val="00345F2F"/>
    <w:rsid w:val="00367D01"/>
    <w:rsid w:val="0037333E"/>
    <w:rsid w:val="00374FAA"/>
    <w:rsid w:val="00375F43"/>
    <w:rsid w:val="00385D07"/>
    <w:rsid w:val="00387914"/>
    <w:rsid w:val="00391E40"/>
    <w:rsid w:val="0039277A"/>
    <w:rsid w:val="003972E0"/>
    <w:rsid w:val="003A0282"/>
    <w:rsid w:val="003A0940"/>
    <w:rsid w:val="003A5D8F"/>
    <w:rsid w:val="003A63DE"/>
    <w:rsid w:val="003A6FE2"/>
    <w:rsid w:val="003B0E3E"/>
    <w:rsid w:val="003B1924"/>
    <w:rsid w:val="003B3B04"/>
    <w:rsid w:val="003B5BC9"/>
    <w:rsid w:val="003C12E9"/>
    <w:rsid w:val="003C2CC4"/>
    <w:rsid w:val="003D4B23"/>
    <w:rsid w:val="003D60F7"/>
    <w:rsid w:val="003E2E5D"/>
    <w:rsid w:val="003E6CCC"/>
    <w:rsid w:val="003E7127"/>
    <w:rsid w:val="003F167F"/>
    <w:rsid w:val="003F4FED"/>
    <w:rsid w:val="004041D0"/>
    <w:rsid w:val="004057FC"/>
    <w:rsid w:val="00417C54"/>
    <w:rsid w:val="00421A95"/>
    <w:rsid w:val="00432447"/>
    <w:rsid w:val="004325CB"/>
    <w:rsid w:val="00437846"/>
    <w:rsid w:val="00437F3F"/>
    <w:rsid w:val="00444EA3"/>
    <w:rsid w:val="00446DE4"/>
    <w:rsid w:val="004513F0"/>
    <w:rsid w:val="0045304D"/>
    <w:rsid w:val="004534EC"/>
    <w:rsid w:val="00454036"/>
    <w:rsid w:val="00454F71"/>
    <w:rsid w:val="00455F63"/>
    <w:rsid w:val="004570D1"/>
    <w:rsid w:val="0046672F"/>
    <w:rsid w:val="004729D1"/>
    <w:rsid w:val="0047323A"/>
    <w:rsid w:val="004820A6"/>
    <w:rsid w:val="00484509"/>
    <w:rsid w:val="00486443"/>
    <w:rsid w:val="00490A7A"/>
    <w:rsid w:val="00492614"/>
    <w:rsid w:val="00493F79"/>
    <w:rsid w:val="004960E6"/>
    <w:rsid w:val="004A077A"/>
    <w:rsid w:val="004A641A"/>
    <w:rsid w:val="004A7228"/>
    <w:rsid w:val="004B05A7"/>
    <w:rsid w:val="004B2C9D"/>
    <w:rsid w:val="004B7395"/>
    <w:rsid w:val="004C05DA"/>
    <w:rsid w:val="004C1ADF"/>
    <w:rsid w:val="004C6109"/>
    <w:rsid w:val="004C6B89"/>
    <w:rsid w:val="004C71D5"/>
    <w:rsid w:val="004D15D3"/>
    <w:rsid w:val="004D1FA6"/>
    <w:rsid w:val="004D22F3"/>
    <w:rsid w:val="004D244B"/>
    <w:rsid w:val="004D6346"/>
    <w:rsid w:val="004D676A"/>
    <w:rsid w:val="004E394C"/>
    <w:rsid w:val="004F3FCB"/>
    <w:rsid w:val="005044B6"/>
    <w:rsid w:val="0051448B"/>
    <w:rsid w:val="005160F8"/>
    <w:rsid w:val="00522A8A"/>
    <w:rsid w:val="005233B8"/>
    <w:rsid w:val="0052386A"/>
    <w:rsid w:val="00527910"/>
    <w:rsid w:val="00530BBD"/>
    <w:rsid w:val="00532163"/>
    <w:rsid w:val="005401B2"/>
    <w:rsid w:val="005420F2"/>
    <w:rsid w:val="0054320C"/>
    <w:rsid w:val="00544B88"/>
    <w:rsid w:val="00545A68"/>
    <w:rsid w:val="00546C67"/>
    <w:rsid w:val="00555059"/>
    <w:rsid w:val="005576A2"/>
    <w:rsid w:val="005618E1"/>
    <w:rsid w:val="00563EB6"/>
    <w:rsid w:val="00565275"/>
    <w:rsid w:val="005664A9"/>
    <w:rsid w:val="00571352"/>
    <w:rsid w:val="0058023E"/>
    <w:rsid w:val="00581B32"/>
    <w:rsid w:val="00582E93"/>
    <w:rsid w:val="00584654"/>
    <w:rsid w:val="0058471D"/>
    <w:rsid w:val="00590144"/>
    <w:rsid w:val="005A770B"/>
    <w:rsid w:val="005B3DB3"/>
    <w:rsid w:val="005B621F"/>
    <w:rsid w:val="005C149F"/>
    <w:rsid w:val="005C2F3E"/>
    <w:rsid w:val="005D0641"/>
    <w:rsid w:val="005D5C97"/>
    <w:rsid w:val="005F1E8A"/>
    <w:rsid w:val="005F5804"/>
    <w:rsid w:val="0060091E"/>
    <w:rsid w:val="006017C9"/>
    <w:rsid w:val="00606441"/>
    <w:rsid w:val="0060700C"/>
    <w:rsid w:val="00611FC4"/>
    <w:rsid w:val="00612524"/>
    <w:rsid w:val="00615113"/>
    <w:rsid w:val="006176FB"/>
    <w:rsid w:val="00624A0E"/>
    <w:rsid w:val="00625C64"/>
    <w:rsid w:val="00626968"/>
    <w:rsid w:val="006324AC"/>
    <w:rsid w:val="00633405"/>
    <w:rsid w:val="0063419C"/>
    <w:rsid w:val="00634C2F"/>
    <w:rsid w:val="00635CF4"/>
    <w:rsid w:val="00640B26"/>
    <w:rsid w:val="006418B9"/>
    <w:rsid w:val="0064265A"/>
    <w:rsid w:val="00644CC0"/>
    <w:rsid w:val="006500BA"/>
    <w:rsid w:val="00650C47"/>
    <w:rsid w:val="00657F62"/>
    <w:rsid w:val="0066279A"/>
    <w:rsid w:val="00663EFB"/>
    <w:rsid w:val="00664979"/>
    <w:rsid w:val="00670E29"/>
    <w:rsid w:val="00672767"/>
    <w:rsid w:val="006737C7"/>
    <w:rsid w:val="006744B2"/>
    <w:rsid w:val="006758DA"/>
    <w:rsid w:val="006764D1"/>
    <w:rsid w:val="00684879"/>
    <w:rsid w:val="00685D57"/>
    <w:rsid w:val="00694C02"/>
    <w:rsid w:val="006A025B"/>
    <w:rsid w:val="006A389C"/>
    <w:rsid w:val="006A7392"/>
    <w:rsid w:val="006A7B01"/>
    <w:rsid w:val="006B04F7"/>
    <w:rsid w:val="006B1156"/>
    <w:rsid w:val="006B157F"/>
    <w:rsid w:val="006B38D1"/>
    <w:rsid w:val="006B46FE"/>
    <w:rsid w:val="006C0D34"/>
    <w:rsid w:val="006C329D"/>
    <w:rsid w:val="006C6056"/>
    <w:rsid w:val="006C6884"/>
    <w:rsid w:val="006D12D5"/>
    <w:rsid w:val="006D3366"/>
    <w:rsid w:val="006D5225"/>
    <w:rsid w:val="006E42A8"/>
    <w:rsid w:val="006E4493"/>
    <w:rsid w:val="006E4DD9"/>
    <w:rsid w:val="006E564B"/>
    <w:rsid w:val="006E5C33"/>
    <w:rsid w:val="006F2724"/>
    <w:rsid w:val="006F71FB"/>
    <w:rsid w:val="00702B60"/>
    <w:rsid w:val="00704DBF"/>
    <w:rsid w:val="007078C6"/>
    <w:rsid w:val="00712144"/>
    <w:rsid w:val="0071739D"/>
    <w:rsid w:val="00725476"/>
    <w:rsid w:val="0072593B"/>
    <w:rsid w:val="0072632A"/>
    <w:rsid w:val="00734256"/>
    <w:rsid w:val="00735B34"/>
    <w:rsid w:val="007367D6"/>
    <w:rsid w:val="00740935"/>
    <w:rsid w:val="00740E0F"/>
    <w:rsid w:val="00741191"/>
    <w:rsid w:val="00741499"/>
    <w:rsid w:val="00745209"/>
    <w:rsid w:val="00753114"/>
    <w:rsid w:val="007575F5"/>
    <w:rsid w:val="00762F2A"/>
    <w:rsid w:val="00763522"/>
    <w:rsid w:val="00763C09"/>
    <w:rsid w:val="0076405E"/>
    <w:rsid w:val="00764E9E"/>
    <w:rsid w:val="00765DDF"/>
    <w:rsid w:val="00766298"/>
    <w:rsid w:val="00770E6F"/>
    <w:rsid w:val="00771C45"/>
    <w:rsid w:val="007759E8"/>
    <w:rsid w:val="00776BB6"/>
    <w:rsid w:val="007778B4"/>
    <w:rsid w:val="00783387"/>
    <w:rsid w:val="00790791"/>
    <w:rsid w:val="007A6FFA"/>
    <w:rsid w:val="007B1A7E"/>
    <w:rsid w:val="007B342D"/>
    <w:rsid w:val="007B52DB"/>
    <w:rsid w:val="007B5849"/>
    <w:rsid w:val="007B6BA5"/>
    <w:rsid w:val="007C3390"/>
    <w:rsid w:val="007C38EB"/>
    <w:rsid w:val="007C4F4B"/>
    <w:rsid w:val="007C745B"/>
    <w:rsid w:val="007C77F8"/>
    <w:rsid w:val="007D2AB7"/>
    <w:rsid w:val="007D43B1"/>
    <w:rsid w:val="007E1454"/>
    <w:rsid w:val="007E4FD4"/>
    <w:rsid w:val="007E5A31"/>
    <w:rsid w:val="007F0FB3"/>
    <w:rsid w:val="007F1C6D"/>
    <w:rsid w:val="007F22B0"/>
    <w:rsid w:val="007F438A"/>
    <w:rsid w:val="007F5B49"/>
    <w:rsid w:val="007F6611"/>
    <w:rsid w:val="00800E15"/>
    <w:rsid w:val="00800F48"/>
    <w:rsid w:val="00801182"/>
    <w:rsid w:val="00811FF1"/>
    <w:rsid w:val="00812C0A"/>
    <w:rsid w:val="00814CCA"/>
    <w:rsid w:val="00815A2F"/>
    <w:rsid w:val="00815FD5"/>
    <w:rsid w:val="008175E9"/>
    <w:rsid w:val="00821459"/>
    <w:rsid w:val="00821672"/>
    <w:rsid w:val="00821A3E"/>
    <w:rsid w:val="008242D7"/>
    <w:rsid w:val="0082677B"/>
    <w:rsid w:val="00830015"/>
    <w:rsid w:val="008315FD"/>
    <w:rsid w:val="00833414"/>
    <w:rsid w:val="00834AC8"/>
    <w:rsid w:val="0083561E"/>
    <w:rsid w:val="00837F38"/>
    <w:rsid w:val="00842149"/>
    <w:rsid w:val="008424A8"/>
    <w:rsid w:val="008454BF"/>
    <w:rsid w:val="008467E4"/>
    <w:rsid w:val="008474D0"/>
    <w:rsid w:val="00847E99"/>
    <w:rsid w:val="008540B7"/>
    <w:rsid w:val="0085670E"/>
    <w:rsid w:val="0086261F"/>
    <w:rsid w:val="00863C98"/>
    <w:rsid w:val="00864218"/>
    <w:rsid w:val="00865234"/>
    <w:rsid w:val="00866C98"/>
    <w:rsid w:val="00871FD5"/>
    <w:rsid w:val="00872970"/>
    <w:rsid w:val="00872DD0"/>
    <w:rsid w:val="00881FA0"/>
    <w:rsid w:val="00881FE3"/>
    <w:rsid w:val="0088217A"/>
    <w:rsid w:val="008904B8"/>
    <w:rsid w:val="00892AB6"/>
    <w:rsid w:val="00893711"/>
    <w:rsid w:val="008979B1"/>
    <w:rsid w:val="008A482C"/>
    <w:rsid w:val="008A4A53"/>
    <w:rsid w:val="008A6B25"/>
    <w:rsid w:val="008A6C4F"/>
    <w:rsid w:val="008B2404"/>
    <w:rsid w:val="008B6E2D"/>
    <w:rsid w:val="008C761D"/>
    <w:rsid w:val="008D27AF"/>
    <w:rsid w:val="008D37D5"/>
    <w:rsid w:val="008E0E46"/>
    <w:rsid w:val="008E2354"/>
    <w:rsid w:val="008E3B43"/>
    <w:rsid w:val="008E58AF"/>
    <w:rsid w:val="008E7948"/>
    <w:rsid w:val="008F1AE5"/>
    <w:rsid w:val="008F446D"/>
    <w:rsid w:val="00901E50"/>
    <w:rsid w:val="00903E44"/>
    <w:rsid w:val="0090743F"/>
    <w:rsid w:val="00913EAD"/>
    <w:rsid w:val="0091681F"/>
    <w:rsid w:val="00925F6E"/>
    <w:rsid w:val="00932E07"/>
    <w:rsid w:val="00935FA4"/>
    <w:rsid w:val="00936DD8"/>
    <w:rsid w:val="009376F4"/>
    <w:rsid w:val="00945A5D"/>
    <w:rsid w:val="00945A7F"/>
    <w:rsid w:val="0095385C"/>
    <w:rsid w:val="009606CB"/>
    <w:rsid w:val="00960887"/>
    <w:rsid w:val="00963CBA"/>
    <w:rsid w:val="00964A08"/>
    <w:rsid w:val="00966D12"/>
    <w:rsid w:val="00967793"/>
    <w:rsid w:val="009737F8"/>
    <w:rsid w:val="00974F0E"/>
    <w:rsid w:val="009771BA"/>
    <w:rsid w:val="00980CA7"/>
    <w:rsid w:val="009867FC"/>
    <w:rsid w:val="0099124E"/>
    <w:rsid w:val="00991261"/>
    <w:rsid w:val="009934A8"/>
    <w:rsid w:val="0099569F"/>
    <w:rsid w:val="009A51DA"/>
    <w:rsid w:val="009B2A64"/>
    <w:rsid w:val="009B4FAB"/>
    <w:rsid w:val="009B5C48"/>
    <w:rsid w:val="009D1290"/>
    <w:rsid w:val="009D1AAE"/>
    <w:rsid w:val="009D3F94"/>
    <w:rsid w:val="009D53C7"/>
    <w:rsid w:val="009D60F6"/>
    <w:rsid w:val="009D7B47"/>
    <w:rsid w:val="009E671E"/>
    <w:rsid w:val="009F058B"/>
    <w:rsid w:val="009F0F06"/>
    <w:rsid w:val="009F4303"/>
    <w:rsid w:val="009F58CC"/>
    <w:rsid w:val="009F7667"/>
    <w:rsid w:val="00A01DFE"/>
    <w:rsid w:val="00A02CF2"/>
    <w:rsid w:val="00A1427D"/>
    <w:rsid w:val="00A14DBD"/>
    <w:rsid w:val="00A23F64"/>
    <w:rsid w:val="00A248E3"/>
    <w:rsid w:val="00A2716D"/>
    <w:rsid w:val="00A30E3C"/>
    <w:rsid w:val="00A32E35"/>
    <w:rsid w:val="00A3666C"/>
    <w:rsid w:val="00A417BB"/>
    <w:rsid w:val="00A42EA2"/>
    <w:rsid w:val="00A43587"/>
    <w:rsid w:val="00A47B0C"/>
    <w:rsid w:val="00A56184"/>
    <w:rsid w:val="00A57EF0"/>
    <w:rsid w:val="00A62318"/>
    <w:rsid w:val="00A63A87"/>
    <w:rsid w:val="00A64D61"/>
    <w:rsid w:val="00A72F22"/>
    <w:rsid w:val="00A748A6"/>
    <w:rsid w:val="00A75EC9"/>
    <w:rsid w:val="00A8523D"/>
    <w:rsid w:val="00A879A4"/>
    <w:rsid w:val="00AA5227"/>
    <w:rsid w:val="00AA6228"/>
    <w:rsid w:val="00AB057B"/>
    <w:rsid w:val="00AB315A"/>
    <w:rsid w:val="00AB33D9"/>
    <w:rsid w:val="00AB385E"/>
    <w:rsid w:val="00AB3E44"/>
    <w:rsid w:val="00AB571F"/>
    <w:rsid w:val="00AB5AA7"/>
    <w:rsid w:val="00AC5701"/>
    <w:rsid w:val="00AE47DB"/>
    <w:rsid w:val="00AE4A6A"/>
    <w:rsid w:val="00AE4C73"/>
    <w:rsid w:val="00AE4D5C"/>
    <w:rsid w:val="00AE764E"/>
    <w:rsid w:val="00AF73CE"/>
    <w:rsid w:val="00B102ED"/>
    <w:rsid w:val="00B112D9"/>
    <w:rsid w:val="00B14140"/>
    <w:rsid w:val="00B153C3"/>
    <w:rsid w:val="00B173CE"/>
    <w:rsid w:val="00B20035"/>
    <w:rsid w:val="00B201C5"/>
    <w:rsid w:val="00B20ECC"/>
    <w:rsid w:val="00B2154A"/>
    <w:rsid w:val="00B21C6C"/>
    <w:rsid w:val="00B30179"/>
    <w:rsid w:val="00B30250"/>
    <w:rsid w:val="00B3101E"/>
    <w:rsid w:val="00B3317B"/>
    <w:rsid w:val="00B33F1E"/>
    <w:rsid w:val="00B37029"/>
    <w:rsid w:val="00B410AD"/>
    <w:rsid w:val="00B43846"/>
    <w:rsid w:val="00B44820"/>
    <w:rsid w:val="00B45EC3"/>
    <w:rsid w:val="00B51A01"/>
    <w:rsid w:val="00B53F26"/>
    <w:rsid w:val="00B556BF"/>
    <w:rsid w:val="00B56ACE"/>
    <w:rsid w:val="00B56B78"/>
    <w:rsid w:val="00B60932"/>
    <w:rsid w:val="00B65715"/>
    <w:rsid w:val="00B706C0"/>
    <w:rsid w:val="00B72283"/>
    <w:rsid w:val="00B81E12"/>
    <w:rsid w:val="00B84094"/>
    <w:rsid w:val="00B84232"/>
    <w:rsid w:val="00B84A6A"/>
    <w:rsid w:val="00B93068"/>
    <w:rsid w:val="00B950C4"/>
    <w:rsid w:val="00B9787B"/>
    <w:rsid w:val="00BA5991"/>
    <w:rsid w:val="00BB176D"/>
    <w:rsid w:val="00BC03B3"/>
    <w:rsid w:val="00BC17B5"/>
    <w:rsid w:val="00BC5492"/>
    <w:rsid w:val="00BC74E9"/>
    <w:rsid w:val="00BD1B81"/>
    <w:rsid w:val="00BD2BF0"/>
    <w:rsid w:val="00BD52ED"/>
    <w:rsid w:val="00BD5B57"/>
    <w:rsid w:val="00BE2710"/>
    <w:rsid w:val="00BE3932"/>
    <w:rsid w:val="00BE5222"/>
    <w:rsid w:val="00BE618E"/>
    <w:rsid w:val="00BE674E"/>
    <w:rsid w:val="00BE6EEE"/>
    <w:rsid w:val="00BE716B"/>
    <w:rsid w:val="00BF0E8B"/>
    <w:rsid w:val="00BF1367"/>
    <w:rsid w:val="00C00F60"/>
    <w:rsid w:val="00C01EC5"/>
    <w:rsid w:val="00C0342D"/>
    <w:rsid w:val="00C05F7D"/>
    <w:rsid w:val="00C1021B"/>
    <w:rsid w:val="00C12542"/>
    <w:rsid w:val="00C1402C"/>
    <w:rsid w:val="00C14B84"/>
    <w:rsid w:val="00C20131"/>
    <w:rsid w:val="00C22CE1"/>
    <w:rsid w:val="00C24DDC"/>
    <w:rsid w:val="00C2656B"/>
    <w:rsid w:val="00C269BC"/>
    <w:rsid w:val="00C34242"/>
    <w:rsid w:val="00C34784"/>
    <w:rsid w:val="00C37780"/>
    <w:rsid w:val="00C463DD"/>
    <w:rsid w:val="00C50AAB"/>
    <w:rsid w:val="00C62F76"/>
    <w:rsid w:val="00C662C6"/>
    <w:rsid w:val="00C66BC5"/>
    <w:rsid w:val="00C70DA8"/>
    <w:rsid w:val="00C718B4"/>
    <w:rsid w:val="00C745C3"/>
    <w:rsid w:val="00C80FCC"/>
    <w:rsid w:val="00C91469"/>
    <w:rsid w:val="00C924F2"/>
    <w:rsid w:val="00C92EC4"/>
    <w:rsid w:val="00CA66C1"/>
    <w:rsid w:val="00CC4E48"/>
    <w:rsid w:val="00CD3225"/>
    <w:rsid w:val="00CD4AA2"/>
    <w:rsid w:val="00CD7A04"/>
    <w:rsid w:val="00CE2CC5"/>
    <w:rsid w:val="00CE46BA"/>
    <w:rsid w:val="00CE4A8F"/>
    <w:rsid w:val="00CE60CD"/>
    <w:rsid w:val="00CF73A5"/>
    <w:rsid w:val="00CF7514"/>
    <w:rsid w:val="00D021F1"/>
    <w:rsid w:val="00D02D0D"/>
    <w:rsid w:val="00D16A38"/>
    <w:rsid w:val="00D17B7B"/>
    <w:rsid w:val="00D2031B"/>
    <w:rsid w:val="00D234E4"/>
    <w:rsid w:val="00D2531E"/>
    <w:rsid w:val="00D25FE2"/>
    <w:rsid w:val="00D302B3"/>
    <w:rsid w:val="00D30A99"/>
    <w:rsid w:val="00D35ED2"/>
    <w:rsid w:val="00D374BD"/>
    <w:rsid w:val="00D43252"/>
    <w:rsid w:val="00D4529D"/>
    <w:rsid w:val="00D46231"/>
    <w:rsid w:val="00D511CA"/>
    <w:rsid w:val="00D53910"/>
    <w:rsid w:val="00D6615E"/>
    <w:rsid w:val="00D66780"/>
    <w:rsid w:val="00D73366"/>
    <w:rsid w:val="00D74984"/>
    <w:rsid w:val="00D753D8"/>
    <w:rsid w:val="00D85F26"/>
    <w:rsid w:val="00D96CC5"/>
    <w:rsid w:val="00D96F6B"/>
    <w:rsid w:val="00D978C6"/>
    <w:rsid w:val="00DA051C"/>
    <w:rsid w:val="00DA15E0"/>
    <w:rsid w:val="00DA42D4"/>
    <w:rsid w:val="00DA57CC"/>
    <w:rsid w:val="00DA66FB"/>
    <w:rsid w:val="00DA67AD"/>
    <w:rsid w:val="00DB063B"/>
    <w:rsid w:val="00DB2B8B"/>
    <w:rsid w:val="00DB6BA1"/>
    <w:rsid w:val="00DC0A7B"/>
    <w:rsid w:val="00DD4FE9"/>
    <w:rsid w:val="00DE02F7"/>
    <w:rsid w:val="00DE6FB3"/>
    <w:rsid w:val="00DE7071"/>
    <w:rsid w:val="00DF1C6D"/>
    <w:rsid w:val="00DF5BAE"/>
    <w:rsid w:val="00DF6C0A"/>
    <w:rsid w:val="00E116BE"/>
    <w:rsid w:val="00E130AB"/>
    <w:rsid w:val="00E145C4"/>
    <w:rsid w:val="00E1679E"/>
    <w:rsid w:val="00E21C2A"/>
    <w:rsid w:val="00E21F98"/>
    <w:rsid w:val="00E23775"/>
    <w:rsid w:val="00E26C1D"/>
    <w:rsid w:val="00E312B0"/>
    <w:rsid w:val="00E326FF"/>
    <w:rsid w:val="00E34355"/>
    <w:rsid w:val="00E357F5"/>
    <w:rsid w:val="00E37BD1"/>
    <w:rsid w:val="00E409C8"/>
    <w:rsid w:val="00E429CD"/>
    <w:rsid w:val="00E440AB"/>
    <w:rsid w:val="00E479C9"/>
    <w:rsid w:val="00E52830"/>
    <w:rsid w:val="00E55C1E"/>
    <w:rsid w:val="00E5644E"/>
    <w:rsid w:val="00E57918"/>
    <w:rsid w:val="00E608E2"/>
    <w:rsid w:val="00E60928"/>
    <w:rsid w:val="00E62AEE"/>
    <w:rsid w:val="00E66779"/>
    <w:rsid w:val="00E66E35"/>
    <w:rsid w:val="00E7260F"/>
    <w:rsid w:val="00E761B7"/>
    <w:rsid w:val="00E81230"/>
    <w:rsid w:val="00E827CB"/>
    <w:rsid w:val="00E8535A"/>
    <w:rsid w:val="00E91ACF"/>
    <w:rsid w:val="00E947C8"/>
    <w:rsid w:val="00E96630"/>
    <w:rsid w:val="00E96FCD"/>
    <w:rsid w:val="00EA0882"/>
    <w:rsid w:val="00EA33BC"/>
    <w:rsid w:val="00EA4C3D"/>
    <w:rsid w:val="00EA715E"/>
    <w:rsid w:val="00EA772F"/>
    <w:rsid w:val="00EB14AA"/>
    <w:rsid w:val="00EB1776"/>
    <w:rsid w:val="00EB6832"/>
    <w:rsid w:val="00EB6F20"/>
    <w:rsid w:val="00EC271A"/>
    <w:rsid w:val="00EC60D9"/>
    <w:rsid w:val="00ED2466"/>
    <w:rsid w:val="00ED7A2A"/>
    <w:rsid w:val="00EE07A6"/>
    <w:rsid w:val="00EE16B4"/>
    <w:rsid w:val="00EE56AB"/>
    <w:rsid w:val="00EF1D7F"/>
    <w:rsid w:val="00EF28C5"/>
    <w:rsid w:val="00EF301A"/>
    <w:rsid w:val="00EF7197"/>
    <w:rsid w:val="00F000EB"/>
    <w:rsid w:val="00F03AC7"/>
    <w:rsid w:val="00F045FC"/>
    <w:rsid w:val="00F1363D"/>
    <w:rsid w:val="00F1592A"/>
    <w:rsid w:val="00F169CD"/>
    <w:rsid w:val="00F2344F"/>
    <w:rsid w:val="00F23EFD"/>
    <w:rsid w:val="00F261C2"/>
    <w:rsid w:val="00F32CA8"/>
    <w:rsid w:val="00F341CB"/>
    <w:rsid w:val="00F343F1"/>
    <w:rsid w:val="00F400AF"/>
    <w:rsid w:val="00F40B63"/>
    <w:rsid w:val="00F40E75"/>
    <w:rsid w:val="00F444D8"/>
    <w:rsid w:val="00F47D45"/>
    <w:rsid w:val="00F53328"/>
    <w:rsid w:val="00F54674"/>
    <w:rsid w:val="00F54ED1"/>
    <w:rsid w:val="00F55A88"/>
    <w:rsid w:val="00F64FA8"/>
    <w:rsid w:val="00F668F3"/>
    <w:rsid w:val="00F76BC9"/>
    <w:rsid w:val="00F80DA9"/>
    <w:rsid w:val="00F97B46"/>
    <w:rsid w:val="00F97C88"/>
    <w:rsid w:val="00FB04FB"/>
    <w:rsid w:val="00FB360B"/>
    <w:rsid w:val="00FB3781"/>
    <w:rsid w:val="00FB5D33"/>
    <w:rsid w:val="00FC68B7"/>
    <w:rsid w:val="00FD3014"/>
    <w:rsid w:val="00FD446B"/>
    <w:rsid w:val="00FD6B2B"/>
    <w:rsid w:val="00FD7756"/>
    <w:rsid w:val="00FE1B35"/>
    <w:rsid w:val="00FE4DFC"/>
    <w:rsid w:val="00FE70F9"/>
    <w:rsid w:val="00FE7507"/>
    <w:rsid w:val="00FE755F"/>
    <w:rsid w:val="00FF03BB"/>
    <w:rsid w:val="00FF24D6"/>
    <w:rsid w:val="00FF25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4AD85C"/>
  <w15:docId w15:val="{CCA1071D-F94E-4BD2-95C7-3A676D37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uiPriority w:val="99"/>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 w:type="paragraph" w:customStyle="1" w:styleId="GHSBodyText">
    <w:name w:val="GHSBody Text"/>
    <w:basedOn w:val="BodyText"/>
    <w:link w:val="GHSBodyTextChar"/>
    <w:rsid w:val="00E26C1D"/>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E26C1D"/>
    <w:rPr>
      <w:sz w:val="22"/>
      <w:lang w:eastAsia="en-US"/>
    </w:rPr>
  </w:style>
  <w:style w:type="character" w:customStyle="1" w:styleId="Heading2Char">
    <w:name w:val="Heading 2 Char"/>
    <w:basedOn w:val="DefaultParagraphFont"/>
    <w:link w:val="Heading2"/>
    <w:rsid w:val="0058471D"/>
    <w:rPr>
      <w:lang w:eastAsia="en-US"/>
    </w:rPr>
  </w:style>
  <w:style w:type="paragraph" w:customStyle="1" w:styleId="GHSHeading3">
    <w:name w:val="GHSHeading3"/>
    <w:basedOn w:val="Heading3"/>
    <w:rsid w:val="0058471D"/>
    <w:pPr>
      <w:keepNext/>
      <w:tabs>
        <w:tab w:val="left" w:pos="1418"/>
      </w:tabs>
      <w:suppressAutoHyphens w:val="0"/>
      <w:autoSpaceDE w:val="0"/>
      <w:autoSpaceDN w:val="0"/>
      <w:adjustRightInd w:val="0"/>
    </w:pPr>
    <w:rPr>
      <w:b/>
      <w:bCs/>
      <w:color w:val="000000"/>
      <w:sz w:val="22"/>
      <w:szCs w:val="22"/>
      <w:lang w:eastAsia="fr-FR"/>
    </w:rPr>
  </w:style>
  <w:style w:type="paragraph" w:customStyle="1" w:styleId="StyleGHSHeading410pt">
    <w:name w:val="Style GHSHeading4 + 10 pt"/>
    <w:basedOn w:val="Normal"/>
    <w:rsid w:val="00740935"/>
    <w:pPr>
      <w:keepNext/>
      <w:keepLines/>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b/>
      <w:bCs/>
      <w:color w:val="000000"/>
      <w:szCs w:val="22"/>
      <w:lang w:eastAsia="fr-FR"/>
    </w:rPr>
  </w:style>
  <w:style w:type="character" w:customStyle="1" w:styleId="H1GChar">
    <w:name w:val="_ H_1_G Char"/>
    <w:link w:val="H1G"/>
    <w:rsid w:val="000B602C"/>
    <w:rPr>
      <w:b/>
      <w:sz w:val="24"/>
      <w:lang w:eastAsia="en-US"/>
    </w:rPr>
  </w:style>
  <w:style w:type="table" w:customStyle="1" w:styleId="TableGrid20">
    <w:name w:val="Table Grid2"/>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0">
    <w:name w:val="Table Grid3"/>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0">
    <w:name w:val="Table Grid4"/>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0">
    <w:name w:val="Table Grid5"/>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0">
    <w:name w:val="Table Grid6"/>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0">
    <w:name w:val="Table Grid7"/>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0">
    <w:name w:val="Table Grid8"/>
    <w:basedOn w:val="TableNormal"/>
    <w:next w:val="TableGrid"/>
    <w:semiHidden/>
    <w:rsid w:val="000B602C"/>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M1">
    <w:name w:val="CM1"/>
    <w:basedOn w:val="Default"/>
    <w:next w:val="Default"/>
    <w:uiPriority w:val="99"/>
    <w:rsid w:val="00E66E35"/>
    <w:rPr>
      <w:color w:val="auto"/>
      <w:lang w:val="en-GB" w:eastAsia="en-GB"/>
    </w:rPr>
  </w:style>
  <w:style w:type="paragraph" w:customStyle="1" w:styleId="CM3">
    <w:name w:val="CM3"/>
    <w:basedOn w:val="Default"/>
    <w:next w:val="Default"/>
    <w:uiPriority w:val="99"/>
    <w:rsid w:val="00E66E35"/>
    <w:rPr>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E7F7C-CF69-430A-99A4-BECBD681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1</TotalTime>
  <Pages>3</Pages>
  <Words>1171</Words>
  <Characters>6199</Characters>
  <Application>Microsoft Office Word</Application>
  <DocSecurity>0</DocSecurity>
  <Lines>126</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4</cp:revision>
  <cp:lastPrinted>2018-09-05T07:24:00Z</cp:lastPrinted>
  <dcterms:created xsi:type="dcterms:W3CDTF">2018-09-05T07:14:00Z</dcterms:created>
  <dcterms:modified xsi:type="dcterms:W3CDTF">2018-09-05T07:29:00Z</dcterms:modified>
</cp:coreProperties>
</file>