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AB3D4E">
              <w:rPr>
                <w:b/>
                <w:sz w:val="40"/>
                <w:szCs w:val="40"/>
                <w:lang w:val="fr-CH"/>
              </w:rPr>
              <w:t>4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932FDC">
              <w:rPr>
                <w:b/>
                <w:sz w:val="40"/>
                <w:szCs w:val="40"/>
                <w:lang w:val="fr-CH"/>
              </w:rPr>
              <w:t>52</w:t>
            </w:r>
          </w:p>
          <w:p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1039FD" w:rsidRDefault="00645A0B" w:rsidP="009F5644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932FDC">
              <w:rPr>
                <w:b/>
              </w:rPr>
              <w:t>30</w:t>
            </w:r>
            <w:r w:rsidR="009B025E">
              <w:rPr>
                <w:b/>
              </w:rPr>
              <w:t xml:space="preserve"> Novem</w:t>
            </w:r>
            <w:r w:rsidR="00AB3D4E">
              <w:rPr>
                <w:b/>
              </w:rPr>
              <w:t>ber</w:t>
            </w:r>
            <w:r w:rsidR="00162E11">
              <w:rPr>
                <w:b/>
              </w:rPr>
              <w:t xml:space="preserve"> 2018</w:t>
            </w:r>
          </w:p>
        </w:tc>
      </w:tr>
      <w:tr w:rsidR="00645A0B" w:rsidRPr="001039FD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601C0" w:rsidRDefault="00E601C0" w:rsidP="00E601C0">
            <w:pPr>
              <w:spacing w:before="120"/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AB3D4E">
              <w:rPr>
                <w:b/>
              </w:rPr>
              <w:t>fourth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1039FD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061070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061070">
              <w:rPr>
                <w:bCs/>
              </w:rPr>
              <w:t xml:space="preserve">Geneva, </w:t>
            </w:r>
            <w:r w:rsidR="001B3102" w:rsidRPr="00061070">
              <w:t>2</w:t>
            </w:r>
            <w:r w:rsidR="00AB3D4E">
              <w:t>6</w:t>
            </w:r>
            <w:r w:rsidR="001B3102" w:rsidRPr="00061070">
              <w:t xml:space="preserve"> </w:t>
            </w:r>
            <w:r w:rsidR="00AB3D4E">
              <w:t>November</w:t>
            </w:r>
            <w:r w:rsidR="001B3102" w:rsidRPr="00061070">
              <w:t xml:space="preserve">-4 </w:t>
            </w:r>
            <w:r w:rsidR="00AB3D4E">
              <w:t>December</w:t>
            </w:r>
            <w:r w:rsidR="001B3102" w:rsidRPr="00061070">
              <w:t xml:space="preserve"> 2018</w:t>
            </w:r>
          </w:p>
          <w:p w:rsidR="00645A0B" w:rsidRPr="00061070" w:rsidRDefault="00645A0B" w:rsidP="00EA48C4">
            <w:pPr>
              <w:spacing w:before="40"/>
              <w:ind w:left="34" w:hanging="34"/>
            </w:pPr>
            <w:r w:rsidRPr="00061070">
              <w:t xml:space="preserve">Item </w:t>
            </w:r>
            <w:r w:rsidR="005008C4" w:rsidRPr="00061070">
              <w:t>2</w:t>
            </w:r>
            <w:r w:rsidR="00162E11">
              <w:t xml:space="preserve"> </w:t>
            </w:r>
            <w:r w:rsidR="005008C4" w:rsidRPr="00061070">
              <w:t>(</w:t>
            </w:r>
            <w:r w:rsidR="009F5644">
              <w:t>f</w:t>
            </w:r>
            <w:r w:rsidR="005008C4" w:rsidRPr="00061070">
              <w:t>)</w:t>
            </w:r>
            <w:r w:rsidRPr="00061070">
              <w:t xml:space="preserve"> of the provisional agenda</w:t>
            </w:r>
          </w:p>
          <w:p w:rsidR="00645A0B" w:rsidRPr="001039FD" w:rsidRDefault="00AB3D4E" w:rsidP="009F5644">
            <w:pPr>
              <w:spacing w:before="40"/>
              <w:ind w:left="34" w:hanging="34"/>
              <w:rPr>
                <w:b/>
                <w:bCs/>
              </w:rPr>
            </w:pPr>
            <w:r>
              <w:rPr>
                <w:b/>
              </w:rPr>
              <w:t xml:space="preserve">Recommendations made by the Sub-Committee on its fifty-first, fifty-second and fifty-third sessions and pending issues: </w:t>
            </w:r>
            <w:r w:rsidR="009F5644">
              <w:rPr>
                <w:b/>
              </w:rPr>
              <w:t>pending issues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1039FD" w:rsidRDefault="00645A0B" w:rsidP="009C31D5">
            <w:pPr>
              <w:spacing w:before="40"/>
              <w:rPr>
                <w:b/>
                <w:bCs/>
              </w:rPr>
            </w:pPr>
          </w:p>
        </w:tc>
      </w:tr>
    </w:tbl>
    <w:p w:rsidR="002D7C1C" w:rsidRPr="000B0DE2" w:rsidRDefault="002D7C1C" w:rsidP="002D7C1C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A2735">
        <w:rPr>
          <w:lang w:val="en-US"/>
        </w:rPr>
        <w:t>Follow</w:t>
      </w:r>
      <w:r>
        <w:t xml:space="preserve">-up to </w:t>
      </w:r>
      <w:r>
        <w:rPr>
          <w:lang w:val="fr-CH"/>
        </w:rPr>
        <w:t>ST/SG/AC.10/C.3/</w:t>
      </w:r>
      <w:r>
        <w:t>2018/</w:t>
      </w:r>
      <w:r>
        <w:rPr>
          <w:lang w:val="en-US"/>
        </w:rPr>
        <w:t>109</w:t>
      </w:r>
      <w:r w:rsidR="009A2735">
        <w:rPr>
          <w:lang w:val="en-US"/>
        </w:rPr>
        <w:t xml:space="preserve"> and </w:t>
      </w:r>
      <w:r w:rsidR="009A2735">
        <w:rPr>
          <w:lang w:val="fr-CH"/>
        </w:rPr>
        <w:t>ST/SG/AC.10/C.3/</w:t>
      </w:r>
      <w:r w:rsidR="009A2735">
        <w:t>2018/</w:t>
      </w:r>
      <w:r w:rsidR="009A2735">
        <w:rPr>
          <w:lang w:val="en-US"/>
        </w:rPr>
        <w:t>118</w:t>
      </w:r>
    </w:p>
    <w:p w:rsidR="002D7C1C" w:rsidRPr="007B2B1F" w:rsidRDefault="002D7C1C" w:rsidP="002D7C1C">
      <w:pPr>
        <w:pStyle w:val="H1G"/>
        <w:jc w:val="both"/>
      </w:pPr>
      <w:r w:rsidRPr="007B2B1F">
        <w:tab/>
      </w:r>
      <w:r w:rsidRPr="007B2B1F">
        <w:tab/>
        <w:t xml:space="preserve">Transmitted by the </w:t>
      </w:r>
      <w:r>
        <w:t>expert from the Netherlands</w:t>
      </w:r>
    </w:p>
    <w:p w:rsidR="002D7C1C" w:rsidRPr="0056723B" w:rsidRDefault="002D7C1C" w:rsidP="002D7C1C">
      <w:pPr>
        <w:pStyle w:val="HChG"/>
        <w:ind w:firstLine="0"/>
        <w:rPr>
          <w:lang w:val="en-US"/>
        </w:rPr>
      </w:pPr>
      <w:r w:rsidRPr="001F50AE">
        <w:t>Introduction</w:t>
      </w:r>
    </w:p>
    <w:p w:rsidR="002D7C1C" w:rsidRDefault="00B421E9" w:rsidP="00644228">
      <w:pPr>
        <w:pStyle w:val="SingleTxtG"/>
        <w:rPr>
          <w:lang w:val="en-US"/>
        </w:rPr>
      </w:pPr>
      <w:r>
        <w:rPr>
          <w:lang w:val="en-US"/>
        </w:rPr>
        <w:t>1.</w:t>
      </w:r>
      <w:r w:rsidR="002D7C1C">
        <w:rPr>
          <w:lang w:val="en-US"/>
        </w:rPr>
        <w:tab/>
      </w:r>
      <w:r w:rsidR="00644228">
        <w:rPr>
          <w:lang w:val="en-US"/>
        </w:rPr>
        <w:t xml:space="preserve">The experts of the Netherlands thanks all of those that provided remarks on document </w:t>
      </w:r>
      <w:r w:rsidR="00932FDC">
        <w:rPr>
          <w:lang w:val="en-US"/>
        </w:rPr>
        <w:t>ST/SG/AC.10/C.3/</w:t>
      </w:r>
      <w:r w:rsidR="00644228">
        <w:rPr>
          <w:lang w:val="en-US"/>
        </w:rPr>
        <w:t>2018/109. Based on the discussions, the expert of the Netherlands has upda</w:t>
      </w:r>
      <w:r w:rsidR="009A2735">
        <w:rPr>
          <w:lang w:val="en-US"/>
        </w:rPr>
        <w:t xml:space="preserve">ted the proposal in 2018/109 as shown in paragraphs </w:t>
      </w:r>
      <w:r w:rsidR="00C67A28">
        <w:rPr>
          <w:lang w:val="en-US"/>
        </w:rPr>
        <w:t>3</w:t>
      </w:r>
      <w:r w:rsidR="009A2735">
        <w:rPr>
          <w:lang w:val="en-US"/>
        </w:rPr>
        <w:t xml:space="preserve"> and </w:t>
      </w:r>
      <w:r w:rsidR="00C67A28">
        <w:rPr>
          <w:lang w:val="en-US"/>
        </w:rPr>
        <w:t>4</w:t>
      </w:r>
      <w:r w:rsidR="009A2735">
        <w:rPr>
          <w:lang w:val="en-US"/>
        </w:rPr>
        <w:t>.</w:t>
      </w:r>
    </w:p>
    <w:p w:rsidR="009A2735" w:rsidRPr="00C67A28" w:rsidRDefault="009A2735" w:rsidP="00C67A28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9A2330">
        <w:rPr>
          <w:lang w:val="en-US"/>
        </w:rPr>
        <w:t xml:space="preserve">Furthermore, </w:t>
      </w:r>
      <w:r w:rsidR="00B421E9">
        <w:rPr>
          <w:lang w:val="en-US"/>
        </w:rPr>
        <w:t xml:space="preserve">the French and the Swiss delegations have worked out a solution to the inconsistencies in terminology use in section 1.1.1.2 </w:t>
      </w:r>
      <w:r w:rsidR="00367667">
        <w:rPr>
          <w:lang w:val="en-US"/>
        </w:rPr>
        <w:t>between</w:t>
      </w:r>
      <w:r w:rsidR="00B421E9">
        <w:rPr>
          <w:lang w:val="en-US"/>
        </w:rPr>
        <w:t xml:space="preserve"> the English and French language versions discussed in document 2018/118</w:t>
      </w:r>
      <w:r w:rsidR="00367667">
        <w:rPr>
          <w:lang w:val="en-US"/>
        </w:rPr>
        <w:t>.</w:t>
      </w:r>
      <w:r w:rsidR="00B421E9">
        <w:rPr>
          <w:lang w:val="en-US"/>
        </w:rPr>
        <w:t xml:space="preserve"> P</w:t>
      </w:r>
      <w:r w:rsidR="00C67A28">
        <w:rPr>
          <w:lang w:val="en-US"/>
        </w:rPr>
        <w:t>aragraph</w:t>
      </w:r>
      <w:r w:rsidR="00B421E9">
        <w:rPr>
          <w:lang w:val="en-US"/>
        </w:rPr>
        <w:t>s</w:t>
      </w:r>
      <w:r w:rsidR="00C67A28">
        <w:rPr>
          <w:lang w:val="en-US"/>
        </w:rPr>
        <w:t xml:space="preserve"> 5</w:t>
      </w:r>
      <w:r w:rsidR="00B421E9">
        <w:rPr>
          <w:lang w:val="en-US"/>
        </w:rPr>
        <w:t xml:space="preserve"> and</w:t>
      </w:r>
      <w:r w:rsidR="00C67A28">
        <w:rPr>
          <w:lang w:val="en-US"/>
        </w:rPr>
        <w:t xml:space="preserve"> </w:t>
      </w:r>
      <w:r w:rsidR="00B421E9">
        <w:rPr>
          <w:lang w:val="en-US"/>
        </w:rPr>
        <w:t xml:space="preserve">6 </w:t>
      </w:r>
      <w:r w:rsidR="00367667">
        <w:rPr>
          <w:lang w:val="en-US"/>
        </w:rPr>
        <w:t>contain</w:t>
      </w:r>
      <w:r w:rsidR="00C67A28">
        <w:rPr>
          <w:lang w:val="en-US"/>
        </w:rPr>
        <w:t xml:space="preserve"> a proposal</w:t>
      </w:r>
      <w:r w:rsidR="00B421E9">
        <w:rPr>
          <w:lang w:val="en-US"/>
        </w:rPr>
        <w:t xml:space="preserve"> for alignment</w:t>
      </w:r>
      <w:r w:rsidR="00367667">
        <w:rPr>
          <w:lang w:val="en-US"/>
        </w:rPr>
        <w:t xml:space="preserve"> between the language versions and the required consequential amendments.</w:t>
      </w:r>
    </w:p>
    <w:p w:rsidR="005147A9" w:rsidRDefault="00932FDC" w:rsidP="00932FDC">
      <w:pPr>
        <w:pStyle w:val="HChG"/>
        <w:rPr>
          <w:lang w:val="en-US"/>
        </w:rPr>
      </w:pPr>
      <w:r>
        <w:tab/>
      </w:r>
      <w:r>
        <w:tab/>
      </w:r>
      <w:r w:rsidR="002D7C1C" w:rsidRPr="00932FDC">
        <w:t>Proposal</w:t>
      </w:r>
    </w:p>
    <w:p w:rsidR="00B421E9" w:rsidRPr="00B421E9" w:rsidRDefault="00932FDC" w:rsidP="00932FDC">
      <w:pPr>
        <w:pStyle w:val="H1G"/>
        <w:rPr>
          <w:lang w:val="en-US"/>
        </w:rPr>
      </w:pPr>
      <w:r>
        <w:tab/>
      </w:r>
      <w:r>
        <w:tab/>
      </w:r>
      <w:r w:rsidR="00B421E9">
        <w:t xml:space="preserve">Provisions for data loggers </w:t>
      </w:r>
    </w:p>
    <w:p w:rsidR="005147A9" w:rsidRDefault="00C67A28" w:rsidP="002D7C1C">
      <w:pPr>
        <w:pStyle w:val="SingleTxtG"/>
        <w:rPr>
          <w:lang w:val="en-US"/>
        </w:rPr>
      </w:pPr>
      <w:r>
        <w:rPr>
          <w:lang w:val="en-US"/>
        </w:rPr>
        <w:t>3</w:t>
      </w:r>
      <w:r w:rsidR="005147A9">
        <w:rPr>
          <w:lang w:val="en-US"/>
        </w:rPr>
        <w:t>.</w:t>
      </w:r>
      <w:r w:rsidR="005147A9">
        <w:rPr>
          <w:lang w:val="en-US"/>
        </w:rPr>
        <w:tab/>
      </w:r>
      <w:r w:rsidR="00AE28A6">
        <w:rPr>
          <w:lang w:val="en-US"/>
        </w:rPr>
        <w:t xml:space="preserve">Proposal 1: </w:t>
      </w:r>
      <w:r w:rsidR="005147A9">
        <w:rPr>
          <w:lang w:val="en-US"/>
        </w:rPr>
        <w:t xml:space="preserve">Add a </w:t>
      </w:r>
      <w:r w:rsidR="002D7C1C">
        <w:rPr>
          <w:lang w:val="en-US"/>
        </w:rPr>
        <w:t xml:space="preserve">new </w:t>
      </w:r>
      <w:r w:rsidR="005147A9">
        <w:rPr>
          <w:lang w:val="en-US"/>
        </w:rPr>
        <w:t xml:space="preserve">note </w:t>
      </w:r>
      <w:r w:rsidR="002D7C1C">
        <w:rPr>
          <w:lang w:val="en-US"/>
        </w:rPr>
        <w:t xml:space="preserve">4 </w:t>
      </w:r>
      <w:r w:rsidR="005147A9">
        <w:rPr>
          <w:lang w:val="en-US"/>
        </w:rPr>
        <w:t>to 1.1.1.2</w:t>
      </w:r>
      <w:r w:rsidR="002D7C1C">
        <w:rPr>
          <w:lang w:val="en-US"/>
        </w:rPr>
        <w:t>:</w:t>
      </w:r>
    </w:p>
    <w:p w:rsidR="005147A9" w:rsidRDefault="00E84762" w:rsidP="00932FDC">
      <w:pPr>
        <w:pStyle w:val="SingleTxtG"/>
        <w:ind w:left="1701"/>
        <w:rPr>
          <w:lang w:val="en-US"/>
        </w:rPr>
      </w:pPr>
      <w:r>
        <w:rPr>
          <w:lang w:val="en-US"/>
        </w:rPr>
        <w:t>NOTE 4: For d</w:t>
      </w:r>
      <w:r w:rsidRPr="00E84762">
        <w:rPr>
          <w:lang w:val="en-US"/>
        </w:rPr>
        <w:t xml:space="preserve">angerous goods in equipment </w:t>
      </w:r>
      <w:r w:rsidRPr="00E84762">
        <w:t xml:space="preserve">in use </w:t>
      </w:r>
      <w:r w:rsidRPr="00E84762">
        <w:rPr>
          <w:lang w:val="en-US"/>
        </w:rPr>
        <w:t xml:space="preserve">or intended for use </w:t>
      </w:r>
      <w:r w:rsidRPr="00E84762">
        <w:t>during transport</w:t>
      </w:r>
      <w:r w:rsidR="007E03D6" w:rsidRPr="00E84762">
        <w:rPr>
          <w:lang w:val="en-US"/>
        </w:rPr>
        <w:t>,</w:t>
      </w:r>
      <w:r w:rsidR="005147A9" w:rsidRPr="00E84762">
        <w:rPr>
          <w:lang w:val="en-US"/>
        </w:rPr>
        <w:t xml:space="preserve"> see</w:t>
      </w:r>
      <w:r w:rsidR="005147A9">
        <w:rPr>
          <w:lang w:val="en-US"/>
        </w:rPr>
        <w:t xml:space="preserve"> 5.5.4</w:t>
      </w:r>
      <w:r w:rsidR="006B77D6">
        <w:rPr>
          <w:lang w:val="en-US"/>
        </w:rPr>
        <w:t>.</w:t>
      </w:r>
    </w:p>
    <w:p w:rsidR="005147A9" w:rsidRPr="00504251" w:rsidRDefault="00C67A28" w:rsidP="002D7C1C">
      <w:pPr>
        <w:pStyle w:val="SingleTxtG"/>
        <w:rPr>
          <w:lang w:val="en-US"/>
        </w:rPr>
      </w:pPr>
      <w:r>
        <w:rPr>
          <w:lang w:val="en-US"/>
        </w:rPr>
        <w:t>4</w:t>
      </w:r>
      <w:r w:rsidR="006B77D6">
        <w:rPr>
          <w:lang w:val="en-US"/>
        </w:rPr>
        <w:t>.</w:t>
      </w:r>
      <w:r w:rsidR="006B77D6">
        <w:rPr>
          <w:lang w:val="en-US"/>
        </w:rPr>
        <w:tab/>
      </w:r>
      <w:r w:rsidR="00B421E9">
        <w:rPr>
          <w:lang w:val="en-US"/>
        </w:rPr>
        <w:t xml:space="preserve">Proposal 2: </w:t>
      </w:r>
      <w:r w:rsidR="006B77D6">
        <w:rPr>
          <w:lang w:val="en-US"/>
        </w:rPr>
        <w:t>Add a new paragraph 5.5.4</w:t>
      </w:r>
      <w:r w:rsidR="00761C58">
        <w:rPr>
          <w:lang w:val="en-US"/>
        </w:rPr>
        <w:t>:</w:t>
      </w:r>
      <w:r w:rsidR="006B77D6">
        <w:rPr>
          <w:lang w:val="en-US"/>
        </w:rPr>
        <w:tab/>
      </w:r>
    </w:p>
    <w:p w:rsidR="0068040D" w:rsidRPr="00115F90" w:rsidRDefault="0068040D" w:rsidP="00932FDC">
      <w:pPr>
        <w:pStyle w:val="SingleTxtG"/>
        <w:ind w:left="1701"/>
      </w:pPr>
      <w:r w:rsidRPr="00504251">
        <w:t>“</w:t>
      </w:r>
      <w:r w:rsidRPr="00504251">
        <w:rPr>
          <w:b/>
          <w:lang w:val="en-US"/>
        </w:rPr>
        <w:t>5.5.4</w:t>
      </w:r>
      <w:r w:rsidRPr="00504251">
        <w:rPr>
          <w:b/>
        </w:rPr>
        <w:tab/>
      </w:r>
      <w:r w:rsidR="00E84762">
        <w:rPr>
          <w:b/>
          <w:lang w:val="en-US"/>
        </w:rPr>
        <w:t xml:space="preserve">Dangerous goods in equipment </w:t>
      </w:r>
      <w:r w:rsidRPr="00504251">
        <w:rPr>
          <w:b/>
        </w:rPr>
        <w:t xml:space="preserve">in use </w:t>
      </w:r>
      <w:r w:rsidR="00E84762">
        <w:rPr>
          <w:b/>
          <w:lang w:val="en-US"/>
        </w:rPr>
        <w:t xml:space="preserve">or intended for use </w:t>
      </w:r>
      <w:r w:rsidRPr="00504251">
        <w:rPr>
          <w:b/>
        </w:rPr>
        <w:t>during transport</w:t>
      </w:r>
    </w:p>
    <w:p w:rsidR="009A2735" w:rsidRPr="00E84762" w:rsidRDefault="009A2330" w:rsidP="00932FDC">
      <w:pPr>
        <w:pStyle w:val="SingleTxtG"/>
        <w:ind w:left="1701"/>
      </w:pPr>
      <w:r>
        <w:t>Dangerous goods</w:t>
      </w:r>
      <w:r w:rsidR="009A2735" w:rsidRPr="00E84762">
        <w:t xml:space="preserve"> </w:t>
      </w:r>
      <w:r w:rsidR="00DF59D0" w:rsidRPr="00E84762">
        <w:t>(</w:t>
      </w:r>
      <w:r w:rsidR="009A2735" w:rsidRPr="00E84762">
        <w:t>e.g. lithium batteries, fuel cell cartridges</w:t>
      </w:r>
      <w:r w:rsidR="00DF59D0" w:rsidRPr="00E84762">
        <w:t>)</w:t>
      </w:r>
      <w:r w:rsidR="009A2735" w:rsidRPr="00E84762">
        <w:t>, contained in equipment such as data loggers and cargo tracking devices, attached to or placed i</w:t>
      </w:r>
      <w:r w:rsidR="00E84762">
        <w:t>n packages, overpacks,</w:t>
      </w:r>
      <w:r w:rsidR="009A2735" w:rsidRPr="00E84762">
        <w:t xml:space="preserve"> </w:t>
      </w:r>
      <w:r w:rsidR="00DF59D0" w:rsidRPr="00E84762">
        <w:t xml:space="preserve">containers or load compartments </w:t>
      </w:r>
      <w:r w:rsidR="009A2735" w:rsidRPr="00E84762">
        <w:t xml:space="preserve">are not subject to any other provisions of these Regulations </w:t>
      </w:r>
      <w:r w:rsidR="00E84762">
        <w:t>than the following</w:t>
      </w:r>
      <w:r w:rsidR="009A2735" w:rsidRPr="00E84762">
        <w:t>:</w:t>
      </w:r>
    </w:p>
    <w:p w:rsidR="009A2735" w:rsidRPr="00E84762" w:rsidRDefault="009A2735" w:rsidP="00932FDC">
      <w:pPr>
        <w:pStyle w:val="SingleTxtG"/>
        <w:numPr>
          <w:ilvl w:val="0"/>
          <w:numId w:val="20"/>
        </w:numPr>
        <w:ind w:left="2268" w:hanging="567"/>
      </w:pPr>
      <w:r w:rsidRPr="00E84762">
        <w:t xml:space="preserve">the equipment shall be in use or intended for use during transport; </w:t>
      </w:r>
    </w:p>
    <w:p w:rsidR="009A2735" w:rsidRPr="00E84762" w:rsidRDefault="009A2735" w:rsidP="00932FDC">
      <w:pPr>
        <w:pStyle w:val="SingleTxtG"/>
        <w:numPr>
          <w:ilvl w:val="0"/>
          <w:numId w:val="20"/>
        </w:numPr>
        <w:ind w:left="1701" w:firstLine="0"/>
      </w:pPr>
      <w:r w:rsidRPr="00E84762">
        <w:t xml:space="preserve">the </w:t>
      </w:r>
      <w:r w:rsidR="00E84762">
        <w:t xml:space="preserve">contained dangerous goods (e.g. </w:t>
      </w:r>
      <w:r w:rsidRPr="00E84762">
        <w:t>lithium batteries</w:t>
      </w:r>
      <w:r w:rsidR="00E84762">
        <w:t xml:space="preserve">) </w:t>
      </w:r>
      <w:r w:rsidRPr="00E84762">
        <w:t>shall meet the applicable construction and test requirements specified in these Regulations; and</w:t>
      </w:r>
    </w:p>
    <w:p w:rsidR="009A2735" w:rsidRPr="00E84762" w:rsidRDefault="009A2735" w:rsidP="00932FDC">
      <w:pPr>
        <w:pStyle w:val="SingleTxtG"/>
        <w:numPr>
          <w:ilvl w:val="0"/>
          <w:numId w:val="20"/>
        </w:numPr>
        <w:ind w:left="1701" w:firstLine="0"/>
      </w:pPr>
      <w:r w:rsidRPr="00E84762">
        <w:t>the equipment shall be capable of withstanding the shocks and loading</w:t>
      </w:r>
      <w:r w:rsidR="009A2330">
        <w:t>s</w:t>
      </w:r>
      <w:r w:rsidRPr="00E84762">
        <w:t xml:space="preserve"> normally encountered during transport.</w:t>
      </w:r>
    </w:p>
    <w:p w:rsidR="00E84762" w:rsidRDefault="00E84762" w:rsidP="00932FDC">
      <w:pPr>
        <w:pStyle w:val="SingleTxtG"/>
        <w:ind w:left="1701"/>
      </w:pPr>
      <w:r w:rsidRPr="00E84762">
        <w:t>When such equipment</w:t>
      </w:r>
      <w:r>
        <w:t xml:space="preserve"> containing dangerous goods </w:t>
      </w:r>
      <w:r w:rsidRPr="00E84762">
        <w:t>is transported as a consignment, the relevant entry of the Dangerous Goods List in Chapter 3.2 shall be used.”</w:t>
      </w:r>
    </w:p>
    <w:p w:rsidR="00B421E9" w:rsidRDefault="00932FDC" w:rsidP="00932FDC">
      <w:pPr>
        <w:pStyle w:val="H1G"/>
      </w:pPr>
      <w:r>
        <w:lastRenderedPageBreak/>
        <w:tab/>
      </w:r>
      <w:r>
        <w:tab/>
      </w:r>
      <w:r w:rsidR="00E53BD8">
        <w:t>T</w:t>
      </w:r>
      <w:r w:rsidR="00B421E9">
        <w:t>he French translation of «means of transport»</w:t>
      </w:r>
    </w:p>
    <w:p w:rsidR="00B421E9" w:rsidRPr="00B421E9" w:rsidRDefault="00B421E9" w:rsidP="00B421E9">
      <w:pPr>
        <w:spacing w:after="120"/>
        <w:ind w:left="1134"/>
        <w:rPr>
          <w:bCs/>
        </w:rPr>
      </w:pPr>
      <w:r w:rsidRPr="00B421E9">
        <w:rPr>
          <w:bCs/>
        </w:rPr>
        <w:t>5.</w:t>
      </w:r>
      <w:r w:rsidRPr="00B421E9">
        <w:rPr>
          <w:bCs/>
        </w:rPr>
        <w:tab/>
        <w:t xml:space="preserve">Proposal </w:t>
      </w:r>
      <w:r>
        <w:rPr>
          <w:bCs/>
        </w:rPr>
        <w:t>3</w:t>
      </w:r>
      <w:r w:rsidR="00761C58">
        <w:rPr>
          <w:bCs/>
        </w:rPr>
        <w:t>:</w:t>
      </w:r>
    </w:p>
    <w:p w:rsidR="00367667" w:rsidRDefault="00E53BD8" w:rsidP="00932FDC">
      <w:pPr>
        <w:tabs>
          <w:tab w:val="left" w:pos="2694"/>
        </w:tabs>
        <w:spacing w:after="120"/>
        <w:ind w:left="1701"/>
      </w:pPr>
      <w:r>
        <w:t>In the Model Regulatio</w:t>
      </w:r>
      <w:bookmarkStart w:id="0" w:name="_GoBack"/>
      <w:bookmarkEnd w:id="0"/>
      <w:r>
        <w:t xml:space="preserve">ns, </w:t>
      </w:r>
    </w:p>
    <w:p w:rsidR="00B421E9" w:rsidRPr="00B421E9" w:rsidRDefault="00E53BD8" w:rsidP="00932FDC">
      <w:pPr>
        <w:tabs>
          <w:tab w:val="left" w:pos="2694"/>
        </w:tabs>
        <w:spacing w:after="120"/>
        <w:ind w:left="1701"/>
      </w:pPr>
      <w:r>
        <w:t>r</w:t>
      </w:r>
      <w:r w:rsidR="00B421E9">
        <w:t>eplace the words</w:t>
      </w:r>
      <w:r w:rsidR="00932FDC">
        <w:t xml:space="preserve"> </w:t>
      </w:r>
      <w:r w:rsidR="00932FDC">
        <w:tab/>
      </w:r>
      <w:r w:rsidR="00B421E9" w:rsidRPr="00B421E9">
        <w:t>« </w:t>
      </w:r>
      <w:proofErr w:type="spellStart"/>
      <w:r w:rsidR="00B421E9" w:rsidRPr="00B421E9">
        <w:rPr>
          <w:u w:val="single"/>
        </w:rPr>
        <w:t>engins</w:t>
      </w:r>
      <w:proofErr w:type="spellEnd"/>
      <w:r w:rsidR="00B421E9" w:rsidRPr="00B421E9">
        <w:rPr>
          <w:u w:val="single"/>
        </w:rPr>
        <w:t xml:space="preserve"> de transport »</w:t>
      </w:r>
      <w:r>
        <w:t xml:space="preserve"> in 1.1.1.2 (a)</w:t>
      </w:r>
      <w:r w:rsidR="00F00ECF">
        <w:t>,</w:t>
      </w:r>
      <w:r>
        <w:t xml:space="preserve"> and </w:t>
      </w:r>
    </w:p>
    <w:p w:rsidR="00B421E9" w:rsidRPr="00B421E9" w:rsidRDefault="00367667" w:rsidP="00932FDC">
      <w:pPr>
        <w:tabs>
          <w:tab w:val="left" w:pos="2694"/>
        </w:tabs>
        <w:spacing w:after="120"/>
        <w:ind w:left="1701"/>
      </w:pPr>
      <w:r>
        <w:tab/>
      </w:r>
      <w:r w:rsidR="00932FDC">
        <w:tab/>
      </w:r>
      <w:r w:rsidR="00932FDC">
        <w:tab/>
      </w:r>
      <w:r w:rsidR="00B421E9" w:rsidRPr="00B421E9">
        <w:t>« </w:t>
      </w:r>
      <w:proofErr w:type="spellStart"/>
      <w:r w:rsidR="00B421E9" w:rsidRPr="00B421E9">
        <w:rPr>
          <w:u w:val="single"/>
        </w:rPr>
        <w:t>moyens</w:t>
      </w:r>
      <w:proofErr w:type="spellEnd"/>
      <w:r w:rsidR="00B421E9" w:rsidRPr="00B421E9">
        <w:rPr>
          <w:u w:val="single"/>
        </w:rPr>
        <w:t xml:space="preserve"> de transport »</w:t>
      </w:r>
      <w:r w:rsidR="00B421E9" w:rsidRPr="00B421E9">
        <w:t xml:space="preserve"> in Note 3 to 1.1.1.2</w:t>
      </w:r>
    </w:p>
    <w:p w:rsidR="00B421E9" w:rsidRPr="00B421E9" w:rsidRDefault="00B421E9" w:rsidP="00932FDC">
      <w:pPr>
        <w:tabs>
          <w:tab w:val="left" w:pos="2694"/>
        </w:tabs>
        <w:spacing w:after="120"/>
        <w:ind w:left="1701"/>
      </w:pPr>
      <w:r w:rsidRPr="00B421E9">
        <w:t>with the words</w:t>
      </w:r>
      <w:r w:rsidR="00367667">
        <w:t xml:space="preserve">     </w:t>
      </w:r>
      <w:r w:rsidR="00367667" w:rsidRPr="00367667">
        <w:t xml:space="preserve"> </w:t>
      </w:r>
      <w:r w:rsidR="00367667">
        <w:tab/>
      </w:r>
      <w:r w:rsidRPr="00B421E9">
        <w:rPr>
          <w:u w:val="single"/>
        </w:rPr>
        <w:t>« </w:t>
      </w:r>
      <w:proofErr w:type="spellStart"/>
      <w:r w:rsidRPr="00B421E9">
        <w:rPr>
          <w:u w:val="single"/>
        </w:rPr>
        <w:t>matériels</w:t>
      </w:r>
      <w:proofErr w:type="spellEnd"/>
      <w:r w:rsidRPr="00B421E9">
        <w:rPr>
          <w:u w:val="single"/>
        </w:rPr>
        <w:t xml:space="preserve"> de transport »</w:t>
      </w:r>
      <w:r w:rsidRPr="00B421E9">
        <w:t xml:space="preserve">. </w:t>
      </w:r>
    </w:p>
    <w:p w:rsidR="00B421E9" w:rsidRPr="00B421E9" w:rsidRDefault="00B421E9" w:rsidP="00367667">
      <w:pPr>
        <w:tabs>
          <w:tab w:val="left" w:pos="2694"/>
        </w:tabs>
        <w:spacing w:after="120"/>
        <w:ind w:left="2552"/>
        <w:rPr>
          <w:b/>
          <w:bCs/>
        </w:rPr>
      </w:pPr>
    </w:p>
    <w:p w:rsidR="00B421E9" w:rsidRPr="00B421E9" w:rsidRDefault="00B421E9" w:rsidP="00367667">
      <w:pPr>
        <w:spacing w:after="120"/>
        <w:ind w:firstLine="1134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Pr="00B421E9">
        <w:rPr>
          <w:bCs/>
        </w:rPr>
        <w:t xml:space="preserve">Proposal </w:t>
      </w:r>
      <w:r>
        <w:rPr>
          <w:bCs/>
        </w:rPr>
        <w:t>4</w:t>
      </w:r>
      <w:r w:rsidR="00761C58">
        <w:rPr>
          <w:bCs/>
        </w:rPr>
        <w:t>:</w:t>
      </w:r>
    </w:p>
    <w:p w:rsidR="00367667" w:rsidRDefault="00367667" w:rsidP="00932FDC">
      <w:pPr>
        <w:pStyle w:val="SingleTxtG"/>
      </w:pPr>
      <w:r>
        <w:t>I</w:t>
      </w:r>
      <w:r w:rsidRPr="00B421E9">
        <w:t xml:space="preserve">n the Model </w:t>
      </w:r>
      <w:r>
        <w:t>Regulations</w:t>
      </w:r>
      <w:r w:rsidRPr="00B421E9">
        <w:t xml:space="preserve"> in introductory NOTE </w:t>
      </w:r>
      <w:r>
        <w:t>1 to Chapter 1.1 (PART IV), and i</w:t>
      </w:r>
      <w:r w:rsidRPr="00B421E9">
        <w:t xml:space="preserve">n the Manual of </w:t>
      </w:r>
      <w:r>
        <w:t>T</w:t>
      </w:r>
      <w:r w:rsidRPr="00B421E9">
        <w:t>est</w:t>
      </w:r>
      <w:r>
        <w:t>s</w:t>
      </w:r>
      <w:r w:rsidRPr="00B421E9">
        <w:t xml:space="preserve"> and </w:t>
      </w:r>
      <w:r>
        <w:t>C</w:t>
      </w:r>
      <w:r w:rsidRPr="00B421E9">
        <w:t>riteria, in the NOTE to the general introduction, in the title of part IV and in the general table of content under part IV</w:t>
      </w:r>
    </w:p>
    <w:p w:rsidR="00367667" w:rsidRDefault="00367667" w:rsidP="00932FDC">
      <w:pPr>
        <w:tabs>
          <w:tab w:val="left" w:pos="2694"/>
        </w:tabs>
        <w:spacing w:after="120"/>
        <w:ind w:left="2552" w:hanging="851"/>
      </w:pPr>
      <w:r>
        <w:t>r</w:t>
      </w:r>
      <w:r w:rsidR="00E53BD8" w:rsidRPr="00B421E9">
        <w:t xml:space="preserve">eplace the words </w:t>
      </w:r>
      <w:r>
        <w:tab/>
      </w:r>
      <w:r w:rsidR="00E53BD8" w:rsidRPr="00B421E9">
        <w:t>« </w:t>
      </w:r>
      <w:r w:rsidR="00E53BD8" w:rsidRPr="00B421E9">
        <w:rPr>
          <w:u w:val="single"/>
        </w:rPr>
        <w:t xml:space="preserve">au </w:t>
      </w:r>
      <w:proofErr w:type="spellStart"/>
      <w:r w:rsidR="00E53BD8" w:rsidRPr="00B421E9">
        <w:rPr>
          <w:u w:val="single"/>
        </w:rPr>
        <w:t>matériel</w:t>
      </w:r>
      <w:proofErr w:type="spellEnd"/>
      <w:r w:rsidR="00E53BD8" w:rsidRPr="00B421E9">
        <w:rPr>
          <w:u w:val="single"/>
        </w:rPr>
        <w:t xml:space="preserve"> de</w:t>
      </w:r>
      <w:r w:rsidR="00E53BD8">
        <w:rPr>
          <w:u w:val="single"/>
        </w:rPr>
        <w:t xml:space="preserve"> transport</w:t>
      </w:r>
      <w:r w:rsidR="00E53BD8">
        <w:t xml:space="preserve"> » </w:t>
      </w:r>
    </w:p>
    <w:p w:rsidR="00E53BD8" w:rsidRDefault="00E53BD8" w:rsidP="00932FDC">
      <w:pPr>
        <w:tabs>
          <w:tab w:val="left" w:pos="2694"/>
        </w:tabs>
        <w:spacing w:after="120"/>
        <w:ind w:left="2694" w:hanging="993"/>
      </w:pPr>
      <w:r>
        <w:t xml:space="preserve">with the words </w:t>
      </w:r>
      <w:r w:rsidR="00367667">
        <w:tab/>
      </w:r>
      <w:r>
        <w:t>« </w:t>
      </w:r>
      <w:r>
        <w:rPr>
          <w:u w:val="single"/>
        </w:rPr>
        <w:t xml:space="preserve">aux </w:t>
      </w:r>
      <w:proofErr w:type="spellStart"/>
      <w:r>
        <w:rPr>
          <w:u w:val="single"/>
        </w:rPr>
        <w:t>équipements</w:t>
      </w:r>
      <w:proofErr w:type="spellEnd"/>
      <w:r>
        <w:rPr>
          <w:u w:val="single"/>
        </w:rPr>
        <w:t xml:space="preserve"> de tran</w:t>
      </w:r>
      <w:r w:rsidR="00367667">
        <w:rPr>
          <w:u w:val="single"/>
        </w:rPr>
        <w:t>s</w:t>
      </w:r>
      <w:r>
        <w:rPr>
          <w:u w:val="single"/>
        </w:rPr>
        <w:t>port </w:t>
      </w:r>
      <w:r>
        <w:t>»</w:t>
      </w:r>
      <w:r w:rsidR="00AE28A6">
        <w:t>.</w:t>
      </w:r>
    </w:p>
    <w:p w:rsidR="00E53BD8" w:rsidRPr="00253684" w:rsidRDefault="00E53BD8" w:rsidP="00E53BD8">
      <w:pPr>
        <w:pStyle w:val="SingleTxtG"/>
        <w:tabs>
          <w:tab w:val="right" w:pos="1710"/>
        </w:tabs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B421E9" w:rsidRDefault="00B421E9" w:rsidP="00B421E9">
      <w:pPr>
        <w:spacing w:after="120"/>
        <w:ind w:left="1134"/>
      </w:pPr>
    </w:p>
    <w:p w:rsidR="00B421E9" w:rsidRPr="00E84762" w:rsidRDefault="00B421E9" w:rsidP="00C67A28">
      <w:pPr>
        <w:tabs>
          <w:tab w:val="left" w:pos="851"/>
          <w:tab w:val="left" w:pos="1134"/>
        </w:tabs>
        <w:spacing w:after="120"/>
        <w:ind w:left="1134" w:right="1134"/>
      </w:pPr>
    </w:p>
    <w:p w:rsidR="00532152" w:rsidRDefault="00532152" w:rsidP="00504251">
      <w:pPr>
        <w:pStyle w:val="SingleTxtG"/>
        <w:ind w:left="0"/>
        <w:rPr>
          <w:lang w:val="en-US"/>
        </w:rPr>
      </w:pPr>
    </w:p>
    <w:sectPr w:rsidR="00532152" w:rsidSect="00EA597A">
      <w:headerReference w:type="even" r:id="rId8"/>
      <w:headerReference w:type="default" r:id="rId9"/>
      <w:footerReference w:type="even" r:id="rId10"/>
      <w:headerReference w:type="first" r:id="rId11"/>
      <w:type w:val="oddPage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54" w:rsidRDefault="007A7354"/>
  </w:endnote>
  <w:endnote w:type="continuationSeparator" w:id="0">
    <w:p w:rsidR="007A7354" w:rsidRDefault="007A7354"/>
  </w:endnote>
  <w:endnote w:type="continuationNotice" w:id="1">
    <w:p w:rsidR="007A7354" w:rsidRDefault="007A7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54" w:rsidRPr="000B175B" w:rsidRDefault="007A735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7354" w:rsidRPr="00FC68B7" w:rsidRDefault="007A735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7354" w:rsidRDefault="007A7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7A" w:rsidRDefault="00EA597A" w:rsidP="00EA597A">
    <w:pPr>
      <w:pStyle w:val="Header"/>
      <w:spacing w:after="240"/>
    </w:pPr>
    <w:r w:rsidRPr="00162E11">
      <w:rPr>
        <w:lang w:val="nl-NL"/>
      </w:rPr>
      <w:t>UN/SCETDG/5</w:t>
    </w:r>
    <w:r w:rsidR="00CF1050">
      <w:rPr>
        <w:lang w:val="nl-NL"/>
      </w:rPr>
      <w:t>4</w:t>
    </w:r>
    <w:r w:rsidRPr="00162E11">
      <w:rPr>
        <w:lang w:val="nl-NL"/>
      </w:rPr>
      <w:t>/INF.</w:t>
    </w:r>
    <w:r w:rsidR="00932FDC">
      <w:rPr>
        <w:lang w:val="nl-NL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AE" w:rsidRPr="00EA597A" w:rsidRDefault="00EA597A" w:rsidP="00EA597A">
    <w:pPr>
      <w:pStyle w:val="Header"/>
      <w:spacing w:after="240"/>
      <w:jc w:val="right"/>
    </w:pPr>
    <w:r w:rsidRPr="00162E11">
      <w:rPr>
        <w:lang w:val="nl-NL"/>
      </w:rPr>
      <w:t>UN/SCETDG/53/INF.</w:t>
    </w:r>
    <w:r w:rsidR="00162E11">
      <w:rPr>
        <w:lang w:val="nl-N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537CBC"/>
    <w:multiLevelType w:val="hybridMultilevel"/>
    <w:tmpl w:val="BEF4467E"/>
    <w:lvl w:ilvl="0" w:tplc="2CD69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780E"/>
    <w:multiLevelType w:val="hybridMultilevel"/>
    <w:tmpl w:val="FDAE97C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7942276"/>
    <w:multiLevelType w:val="hybridMultilevel"/>
    <w:tmpl w:val="571E9694"/>
    <w:lvl w:ilvl="0" w:tplc="91A872D8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94A27A5"/>
    <w:multiLevelType w:val="hybridMultilevel"/>
    <w:tmpl w:val="BCA0DC56"/>
    <w:lvl w:ilvl="0" w:tplc="EE921A9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D24"/>
    <w:rsid w:val="000216CC"/>
    <w:rsid w:val="00021A8A"/>
    <w:rsid w:val="000240F2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447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78CD"/>
    <w:rsid w:val="000B033E"/>
    <w:rsid w:val="000B0DE2"/>
    <w:rsid w:val="000B175B"/>
    <w:rsid w:val="000B2968"/>
    <w:rsid w:val="000B2972"/>
    <w:rsid w:val="000B3A0F"/>
    <w:rsid w:val="000B4919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6F4"/>
    <w:rsid w:val="001039FD"/>
    <w:rsid w:val="0010461A"/>
    <w:rsid w:val="001106F4"/>
    <w:rsid w:val="00110F3C"/>
    <w:rsid w:val="00113D9A"/>
    <w:rsid w:val="00115303"/>
    <w:rsid w:val="00115F90"/>
    <w:rsid w:val="00117787"/>
    <w:rsid w:val="00117D0D"/>
    <w:rsid w:val="001209C3"/>
    <w:rsid w:val="00121EB7"/>
    <w:rsid w:val="00123BDC"/>
    <w:rsid w:val="001272B5"/>
    <w:rsid w:val="00127E60"/>
    <w:rsid w:val="00130DFE"/>
    <w:rsid w:val="00131B10"/>
    <w:rsid w:val="00131B47"/>
    <w:rsid w:val="00131D42"/>
    <w:rsid w:val="00133C50"/>
    <w:rsid w:val="001406F4"/>
    <w:rsid w:val="00142716"/>
    <w:rsid w:val="00143C6B"/>
    <w:rsid w:val="001448E1"/>
    <w:rsid w:val="00146CFA"/>
    <w:rsid w:val="00156996"/>
    <w:rsid w:val="00162E11"/>
    <w:rsid w:val="001633FB"/>
    <w:rsid w:val="00163A1B"/>
    <w:rsid w:val="00165735"/>
    <w:rsid w:val="00167786"/>
    <w:rsid w:val="001723C1"/>
    <w:rsid w:val="00173874"/>
    <w:rsid w:val="00180F72"/>
    <w:rsid w:val="00181019"/>
    <w:rsid w:val="00182CAC"/>
    <w:rsid w:val="001835BF"/>
    <w:rsid w:val="00184B86"/>
    <w:rsid w:val="001943BF"/>
    <w:rsid w:val="00196A1B"/>
    <w:rsid w:val="001A02A4"/>
    <w:rsid w:val="001A3B0D"/>
    <w:rsid w:val="001B13F0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005B1"/>
    <w:rsid w:val="00211B12"/>
    <w:rsid w:val="00211E0B"/>
    <w:rsid w:val="00213328"/>
    <w:rsid w:val="0021481D"/>
    <w:rsid w:val="00221589"/>
    <w:rsid w:val="00221AC2"/>
    <w:rsid w:val="0022393F"/>
    <w:rsid w:val="0022394D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618F"/>
    <w:rsid w:val="002708B5"/>
    <w:rsid w:val="00270DDB"/>
    <w:rsid w:val="002725CA"/>
    <w:rsid w:val="00273A92"/>
    <w:rsid w:val="00277896"/>
    <w:rsid w:val="00280EB7"/>
    <w:rsid w:val="00287D81"/>
    <w:rsid w:val="002907B0"/>
    <w:rsid w:val="002976CF"/>
    <w:rsid w:val="002A0BD2"/>
    <w:rsid w:val="002A5B17"/>
    <w:rsid w:val="002A6DCE"/>
    <w:rsid w:val="002B0609"/>
    <w:rsid w:val="002B067A"/>
    <w:rsid w:val="002B1514"/>
    <w:rsid w:val="002B1CDA"/>
    <w:rsid w:val="002B7396"/>
    <w:rsid w:val="002C014E"/>
    <w:rsid w:val="002C0681"/>
    <w:rsid w:val="002C47A4"/>
    <w:rsid w:val="002C72E8"/>
    <w:rsid w:val="002C7F25"/>
    <w:rsid w:val="002D5A85"/>
    <w:rsid w:val="002D5C7D"/>
    <w:rsid w:val="002D7C1C"/>
    <w:rsid w:val="002E35BB"/>
    <w:rsid w:val="002E5DE4"/>
    <w:rsid w:val="002F68FD"/>
    <w:rsid w:val="0030053A"/>
    <w:rsid w:val="00304CDC"/>
    <w:rsid w:val="00306ABF"/>
    <w:rsid w:val="003107FA"/>
    <w:rsid w:val="003147D0"/>
    <w:rsid w:val="00315D73"/>
    <w:rsid w:val="00316FF9"/>
    <w:rsid w:val="00321716"/>
    <w:rsid w:val="003229D8"/>
    <w:rsid w:val="00324C88"/>
    <w:rsid w:val="00327172"/>
    <w:rsid w:val="00327D0A"/>
    <w:rsid w:val="00334A91"/>
    <w:rsid w:val="003517C3"/>
    <w:rsid w:val="00355502"/>
    <w:rsid w:val="00356BC7"/>
    <w:rsid w:val="00357A20"/>
    <w:rsid w:val="00361A5F"/>
    <w:rsid w:val="003667C8"/>
    <w:rsid w:val="00367667"/>
    <w:rsid w:val="00372F06"/>
    <w:rsid w:val="003734CA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C74DE"/>
    <w:rsid w:val="003D24E9"/>
    <w:rsid w:val="003D4B23"/>
    <w:rsid w:val="003F23A4"/>
    <w:rsid w:val="003F5B52"/>
    <w:rsid w:val="003F63C1"/>
    <w:rsid w:val="00401CDD"/>
    <w:rsid w:val="00403CE2"/>
    <w:rsid w:val="00403EC6"/>
    <w:rsid w:val="00406432"/>
    <w:rsid w:val="00406CD4"/>
    <w:rsid w:val="00430086"/>
    <w:rsid w:val="00430918"/>
    <w:rsid w:val="004325CB"/>
    <w:rsid w:val="004354EE"/>
    <w:rsid w:val="00437F3F"/>
    <w:rsid w:val="00446DE4"/>
    <w:rsid w:val="00452D10"/>
    <w:rsid w:val="00452D4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7D4C"/>
    <w:rsid w:val="00492AF9"/>
    <w:rsid w:val="00494C77"/>
    <w:rsid w:val="00495A67"/>
    <w:rsid w:val="00497711"/>
    <w:rsid w:val="004B12C3"/>
    <w:rsid w:val="004B2C9D"/>
    <w:rsid w:val="004B5939"/>
    <w:rsid w:val="004B5C97"/>
    <w:rsid w:val="004B73D6"/>
    <w:rsid w:val="004C39D0"/>
    <w:rsid w:val="004C4F1A"/>
    <w:rsid w:val="004C6D6D"/>
    <w:rsid w:val="004E0C5D"/>
    <w:rsid w:val="004E3D60"/>
    <w:rsid w:val="004E64A0"/>
    <w:rsid w:val="004E68B5"/>
    <w:rsid w:val="004F4240"/>
    <w:rsid w:val="004F77CD"/>
    <w:rsid w:val="00500194"/>
    <w:rsid w:val="005008C4"/>
    <w:rsid w:val="00504251"/>
    <w:rsid w:val="00505FC9"/>
    <w:rsid w:val="00507CF1"/>
    <w:rsid w:val="00511208"/>
    <w:rsid w:val="005147A9"/>
    <w:rsid w:val="00522177"/>
    <w:rsid w:val="00527910"/>
    <w:rsid w:val="00532152"/>
    <w:rsid w:val="005322D3"/>
    <w:rsid w:val="005420F2"/>
    <w:rsid w:val="0054211E"/>
    <w:rsid w:val="00542505"/>
    <w:rsid w:val="005475D4"/>
    <w:rsid w:val="00552899"/>
    <w:rsid w:val="00555CDB"/>
    <w:rsid w:val="005613F4"/>
    <w:rsid w:val="00561B6D"/>
    <w:rsid w:val="00562D45"/>
    <w:rsid w:val="0056615B"/>
    <w:rsid w:val="00567109"/>
    <w:rsid w:val="0056723B"/>
    <w:rsid w:val="00567DFB"/>
    <w:rsid w:val="00571DAA"/>
    <w:rsid w:val="005725F9"/>
    <w:rsid w:val="0057573C"/>
    <w:rsid w:val="0058129D"/>
    <w:rsid w:val="005829D1"/>
    <w:rsid w:val="00584A5F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F1AB7"/>
    <w:rsid w:val="005F3A39"/>
    <w:rsid w:val="005F5C2F"/>
    <w:rsid w:val="005F7BB1"/>
    <w:rsid w:val="00602490"/>
    <w:rsid w:val="00603E3C"/>
    <w:rsid w:val="0061002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4228"/>
    <w:rsid w:val="00645A0B"/>
    <w:rsid w:val="006500BA"/>
    <w:rsid w:val="006506DB"/>
    <w:rsid w:val="006523F5"/>
    <w:rsid w:val="006602A2"/>
    <w:rsid w:val="00662121"/>
    <w:rsid w:val="00662E09"/>
    <w:rsid w:val="00667788"/>
    <w:rsid w:val="006703B6"/>
    <w:rsid w:val="00670CF0"/>
    <w:rsid w:val="00674FF0"/>
    <w:rsid w:val="00675F87"/>
    <w:rsid w:val="0068040D"/>
    <w:rsid w:val="00683778"/>
    <w:rsid w:val="00684C14"/>
    <w:rsid w:val="00690C20"/>
    <w:rsid w:val="00690CD6"/>
    <w:rsid w:val="006960A9"/>
    <w:rsid w:val="006A1458"/>
    <w:rsid w:val="006A3932"/>
    <w:rsid w:val="006A3FCC"/>
    <w:rsid w:val="006A6083"/>
    <w:rsid w:val="006A63E3"/>
    <w:rsid w:val="006A7392"/>
    <w:rsid w:val="006B1C55"/>
    <w:rsid w:val="006B77D6"/>
    <w:rsid w:val="006C0D34"/>
    <w:rsid w:val="006C1D3B"/>
    <w:rsid w:val="006C251B"/>
    <w:rsid w:val="006C2F7E"/>
    <w:rsid w:val="006D3560"/>
    <w:rsid w:val="006D7E3D"/>
    <w:rsid w:val="006E3B65"/>
    <w:rsid w:val="006E564B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1C58"/>
    <w:rsid w:val="00763C33"/>
    <w:rsid w:val="00765EAD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90791"/>
    <w:rsid w:val="0079166A"/>
    <w:rsid w:val="00796F36"/>
    <w:rsid w:val="00797331"/>
    <w:rsid w:val="007A05D2"/>
    <w:rsid w:val="007A2CDB"/>
    <w:rsid w:val="007A62EC"/>
    <w:rsid w:val="007A7354"/>
    <w:rsid w:val="007B1A7E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03D6"/>
    <w:rsid w:val="007E313F"/>
    <w:rsid w:val="007E4BD3"/>
    <w:rsid w:val="007E5D7C"/>
    <w:rsid w:val="007E7225"/>
    <w:rsid w:val="007E7DFF"/>
    <w:rsid w:val="007E7E0F"/>
    <w:rsid w:val="007F2A54"/>
    <w:rsid w:val="007F444F"/>
    <w:rsid w:val="007F5104"/>
    <w:rsid w:val="007F6611"/>
    <w:rsid w:val="00800024"/>
    <w:rsid w:val="008037A2"/>
    <w:rsid w:val="00811097"/>
    <w:rsid w:val="0081414F"/>
    <w:rsid w:val="00814485"/>
    <w:rsid w:val="00816582"/>
    <w:rsid w:val="008175E9"/>
    <w:rsid w:val="00820A2D"/>
    <w:rsid w:val="00821AD8"/>
    <w:rsid w:val="008242D7"/>
    <w:rsid w:val="00826C09"/>
    <w:rsid w:val="0083043E"/>
    <w:rsid w:val="0083069A"/>
    <w:rsid w:val="00832A1D"/>
    <w:rsid w:val="00833118"/>
    <w:rsid w:val="00834479"/>
    <w:rsid w:val="00834C79"/>
    <w:rsid w:val="00835799"/>
    <w:rsid w:val="00843AB2"/>
    <w:rsid w:val="00846809"/>
    <w:rsid w:val="008604BA"/>
    <w:rsid w:val="00860785"/>
    <w:rsid w:val="0086107D"/>
    <w:rsid w:val="00864251"/>
    <w:rsid w:val="00871FD5"/>
    <w:rsid w:val="00881213"/>
    <w:rsid w:val="008813D6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34F"/>
    <w:rsid w:val="008D3C75"/>
    <w:rsid w:val="008D5977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2FDC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8376F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2330"/>
    <w:rsid w:val="009A2735"/>
    <w:rsid w:val="009A4740"/>
    <w:rsid w:val="009B025E"/>
    <w:rsid w:val="009B140E"/>
    <w:rsid w:val="009B32AA"/>
    <w:rsid w:val="009B798F"/>
    <w:rsid w:val="009C31D5"/>
    <w:rsid w:val="009C3C7D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3C03"/>
    <w:rsid w:val="009F4EEB"/>
    <w:rsid w:val="009F4FC5"/>
    <w:rsid w:val="009F5644"/>
    <w:rsid w:val="009F77AD"/>
    <w:rsid w:val="00A07F24"/>
    <w:rsid w:val="00A1427D"/>
    <w:rsid w:val="00A22FE4"/>
    <w:rsid w:val="00A235F1"/>
    <w:rsid w:val="00A2784C"/>
    <w:rsid w:val="00A326C9"/>
    <w:rsid w:val="00A34B00"/>
    <w:rsid w:val="00A3777A"/>
    <w:rsid w:val="00A47786"/>
    <w:rsid w:val="00A50077"/>
    <w:rsid w:val="00A50F59"/>
    <w:rsid w:val="00A54CA8"/>
    <w:rsid w:val="00A563A0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34EE"/>
    <w:rsid w:val="00AD40DE"/>
    <w:rsid w:val="00AD7C88"/>
    <w:rsid w:val="00AE28A6"/>
    <w:rsid w:val="00AE45DE"/>
    <w:rsid w:val="00AF0878"/>
    <w:rsid w:val="00AF1FD0"/>
    <w:rsid w:val="00AF28D5"/>
    <w:rsid w:val="00AF2F9D"/>
    <w:rsid w:val="00AF33AD"/>
    <w:rsid w:val="00AF6710"/>
    <w:rsid w:val="00B013E6"/>
    <w:rsid w:val="00B04D66"/>
    <w:rsid w:val="00B04E0C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21E9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A6223"/>
    <w:rsid w:val="00BB176D"/>
    <w:rsid w:val="00BB3B28"/>
    <w:rsid w:val="00BC0C09"/>
    <w:rsid w:val="00BC246A"/>
    <w:rsid w:val="00BC74E9"/>
    <w:rsid w:val="00BD586C"/>
    <w:rsid w:val="00BD6433"/>
    <w:rsid w:val="00BE0D90"/>
    <w:rsid w:val="00BE1FF8"/>
    <w:rsid w:val="00BE4967"/>
    <w:rsid w:val="00BE50CA"/>
    <w:rsid w:val="00BE618E"/>
    <w:rsid w:val="00BE6262"/>
    <w:rsid w:val="00C0263F"/>
    <w:rsid w:val="00C03B44"/>
    <w:rsid w:val="00C078F8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1DA2"/>
    <w:rsid w:val="00C6280F"/>
    <w:rsid w:val="00C62F76"/>
    <w:rsid w:val="00C66D78"/>
    <w:rsid w:val="00C67A28"/>
    <w:rsid w:val="00C745C3"/>
    <w:rsid w:val="00C81212"/>
    <w:rsid w:val="00C84FF1"/>
    <w:rsid w:val="00C8629C"/>
    <w:rsid w:val="00C91180"/>
    <w:rsid w:val="00C93C11"/>
    <w:rsid w:val="00C971F6"/>
    <w:rsid w:val="00CA049C"/>
    <w:rsid w:val="00CA0E55"/>
    <w:rsid w:val="00CA19FE"/>
    <w:rsid w:val="00CA381C"/>
    <w:rsid w:val="00CA4332"/>
    <w:rsid w:val="00CA74D3"/>
    <w:rsid w:val="00CB2158"/>
    <w:rsid w:val="00CB2797"/>
    <w:rsid w:val="00CB6380"/>
    <w:rsid w:val="00CC4CA6"/>
    <w:rsid w:val="00CD0009"/>
    <w:rsid w:val="00CD30EE"/>
    <w:rsid w:val="00CD3225"/>
    <w:rsid w:val="00CE4083"/>
    <w:rsid w:val="00CE46BA"/>
    <w:rsid w:val="00CE4A8F"/>
    <w:rsid w:val="00CE6FBE"/>
    <w:rsid w:val="00CF1050"/>
    <w:rsid w:val="00CF6F32"/>
    <w:rsid w:val="00CF778D"/>
    <w:rsid w:val="00D01746"/>
    <w:rsid w:val="00D01C54"/>
    <w:rsid w:val="00D0631B"/>
    <w:rsid w:val="00D06C3A"/>
    <w:rsid w:val="00D06F88"/>
    <w:rsid w:val="00D164BA"/>
    <w:rsid w:val="00D2012A"/>
    <w:rsid w:val="00D2031B"/>
    <w:rsid w:val="00D25E8C"/>
    <w:rsid w:val="00D25FE2"/>
    <w:rsid w:val="00D27E89"/>
    <w:rsid w:val="00D317D0"/>
    <w:rsid w:val="00D33DE8"/>
    <w:rsid w:val="00D33F2E"/>
    <w:rsid w:val="00D35135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1D10"/>
    <w:rsid w:val="00D730E3"/>
    <w:rsid w:val="00D753D8"/>
    <w:rsid w:val="00D9274F"/>
    <w:rsid w:val="00D96248"/>
    <w:rsid w:val="00D96CC5"/>
    <w:rsid w:val="00D9735F"/>
    <w:rsid w:val="00D978C6"/>
    <w:rsid w:val="00D97B77"/>
    <w:rsid w:val="00DA0055"/>
    <w:rsid w:val="00DA6620"/>
    <w:rsid w:val="00DA67AD"/>
    <w:rsid w:val="00DB072B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204"/>
    <w:rsid w:val="00DF0A4D"/>
    <w:rsid w:val="00DF3039"/>
    <w:rsid w:val="00DF3A04"/>
    <w:rsid w:val="00DF4518"/>
    <w:rsid w:val="00DF59D0"/>
    <w:rsid w:val="00E01324"/>
    <w:rsid w:val="00E04F8A"/>
    <w:rsid w:val="00E130AB"/>
    <w:rsid w:val="00E1679E"/>
    <w:rsid w:val="00E16956"/>
    <w:rsid w:val="00E178A1"/>
    <w:rsid w:val="00E239A0"/>
    <w:rsid w:val="00E2792B"/>
    <w:rsid w:val="00E27BAA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3BD8"/>
    <w:rsid w:val="00E53BF1"/>
    <w:rsid w:val="00E54352"/>
    <w:rsid w:val="00E55C16"/>
    <w:rsid w:val="00E5644E"/>
    <w:rsid w:val="00E5691C"/>
    <w:rsid w:val="00E601C0"/>
    <w:rsid w:val="00E631BA"/>
    <w:rsid w:val="00E6613A"/>
    <w:rsid w:val="00E67816"/>
    <w:rsid w:val="00E71511"/>
    <w:rsid w:val="00E7260F"/>
    <w:rsid w:val="00E730D8"/>
    <w:rsid w:val="00E73EB3"/>
    <w:rsid w:val="00E769C0"/>
    <w:rsid w:val="00E81230"/>
    <w:rsid w:val="00E84762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B72"/>
    <w:rsid w:val="00ED1D48"/>
    <w:rsid w:val="00ED3508"/>
    <w:rsid w:val="00ED3F6F"/>
    <w:rsid w:val="00ED7A2A"/>
    <w:rsid w:val="00EE1B32"/>
    <w:rsid w:val="00EE2247"/>
    <w:rsid w:val="00EE294E"/>
    <w:rsid w:val="00EE3EB7"/>
    <w:rsid w:val="00EE4D59"/>
    <w:rsid w:val="00EE73C3"/>
    <w:rsid w:val="00EF0FC6"/>
    <w:rsid w:val="00EF19B9"/>
    <w:rsid w:val="00EF1D7F"/>
    <w:rsid w:val="00EF4AAC"/>
    <w:rsid w:val="00F00E46"/>
    <w:rsid w:val="00F00ECF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162F4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81BD1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26BD"/>
    <w:rsid w:val="00FC68B7"/>
    <w:rsid w:val="00FD3C5D"/>
    <w:rsid w:val="00FD3E70"/>
    <w:rsid w:val="00FD6B2B"/>
    <w:rsid w:val="00FE3EEA"/>
    <w:rsid w:val="00FF03BB"/>
    <w:rsid w:val="00FF071A"/>
    <w:rsid w:val="00FF0980"/>
    <w:rsid w:val="00FF4204"/>
    <w:rsid w:val="00FF51FB"/>
    <w:rsid w:val="00FF5EC4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455330"/>
  <w15:docId w15:val="{4BE76B17-EB0F-4BDE-926A-ED51D24E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A67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A3B4-19E1-4FAC-B6B2-508A86BE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8</TotalTime>
  <Pages>2</Pages>
  <Words>439</Words>
  <Characters>2455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2018-11-30T10:53:00Z</cp:lastPrinted>
  <dcterms:created xsi:type="dcterms:W3CDTF">2018-11-30T10:45:00Z</dcterms:created>
  <dcterms:modified xsi:type="dcterms:W3CDTF">2018-11-30T10:53:00Z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