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2C7682" w:rsidRPr="002C7682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2C7682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2C7682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8AA" w:rsidRPr="002C7682" w:rsidRDefault="008628AA" w:rsidP="008628AA">
            <w:pPr>
              <w:jc w:val="right"/>
              <w:rPr>
                <w:b/>
                <w:sz w:val="40"/>
                <w:szCs w:val="40"/>
                <w:lang w:val="nl-NL"/>
              </w:rPr>
            </w:pPr>
            <w:r w:rsidRPr="002C7682">
              <w:rPr>
                <w:b/>
                <w:sz w:val="40"/>
                <w:szCs w:val="40"/>
                <w:lang w:val="nl-NL"/>
              </w:rPr>
              <w:t>UN/SCETDG/53/INF.</w:t>
            </w:r>
            <w:r>
              <w:rPr>
                <w:b/>
                <w:sz w:val="40"/>
                <w:szCs w:val="40"/>
                <w:lang w:val="nl-NL"/>
              </w:rPr>
              <w:t>46</w:t>
            </w:r>
          </w:p>
          <w:p w:rsidR="00FC215C" w:rsidRPr="002C7682" w:rsidRDefault="00C67BD2" w:rsidP="00FC215C">
            <w:pPr>
              <w:jc w:val="right"/>
              <w:rPr>
                <w:b/>
                <w:sz w:val="40"/>
                <w:szCs w:val="40"/>
                <w:lang w:val="nl-NL"/>
              </w:rPr>
            </w:pPr>
            <w:r w:rsidRPr="002C7682">
              <w:rPr>
                <w:b/>
                <w:sz w:val="40"/>
                <w:szCs w:val="40"/>
                <w:lang w:val="nl-NL"/>
              </w:rPr>
              <w:t>UN/SCEGHS</w:t>
            </w:r>
            <w:r w:rsidR="00FC215C" w:rsidRPr="002C7682">
              <w:rPr>
                <w:b/>
                <w:sz w:val="40"/>
                <w:szCs w:val="40"/>
                <w:lang w:val="nl-NL"/>
              </w:rPr>
              <w:t>/</w:t>
            </w:r>
            <w:r w:rsidRPr="002C7682">
              <w:rPr>
                <w:b/>
                <w:sz w:val="40"/>
                <w:szCs w:val="40"/>
                <w:lang w:val="nl-NL"/>
              </w:rPr>
              <w:t>35</w:t>
            </w:r>
            <w:r w:rsidR="00FC215C" w:rsidRPr="002C7682">
              <w:rPr>
                <w:b/>
                <w:sz w:val="40"/>
                <w:szCs w:val="40"/>
                <w:lang w:val="nl-NL"/>
              </w:rPr>
              <w:t>/INF.</w:t>
            </w:r>
            <w:r w:rsidR="008628AA">
              <w:rPr>
                <w:b/>
                <w:sz w:val="40"/>
                <w:szCs w:val="40"/>
                <w:lang w:val="nl-NL"/>
              </w:rPr>
              <w:t>16</w:t>
            </w:r>
          </w:p>
          <w:p w:rsidR="000216CC" w:rsidRPr="002C7682" w:rsidRDefault="000216CC" w:rsidP="008628AA">
            <w:pPr>
              <w:jc w:val="right"/>
              <w:rPr>
                <w:highlight w:val="yellow"/>
                <w:lang w:val="nl-NL"/>
              </w:rPr>
            </w:pPr>
          </w:p>
        </w:tc>
      </w:tr>
    </w:tbl>
    <w:p w:rsidR="000019B8" w:rsidRPr="002C7682" w:rsidRDefault="00006D38" w:rsidP="000019B8">
      <w:pPr>
        <w:rPr>
          <w:vanish/>
        </w:rPr>
      </w:pPr>
      <w:r w:rsidRPr="002C7682">
        <w:rPr>
          <w:vanish/>
        </w:rPr>
        <w:t>/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2C7682" w:rsidRPr="002C7682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2C7682" w:rsidRDefault="00645A0B" w:rsidP="0000132E">
            <w:pPr>
              <w:tabs>
                <w:tab w:val="right" w:pos="9214"/>
              </w:tabs>
            </w:pPr>
            <w:r w:rsidRPr="002C7682">
              <w:rPr>
                <w:b/>
                <w:sz w:val="24"/>
                <w:szCs w:val="24"/>
              </w:rPr>
              <w:t>Committee of Experts on the Transport of Dangerous Goods</w:t>
            </w:r>
            <w:r w:rsidRPr="002C7682">
              <w:rPr>
                <w:b/>
                <w:sz w:val="24"/>
                <w:szCs w:val="24"/>
              </w:rPr>
              <w:tab/>
            </w:r>
            <w:r w:rsidRPr="002C768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2C7682">
              <w:rPr>
                <w:b/>
                <w:sz w:val="24"/>
                <w:szCs w:val="24"/>
              </w:rPr>
              <w:br/>
              <w:t>and Labelling of Chemicals</w:t>
            </w:r>
            <w:r w:rsidRPr="002C7682">
              <w:rPr>
                <w:b/>
              </w:rPr>
              <w:tab/>
            </w:r>
            <w:r w:rsidR="008628AA">
              <w:rPr>
                <w:b/>
              </w:rPr>
              <w:t>18</w:t>
            </w:r>
            <w:r w:rsidR="000E23BE" w:rsidRPr="002C7682">
              <w:rPr>
                <w:b/>
              </w:rPr>
              <w:t xml:space="preserve"> </w:t>
            </w:r>
            <w:r w:rsidR="0000132E" w:rsidRPr="002C7682">
              <w:rPr>
                <w:b/>
              </w:rPr>
              <w:t>June</w:t>
            </w:r>
            <w:r w:rsidR="0001748C" w:rsidRPr="002C7682">
              <w:rPr>
                <w:b/>
              </w:rPr>
              <w:t xml:space="preserve"> </w:t>
            </w:r>
            <w:r w:rsidR="00C67BD2" w:rsidRPr="002C7682">
              <w:rPr>
                <w:b/>
              </w:rPr>
              <w:t>2018</w:t>
            </w:r>
          </w:p>
        </w:tc>
      </w:tr>
      <w:tr w:rsidR="002C7682" w:rsidRPr="002C768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C7682" w:rsidRDefault="00645A0B" w:rsidP="00165735">
            <w:pPr>
              <w:spacing w:before="120"/>
              <w:rPr>
                <w:b/>
              </w:rPr>
            </w:pPr>
            <w:r w:rsidRPr="002C7682">
              <w:rPr>
                <w:b/>
              </w:rPr>
              <w:t xml:space="preserve">Sub-Committee of Experts on the </w:t>
            </w:r>
            <w:r w:rsidRPr="002C7682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C7682" w:rsidRDefault="00645A0B" w:rsidP="00165735">
            <w:pPr>
              <w:spacing w:before="120"/>
              <w:rPr>
                <w:b/>
              </w:rPr>
            </w:pPr>
            <w:r w:rsidRPr="002C7682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2C7682" w:rsidRPr="002C768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C7682" w:rsidRDefault="00EA48C4" w:rsidP="00C67BD2">
            <w:pPr>
              <w:spacing w:before="120"/>
              <w:ind w:left="34" w:hanging="34"/>
              <w:rPr>
                <w:b/>
              </w:rPr>
            </w:pPr>
            <w:r w:rsidRPr="002C7682">
              <w:rPr>
                <w:b/>
              </w:rPr>
              <w:t>F</w:t>
            </w:r>
            <w:r w:rsidR="004E1665" w:rsidRPr="002C7682">
              <w:rPr>
                <w:b/>
              </w:rPr>
              <w:t>ift</w:t>
            </w:r>
            <w:r w:rsidR="002921EA" w:rsidRPr="002C7682">
              <w:rPr>
                <w:b/>
              </w:rPr>
              <w:t>y-</w:t>
            </w:r>
            <w:r w:rsidR="00C67BD2" w:rsidRPr="002C7682">
              <w:rPr>
                <w:b/>
              </w:rPr>
              <w:t>third</w:t>
            </w:r>
            <w:r w:rsidR="00645A0B" w:rsidRPr="002C7682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C7682" w:rsidRDefault="00F64C95" w:rsidP="00C67BD2">
            <w:pPr>
              <w:spacing w:before="120"/>
              <w:rPr>
                <w:b/>
                <w:highlight w:val="yellow"/>
              </w:rPr>
            </w:pPr>
            <w:r w:rsidRPr="002C7682">
              <w:rPr>
                <w:b/>
              </w:rPr>
              <w:t>Thirty-</w:t>
            </w:r>
            <w:r w:rsidR="00C67BD2" w:rsidRPr="002C7682">
              <w:rPr>
                <w:b/>
              </w:rPr>
              <w:t>fifth</w:t>
            </w:r>
            <w:r w:rsidR="00645A0B" w:rsidRPr="002C7682">
              <w:rPr>
                <w:b/>
              </w:rPr>
              <w:t xml:space="preserve"> session</w:t>
            </w:r>
          </w:p>
        </w:tc>
      </w:tr>
      <w:tr w:rsidR="002C7682" w:rsidRPr="002C7682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67BD2" w:rsidRPr="002C7682" w:rsidRDefault="00C67BD2" w:rsidP="00C67BD2">
            <w:pPr>
              <w:ind w:right="57"/>
            </w:pPr>
            <w:r w:rsidRPr="002C7682">
              <w:t>Geneva, 25 June-4 July 2018</w:t>
            </w:r>
          </w:p>
          <w:p w:rsidR="00C67BD2" w:rsidRPr="002C7682" w:rsidRDefault="00C67BD2" w:rsidP="00C67BD2">
            <w:pPr>
              <w:ind w:right="57"/>
            </w:pPr>
            <w:r w:rsidRPr="002C7682">
              <w:t>Item 10 (e) of the provisional agenda</w:t>
            </w:r>
          </w:p>
          <w:p w:rsidR="00C67BD2" w:rsidRPr="002C7682" w:rsidRDefault="00C67BD2" w:rsidP="00C67BD2">
            <w:pPr>
              <w:ind w:right="57"/>
              <w:rPr>
                <w:b/>
              </w:rPr>
            </w:pPr>
            <w:r w:rsidRPr="002C7682">
              <w:rPr>
                <w:b/>
              </w:rPr>
              <w:t>Issues relating to the Globally Harmonized System of Classification and Labelling of Chemicals:</w:t>
            </w:r>
          </w:p>
          <w:p w:rsidR="00645A0B" w:rsidRPr="002C7682" w:rsidRDefault="00C67BD2" w:rsidP="00C67BD2">
            <w:pPr>
              <w:spacing w:before="40"/>
              <w:ind w:left="34" w:hanging="34"/>
              <w:rPr>
                <w:b/>
                <w:bCs/>
              </w:rPr>
            </w:pPr>
            <w:r w:rsidRPr="002C7682">
              <w:rPr>
                <w:b/>
              </w:rPr>
              <w:t>Joint work with the GHS Sub-Committee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67BD2" w:rsidRPr="002C7682" w:rsidRDefault="00C67BD2" w:rsidP="00C67BD2">
            <w:r w:rsidRPr="002C7682">
              <w:t>Geneva, 4-6 July 2018</w:t>
            </w:r>
          </w:p>
          <w:p w:rsidR="00C67BD2" w:rsidRPr="002C7682" w:rsidRDefault="00C67BD2" w:rsidP="00C67BD2">
            <w:r w:rsidRPr="002C7682">
              <w:t>Item 3 (b) of the provisional agenda</w:t>
            </w:r>
          </w:p>
          <w:p w:rsidR="00645A0B" w:rsidRPr="002C7682" w:rsidRDefault="00C67BD2" w:rsidP="003A4561">
            <w:pPr>
              <w:spacing w:before="40"/>
              <w:rPr>
                <w:b/>
                <w:bCs/>
              </w:rPr>
            </w:pPr>
            <w:r w:rsidRPr="002C7682">
              <w:rPr>
                <w:b/>
              </w:rPr>
              <w:t>Review of Chapter 2.1</w:t>
            </w:r>
          </w:p>
        </w:tc>
      </w:tr>
    </w:tbl>
    <w:p w:rsidR="0001748C" w:rsidRPr="002C7682" w:rsidRDefault="009803ED" w:rsidP="00C67BD2">
      <w:pPr>
        <w:pStyle w:val="HChG"/>
        <w:rPr>
          <w:lang w:val="en-GB"/>
        </w:rPr>
      </w:pPr>
      <w:r w:rsidRPr="002C7682">
        <w:rPr>
          <w:lang w:val="en-GB"/>
        </w:rPr>
        <w:tab/>
      </w:r>
      <w:r w:rsidRPr="002C7682">
        <w:rPr>
          <w:lang w:val="en-GB"/>
        </w:rPr>
        <w:tab/>
      </w:r>
      <w:r w:rsidR="00275AFF" w:rsidRPr="00275AFF">
        <w:rPr>
          <w:lang w:val="en-GB"/>
        </w:rPr>
        <w:t>Status report on the work of the informal correspondence group on the revision of GHS Chapter 2.1</w:t>
      </w:r>
      <w:r w:rsidR="00275AFF">
        <w:rPr>
          <w:lang w:val="en-GB"/>
        </w:rPr>
        <w:t xml:space="preserve"> (Explosives)</w:t>
      </w:r>
    </w:p>
    <w:p w:rsidR="003C1D2E" w:rsidRPr="002C7682" w:rsidRDefault="00C67BD2" w:rsidP="003C1D2E">
      <w:pPr>
        <w:pStyle w:val="H1G"/>
      </w:pPr>
      <w:r w:rsidRPr="002C7682">
        <w:tab/>
      </w:r>
      <w:r w:rsidRPr="002C7682">
        <w:tab/>
        <w:t>Transmitted by the expert from Sweden</w:t>
      </w:r>
    </w:p>
    <w:p w:rsidR="003C1D2E" w:rsidRPr="002C7682" w:rsidRDefault="008628AA" w:rsidP="008628AA">
      <w:pPr>
        <w:pStyle w:val="HChG"/>
      </w:pPr>
      <w:r>
        <w:tab/>
      </w:r>
      <w:r>
        <w:tab/>
      </w:r>
      <w:r w:rsidR="003C1D2E" w:rsidRPr="002C7682">
        <w:t>Background</w:t>
      </w:r>
    </w:p>
    <w:p w:rsidR="00AB60B4" w:rsidRPr="002C7682" w:rsidRDefault="00AB60B4" w:rsidP="008628AA">
      <w:pPr>
        <w:pStyle w:val="SingleTxtG"/>
      </w:pPr>
      <w:r w:rsidRPr="002C7682">
        <w:t>1.</w:t>
      </w:r>
      <w:r w:rsidRPr="002C7682">
        <w:tab/>
        <w:t>The Informal Correspondence Group (ICG) that works on the revision of Chapter 2.1 under the leadership of</w:t>
      </w:r>
      <w:r w:rsidR="001266E0" w:rsidRPr="002C7682">
        <w:t xml:space="preserve"> the expert from Sweden has discussed the item</w:t>
      </w:r>
      <w:r w:rsidRPr="002C7682">
        <w:t xml:space="preserve"> </w:t>
      </w:r>
      <w:r w:rsidR="001266E0" w:rsidRPr="002C7682">
        <w:t>since the autumn of 2015</w:t>
      </w:r>
      <w:r w:rsidRPr="002C7682">
        <w:t>.</w:t>
      </w:r>
      <w:r w:rsidR="00A43D6F" w:rsidRPr="002C7682">
        <w:t xml:space="preserve"> The ICG currently consists of almost 50 experts, whereof slightly more than half are also experts of the Working Group on Explosives </w:t>
      </w:r>
      <w:r w:rsidR="00B07B23" w:rsidRPr="002C7682">
        <w:t xml:space="preserve">(EWG) </w:t>
      </w:r>
      <w:r w:rsidR="00A43D6F" w:rsidRPr="002C7682">
        <w:t>under the SCETDG.</w:t>
      </w:r>
      <w:r w:rsidRPr="002C7682">
        <w:t xml:space="preserve"> As described in </w:t>
      </w:r>
      <w:r w:rsidR="00346287">
        <w:rPr>
          <w:lang w:val="fr-CH"/>
        </w:rPr>
        <w:t>ST/SG/AC.10/C.4/2018/7</w:t>
      </w:r>
      <w:r w:rsidR="003617CA" w:rsidRPr="002C7682">
        <w:t xml:space="preserve"> to the </w:t>
      </w:r>
      <w:r w:rsidR="00185EE4" w:rsidRPr="002C7682">
        <w:t xml:space="preserve">35:th session of the </w:t>
      </w:r>
      <w:r w:rsidR="003617CA" w:rsidRPr="002C7682">
        <w:t>SCEGHS</w:t>
      </w:r>
      <w:r w:rsidR="00334AD7" w:rsidRPr="002C7682">
        <w:rPr>
          <w:rStyle w:val="FootnoteReference"/>
        </w:rPr>
        <w:footnoteReference w:id="2"/>
      </w:r>
      <w:r w:rsidRPr="002C7682">
        <w:t>,</w:t>
      </w:r>
      <w:r w:rsidR="001266E0" w:rsidRPr="002C7682">
        <w:t xml:space="preserve"> that also references all previous status reports on the work,</w:t>
      </w:r>
      <w:r w:rsidRPr="002C7682">
        <w:t xml:space="preserve"> the group has lately focused on an amended classification system that adds another layer of classification onto the existing Division-based system</w:t>
      </w:r>
      <w:r w:rsidR="001266E0" w:rsidRPr="002C7682">
        <w:t xml:space="preserve"> that originates </w:t>
      </w:r>
      <w:r w:rsidR="003C1D2E" w:rsidRPr="002C7682">
        <w:t>from</w:t>
      </w:r>
      <w:r w:rsidR="00D07FC9" w:rsidRPr="002C7682">
        <w:t xml:space="preserve"> the</w:t>
      </w:r>
      <w:r w:rsidR="00FA1E00" w:rsidRPr="002C7682">
        <w:t xml:space="preserve"> </w:t>
      </w:r>
      <w:r w:rsidR="001266E0" w:rsidRPr="002C7682">
        <w:t>transport sector</w:t>
      </w:r>
      <w:r w:rsidR="003617CA" w:rsidRPr="002C7682">
        <w:t>.</w:t>
      </w:r>
    </w:p>
    <w:p w:rsidR="00D07FC9" w:rsidRPr="002C7682" w:rsidRDefault="00AB60B4" w:rsidP="008628AA">
      <w:pPr>
        <w:pStyle w:val="SingleTxtG"/>
      </w:pPr>
      <w:r w:rsidRPr="002C7682">
        <w:t>2.</w:t>
      </w:r>
      <w:r w:rsidRPr="002C7682">
        <w:tab/>
        <w:t>The new layer of classification would</w:t>
      </w:r>
      <w:r w:rsidR="00F51FCA" w:rsidRPr="002C7682">
        <w:t xml:space="preserve"> potentially</w:t>
      </w:r>
      <w:r w:rsidRPr="002C7682">
        <w:t xml:space="preserve"> consist of two categories, where Category 2 would be identical in scope to Class 1 of transport and Category 1 would contain </w:t>
      </w:r>
      <w:r w:rsidR="00D07FC9" w:rsidRPr="002C7682">
        <w:t>explosive substances, mixtures and articles</w:t>
      </w:r>
      <w:r w:rsidRPr="002C7682">
        <w:t xml:space="preserve"> </w:t>
      </w:r>
      <w:r w:rsidR="00D07FC9" w:rsidRPr="002C7682">
        <w:t xml:space="preserve">(Explosives) </w:t>
      </w:r>
      <w:r w:rsidRPr="002C7682">
        <w:t xml:space="preserve">that </w:t>
      </w:r>
      <w:r w:rsidR="00F51FCA" w:rsidRPr="002C7682">
        <w:t xml:space="preserve">have not </w:t>
      </w:r>
      <w:r w:rsidRPr="002C7682">
        <w:t>be</w:t>
      </w:r>
      <w:r w:rsidR="00F51FCA" w:rsidRPr="002C7682">
        <w:t>en</w:t>
      </w:r>
      <w:r w:rsidRPr="002C7682">
        <w:t xml:space="preserve"> assigned a </w:t>
      </w:r>
      <w:r w:rsidR="00F51FCA" w:rsidRPr="002C7682">
        <w:t xml:space="preserve">(transport) </w:t>
      </w:r>
      <w:r w:rsidR="00D07FC9" w:rsidRPr="002C7682">
        <w:t>Division</w:t>
      </w:r>
      <w:r w:rsidR="00BC03C8" w:rsidRPr="002C7682">
        <w:t xml:space="preserve">. Category 2 </w:t>
      </w:r>
      <w:r w:rsidRPr="002C7682">
        <w:t xml:space="preserve">would be divided into three Sub-categories 2A, 2B and 2C depending on the degree of hazardous behaviour of the Explosive regardless of any particular </w:t>
      </w:r>
      <w:r w:rsidR="00D07FC9" w:rsidRPr="002C7682">
        <w:t xml:space="preserve">(transport) </w:t>
      </w:r>
      <w:r w:rsidRPr="002C7682">
        <w:t>packaging or configuration.</w:t>
      </w:r>
    </w:p>
    <w:p w:rsidR="00AB60B4" w:rsidRPr="002C7682" w:rsidRDefault="00D07FC9" w:rsidP="008628AA">
      <w:pPr>
        <w:pStyle w:val="SingleTxtG"/>
      </w:pPr>
      <w:r w:rsidRPr="002C7682">
        <w:t>3.</w:t>
      </w:r>
      <w:r w:rsidRPr="002C7682">
        <w:tab/>
        <w:t>By adding this layer of classification</w:t>
      </w:r>
      <w:r w:rsidR="00CD59D2" w:rsidRPr="002C7682">
        <w:t xml:space="preserve">, the </w:t>
      </w:r>
      <w:r w:rsidR="00AB60B4" w:rsidRPr="002C7682">
        <w:t xml:space="preserve">two major problems of current Chapter 2.1 would be </w:t>
      </w:r>
      <w:r w:rsidR="001266E0" w:rsidRPr="002C7682">
        <w:t>overcome</w:t>
      </w:r>
      <w:r w:rsidR="00EB67DE" w:rsidRPr="002C7682">
        <w:t xml:space="preserve">, as further described in </w:t>
      </w:r>
      <w:r w:rsidR="00346287">
        <w:rPr>
          <w:lang w:val="fr-CH"/>
        </w:rPr>
        <w:t>ST/SG/AC.10/C.4/2018/7-ST/SG/AC.10/C.3/2018/33</w:t>
      </w:r>
      <w:r w:rsidR="00CD59D2" w:rsidRPr="002C7682">
        <w:t>.</w:t>
      </w:r>
    </w:p>
    <w:p w:rsidR="00AB60B4" w:rsidRPr="002C7682" w:rsidRDefault="00346287" w:rsidP="008628AA">
      <w:pPr>
        <w:pStyle w:val="SingleTxtG"/>
        <w:ind w:left="1701"/>
      </w:pPr>
      <w:r>
        <w:rPr>
          <w:lang w:val="fr-CH"/>
        </w:rPr>
        <w:t>(a</w:t>
      </w:r>
      <w:r w:rsidR="008628AA">
        <w:rPr>
          <w:lang w:val="fr-CH"/>
        </w:rPr>
        <w:t>)</w:t>
      </w:r>
      <w:r w:rsidR="008628AA">
        <w:rPr>
          <w:lang w:val="fr-CH"/>
        </w:rPr>
        <w:tab/>
      </w:r>
      <w:r w:rsidR="00AB60B4" w:rsidRPr="002C7682">
        <w:t>Explosives that cannot be assigned a Division because they are not packaged/configured (for transport) c</w:t>
      </w:r>
      <w:r w:rsidR="003617CA" w:rsidRPr="002C7682">
        <w:t>ould</w:t>
      </w:r>
      <w:r w:rsidR="00AB60B4" w:rsidRPr="002C7682">
        <w:t xml:space="preserve"> be classified according to GHS.</w:t>
      </w:r>
    </w:p>
    <w:p w:rsidR="00D07FC9" w:rsidRPr="002C7682" w:rsidRDefault="00346287" w:rsidP="008628AA">
      <w:pPr>
        <w:pStyle w:val="SingleTxtG"/>
        <w:ind w:left="1701"/>
      </w:pPr>
      <w:r>
        <w:rPr>
          <w:lang w:val="fr-CH"/>
        </w:rPr>
        <w:t>(b</w:t>
      </w:r>
      <w:r w:rsidR="008628AA">
        <w:rPr>
          <w:lang w:val="fr-CH"/>
        </w:rPr>
        <w:t>)</w:t>
      </w:r>
      <w:r w:rsidR="008628AA">
        <w:rPr>
          <w:lang w:val="fr-CH"/>
        </w:rPr>
        <w:tab/>
      </w:r>
      <w:r w:rsidR="00AB60B4" w:rsidRPr="002C7682">
        <w:t>The GHS</w:t>
      </w:r>
      <w:r w:rsidR="003617CA" w:rsidRPr="002C7682">
        <w:t xml:space="preserve"> hazard communication </w:t>
      </w:r>
      <w:r w:rsidR="00AB60B4" w:rsidRPr="002C7682">
        <w:t>of Explosive</w:t>
      </w:r>
      <w:r w:rsidR="003617CA" w:rsidRPr="002C7682">
        <w:t>s</w:t>
      </w:r>
      <w:r w:rsidR="00D07FC9" w:rsidRPr="002C7682">
        <w:t xml:space="preserve"> c</w:t>
      </w:r>
      <w:r w:rsidR="00AB60B4" w:rsidRPr="002C7682">
        <w:t xml:space="preserve">ould </w:t>
      </w:r>
      <w:r w:rsidR="003617CA" w:rsidRPr="002C7682">
        <w:t>be</w:t>
      </w:r>
      <w:r w:rsidR="00D07FC9" w:rsidRPr="002C7682">
        <w:t xml:space="preserve"> made</w:t>
      </w:r>
      <w:r w:rsidR="003617CA" w:rsidRPr="002C7682">
        <w:t xml:space="preserve"> independent of the (transport) </w:t>
      </w:r>
      <w:r w:rsidR="00AB60B4" w:rsidRPr="002C7682">
        <w:t>packag</w:t>
      </w:r>
      <w:r w:rsidR="003617CA" w:rsidRPr="002C7682">
        <w:t>ing</w:t>
      </w:r>
      <w:r w:rsidR="00AB60B4" w:rsidRPr="002C7682">
        <w:t>/configur</w:t>
      </w:r>
      <w:r w:rsidR="003617CA" w:rsidRPr="002C7682">
        <w:t>ation</w:t>
      </w:r>
      <w:r w:rsidR="00D07FC9" w:rsidRPr="002C7682">
        <w:t xml:space="preserve">, which avoids </w:t>
      </w:r>
      <w:r w:rsidR="002C7682" w:rsidRPr="002C7682">
        <w:t xml:space="preserve">potential </w:t>
      </w:r>
      <w:proofErr w:type="spellStart"/>
      <w:r w:rsidR="00D07FC9" w:rsidRPr="002C7682">
        <w:t>mislabeling</w:t>
      </w:r>
      <w:proofErr w:type="spellEnd"/>
      <w:r w:rsidR="00D07FC9" w:rsidRPr="002C7682">
        <w:t xml:space="preserve"> where the classification at the Division level is dependent on a particular (transport) packaging</w:t>
      </w:r>
      <w:r w:rsidR="002C7682" w:rsidRPr="002C7682">
        <w:t>/</w:t>
      </w:r>
      <w:r w:rsidR="00D07FC9" w:rsidRPr="002C7682">
        <w:t>configuration.</w:t>
      </w:r>
    </w:p>
    <w:p w:rsidR="00AB60B4" w:rsidRPr="002C7682" w:rsidRDefault="00D07FC9" w:rsidP="008628AA">
      <w:pPr>
        <w:pStyle w:val="SingleTxtG"/>
      </w:pPr>
      <w:r w:rsidRPr="002C7682">
        <w:t>4.</w:t>
      </w:r>
      <w:r w:rsidRPr="002C7682">
        <w:tab/>
        <w:t xml:space="preserve">The details of this </w:t>
      </w:r>
      <w:r w:rsidR="00AB60B4" w:rsidRPr="002C7682">
        <w:t>amended</w:t>
      </w:r>
      <w:r w:rsidRPr="002C7682">
        <w:t xml:space="preserve"> GHS classification system were</w:t>
      </w:r>
      <w:r w:rsidR="00AB60B4" w:rsidRPr="002C7682">
        <w:t xml:space="preserve"> discussed at two ICG-meetings </w:t>
      </w:r>
      <w:r w:rsidR="00BC03C8" w:rsidRPr="002C7682">
        <w:t>in December 2017, and</w:t>
      </w:r>
      <w:r w:rsidR="002C7682" w:rsidRPr="002C7682">
        <w:t xml:space="preserve"> the outcome</w:t>
      </w:r>
      <w:r w:rsidR="00BC03C8" w:rsidRPr="002C7682">
        <w:t xml:space="preserve"> subsequently </w:t>
      </w:r>
      <w:r w:rsidR="00AB60B4" w:rsidRPr="002C7682">
        <w:t>presented to the SCEGHS</w:t>
      </w:r>
      <w:r w:rsidR="00BC03C8" w:rsidRPr="002C7682">
        <w:t xml:space="preserve"> at its 34:th session</w:t>
      </w:r>
      <w:r w:rsidR="00AB60B4" w:rsidRPr="002C7682">
        <w:t xml:space="preserve">. </w:t>
      </w:r>
      <w:r w:rsidRPr="002C7682">
        <w:t>While d</w:t>
      </w:r>
      <w:r w:rsidR="00AB60B4" w:rsidRPr="002C7682">
        <w:t>iscussions</w:t>
      </w:r>
      <w:r w:rsidR="00920DDC" w:rsidRPr="002C7682">
        <w:t xml:space="preserve"> mainly</w:t>
      </w:r>
      <w:r w:rsidR="00AB60B4" w:rsidRPr="002C7682">
        <w:t xml:space="preserve"> revolved around the criteria for the various </w:t>
      </w:r>
      <w:r w:rsidR="00AB60B4" w:rsidRPr="002C7682">
        <w:lastRenderedPageBreak/>
        <w:t xml:space="preserve">categories and the </w:t>
      </w:r>
      <w:r w:rsidR="00334AD7" w:rsidRPr="002C7682">
        <w:t xml:space="preserve">hazard communication </w:t>
      </w:r>
      <w:r w:rsidR="00AB60B4" w:rsidRPr="002C7682">
        <w:t>elements</w:t>
      </w:r>
      <w:r w:rsidR="00920DDC" w:rsidRPr="002C7682">
        <w:t>, they</w:t>
      </w:r>
      <w:r w:rsidR="00AB60B4" w:rsidRPr="002C7682">
        <w:t xml:space="preserve"> also </w:t>
      </w:r>
      <w:r w:rsidR="00BC03C8" w:rsidRPr="002C7682">
        <w:t xml:space="preserve">touched upon </w:t>
      </w:r>
      <w:r w:rsidR="00AB60B4" w:rsidRPr="002C7682">
        <w:t xml:space="preserve">more </w:t>
      </w:r>
      <w:r w:rsidR="002C7682" w:rsidRPr="002C7682">
        <w:t>fundamental</w:t>
      </w:r>
      <w:r w:rsidR="00AB60B4" w:rsidRPr="002C7682">
        <w:t xml:space="preserve"> questions such as the scope of the GHS. The discussions resulted in tentatively agreed criteria</w:t>
      </w:r>
      <w:r w:rsidR="00334AD7" w:rsidRPr="002C7682">
        <w:rPr>
          <w:rStyle w:val="FootnoteReference"/>
        </w:rPr>
        <w:footnoteReference w:id="3"/>
      </w:r>
      <w:r w:rsidR="00920DDC" w:rsidRPr="002C7682">
        <w:t xml:space="preserve"> which are displayed in th</w:t>
      </w:r>
      <w:r w:rsidR="002C7682" w:rsidRPr="002C7682">
        <w:t>e a</w:t>
      </w:r>
      <w:r w:rsidR="00920DDC" w:rsidRPr="002C7682">
        <w:t xml:space="preserve">nnex to </w:t>
      </w:r>
      <w:r w:rsidR="00346287">
        <w:rPr>
          <w:lang w:val="fr-CH"/>
        </w:rPr>
        <w:t>ST/SG/AC.10/C.4</w:t>
      </w:r>
      <w:r w:rsidR="00346287">
        <w:rPr>
          <w:lang w:val="fr-CH"/>
        </w:rPr>
        <w:t>/2018/7-ST/SG/AC.10/C.3</w:t>
      </w:r>
      <w:r w:rsidR="00346287">
        <w:rPr>
          <w:lang w:val="fr-CH"/>
        </w:rPr>
        <w:t>/2018/33</w:t>
      </w:r>
      <w:r w:rsidR="00AB60B4" w:rsidRPr="002C7682">
        <w:t xml:space="preserve">. </w:t>
      </w:r>
    </w:p>
    <w:p w:rsidR="00AB60B4" w:rsidRPr="002C7682" w:rsidRDefault="008628AA" w:rsidP="008628AA">
      <w:pPr>
        <w:pStyle w:val="HChG"/>
      </w:pPr>
      <w:r>
        <w:tab/>
      </w:r>
      <w:r>
        <w:tab/>
      </w:r>
      <w:r w:rsidR="00AB60B4" w:rsidRPr="002C7682">
        <w:t xml:space="preserve">Developments since the December </w:t>
      </w:r>
      <w:r w:rsidR="008D494E" w:rsidRPr="002C7682">
        <w:t xml:space="preserve">2017 </w:t>
      </w:r>
      <w:r w:rsidR="00AB60B4" w:rsidRPr="002C7682">
        <w:t>meetings</w:t>
      </w:r>
    </w:p>
    <w:p w:rsidR="00AB60B4" w:rsidRPr="002C7682" w:rsidRDefault="00F51FCA" w:rsidP="008628AA">
      <w:pPr>
        <w:pStyle w:val="SingleTxtG"/>
      </w:pPr>
      <w:r w:rsidRPr="002C7682">
        <w:t>5</w:t>
      </w:r>
      <w:r w:rsidR="00AB60B4" w:rsidRPr="002C7682">
        <w:t>.</w:t>
      </w:r>
      <w:r w:rsidR="00AB60B4" w:rsidRPr="002C7682">
        <w:tab/>
        <w:t>After the UN-</w:t>
      </w:r>
      <w:r w:rsidR="008D494E" w:rsidRPr="002C7682">
        <w:t>meetings in December 2017</w:t>
      </w:r>
      <w:r w:rsidR="00AB60B4" w:rsidRPr="002C7682">
        <w:t>, the expert from Sweden sent out three separate requests for input to the ICG-Members:</w:t>
      </w:r>
    </w:p>
    <w:p w:rsidR="003C1D2E" w:rsidRPr="00346287" w:rsidRDefault="00346287" w:rsidP="00346287">
      <w:pPr>
        <w:spacing w:before="120" w:after="120"/>
        <w:ind w:left="1701"/>
      </w:pPr>
      <w:r>
        <w:tab/>
        <w:t>(a)</w:t>
      </w:r>
      <w:r>
        <w:tab/>
      </w:r>
      <w:r w:rsidR="00AB60B4" w:rsidRPr="00346287">
        <w:t>A request for input to the criteria for Category 1</w:t>
      </w:r>
      <w:r>
        <w:t>;</w:t>
      </w:r>
    </w:p>
    <w:p w:rsidR="003C1D2E" w:rsidRPr="00346287" w:rsidRDefault="00346287" w:rsidP="00346287">
      <w:pPr>
        <w:spacing w:before="120" w:after="120"/>
        <w:ind w:left="1701"/>
      </w:pPr>
      <w:r>
        <w:tab/>
        <w:t>(b)</w:t>
      </w:r>
      <w:r>
        <w:tab/>
      </w:r>
      <w:r w:rsidR="00AB60B4" w:rsidRPr="00346287">
        <w:t>A request for input to the criteria for Sub-categories 2B and 2C</w:t>
      </w:r>
      <w:r>
        <w:t>;</w:t>
      </w:r>
    </w:p>
    <w:p w:rsidR="00AB60B4" w:rsidRPr="002C7682" w:rsidRDefault="00346287" w:rsidP="00346287">
      <w:pPr>
        <w:pStyle w:val="SingleTxtG"/>
        <w:ind w:left="2268" w:hanging="567"/>
      </w:pPr>
      <w:r>
        <w:rPr>
          <w:lang w:val="fr-CH"/>
        </w:rPr>
        <w:t>(c)</w:t>
      </w:r>
      <w:r>
        <w:tab/>
      </w:r>
      <w:r w:rsidR="00AB60B4" w:rsidRPr="002C7682">
        <w:t>A request for input to the hazard commun</w:t>
      </w:r>
      <w:r w:rsidR="0081124D">
        <w:t>ication elements for all (s</w:t>
      </w:r>
      <w:r w:rsidR="002C7682">
        <w:t>ub-)</w:t>
      </w:r>
      <w:r w:rsidR="00675787">
        <w:rPr>
          <w:lang w:val="fr-CH"/>
        </w:rPr>
        <w:t xml:space="preserve"> </w:t>
      </w:r>
      <w:r w:rsidR="002C7682">
        <w:t>c</w:t>
      </w:r>
      <w:r w:rsidR="00AB60B4" w:rsidRPr="002C7682">
        <w:t>ategories.</w:t>
      </w:r>
    </w:p>
    <w:p w:rsidR="00AB60B4" w:rsidRPr="002C7682" w:rsidRDefault="00346287" w:rsidP="00675787">
      <w:pPr>
        <w:pStyle w:val="SingleTxtG"/>
      </w:pPr>
      <w:r>
        <w:rPr>
          <w:lang w:val="fr-CH"/>
        </w:rPr>
        <w:t>6.</w:t>
      </w:r>
      <w:r>
        <w:rPr>
          <w:lang w:val="fr-CH"/>
        </w:rPr>
        <w:tab/>
      </w:r>
      <w:r w:rsidR="003C1D2E" w:rsidRPr="002C7682">
        <w:t>Only</w:t>
      </w:r>
      <w:r w:rsidR="00AB60B4" w:rsidRPr="002C7682">
        <w:t xml:space="preserve"> one group of ICG-members responded to all these requests</w:t>
      </w:r>
      <w:r w:rsidR="003C1D2E" w:rsidRPr="002C7682">
        <w:t xml:space="preserve"> as instructed</w:t>
      </w:r>
      <w:r w:rsidR="00AB60B4" w:rsidRPr="002C7682">
        <w:t>,</w:t>
      </w:r>
      <w:r w:rsidR="003C1D2E" w:rsidRPr="002C7682">
        <w:t xml:space="preserve"> </w:t>
      </w:r>
      <w:r w:rsidR="00955907" w:rsidRPr="002C7682">
        <w:t>although a few other experts did provide various types of feedback as well</w:t>
      </w:r>
      <w:r w:rsidR="00D13148" w:rsidRPr="002C7682">
        <w:t>, some of it not relating to the above requests</w:t>
      </w:r>
      <w:r w:rsidR="00955907" w:rsidRPr="002C7682">
        <w:t>. T</w:t>
      </w:r>
      <w:r w:rsidR="00AB60B4" w:rsidRPr="002C7682">
        <w:t>he overall input was</w:t>
      </w:r>
      <w:r w:rsidR="00955907" w:rsidRPr="002C7682">
        <w:t>, however,</w:t>
      </w:r>
      <w:r w:rsidR="00AB60B4" w:rsidRPr="002C7682">
        <w:t xml:space="preserve"> </w:t>
      </w:r>
      <w:r w:rsidR="001266E0" w:rsidRPr="002C7682">
        <w:t>modest</w:t>
      </w:r>
      <w:r w:rsidR="00AB60B4" w:rsidRPr="002C7682">
        <w:t xml:space="preserve"> which makes it </w:t>
      </w:r>
      <w:r w:rsidR="00920DDC" w:rsidRPr="002C7682">
        <w:t xml:space="preserve">somewhat </w:t>
      </w:r>
      <w:r w:rsidR="00AB60B4" w:rsidRPr="002C7682">
        <w:t>diffic</w:t>
      </w:r>
      <w:r w:rsidR="003C1D2E" w:rsidRPr="002C7682">
        <w:t xml:space="preserve">ult </w:t>
      </w:r>
      <w:r w:rsidR="00920DDC" w:rsidRPr="002C7682">
        <w:t xml:space="preserve">to </w:t>
      </w:r>
      <w:r w:rsidR="001266E0" w:rsidRPr="002C7682">
        <w:t>draw well-founded conclusions and build further on these</w:t>
      </w:r>
      <w:r w:rsidR="003C1D2E" w:rsidRPr="002C7682">
        <w:t>.</w:t>
      </w:r>
    </w:p>
    <w:p w:rsidR="00675787" w:rsidRDefault="00346287" w:rsidP="00675787">
      <w:pPr>
        <w:pStyle w:val="SingleTxtG"/>
      </w:pPr>
      <w:r>
        <w:rPr>
          <w:lang w:val="fr-CH"/>
        </w:rPr>
        <w:t>7</w:t>
      </w:r>
      <w:r w:rsidR="00AB60B4" w:rsidRPr="002C7682">
        <w:t>.</w:t>
      </w:r>
      <w:r w:rsidR="00AB60B4" w:rsidRPr="002C7682">
        <w:tab/>
        <w:t>From the</w:t>
      </w:r>
      <w:r w:rsidR="003C1D2E" w:rsidRPr="002C7682">
        <w:t xml:space="preserve"> </w:t>
      </w:r>
      <w:r w:rsidR="00AB60B4" w:rsidRPr="002C7682">
        <w:t>responses received, the expert from Sweden can only conclude that the development of the criteria</w:t>
      </w:r>
      <w:r w:rsidR="001266E0" w:rsidRPr="002C7682">
        <w:t xml:space="preserve"> within the ICG</w:t>
      </w:r>
      <w:r w:rsidR="00AB60B4" w:rsidRPr="002C7682">
        <w:t xml:space="preserve"> </w:t>
      </w:r>
      <w:r w:rsidR="001266E0" w:rsidRPr="002C7682">
        <w:t>has not significantly progressed lately</w:t>
      </w:r>
      <w:r w:rsidR="003948C5" w:rsidRPr="002C7682">
        <w:t>.</w:t>
      </w:r>
      <w:r w:rsidR="008F5F57" w:rsidRPr="002C7682">
        <w:t xml:space="preserve"> The criteria for Category 1 are</w:t>
      </w:r>
      <w:r w:rsidR="0081124D">
        <w:t>, in his view,</w:t>
      </w:r>
      <w:r w:rsidR="008F5F57" w:rsidRPr="002C7682">
        <w:t xml:space="preserve"> </w:t>
      </w:r>
      <w:r w:rsidR="007B3039" w:rsidRPr="002C7682">
        <w:t xml:space="preserve">more or less </w:t>
      </w:r>
      <w:r w:rsidR="008F5F57" w:rsidRPr="002C7682">
        <w:t>a matter of getting it right with regards to the scope of the chapter, i.e. to comprise all Explosives that are currently within the scope. The criteria for Sub-categories 2B and 2C</w:t>
      </w:r>
      <w:r w:rsidR="00D13148" w:rsidRPr="002C7682">
        <w:t>, however,</w:t>
      </w:r>
      <w:r w:rsidR="008F5F57" w:rsidRPr="002C7682">
        <w:t xml:space="preserve"> need further </w:t>
      </w:r>
      <w:r w:rsidR="00D13148" w:rsidRPr="002C7682">
        <w:t>in-depth discussion as</w:t>
      </w:r>
      <w:r w:rsidR="008F5F57" w:rsidRPr="002C7682">
        <w:t xml:space="preserve"> </w:t>
      </w:r>
      <w:r w:rsidR="007B3039" w:rsidRPr="002C7682">
        <w:t xml:space="preserve">there </w:t>
      </w:r>
      <w:r w:rsidR="008F5F57" w:rsidRPr="002C7682">
        <w:t xml:space="preserve">are differing opinions </w:t>
      </w:r>
      <w:r w:rsidR="00D13148" w:rsidRPr="002C7682">
        <w:t xml:space="preserve">in particular </w:t>
      </w:r>
      <w:r w:rsidR="008F5F57" w:rsidRPr="002C7682">
        <w:t>on which</w:t>
      </w:r>
      <w:r w:rsidR="007B3039" w:rsidRPr="002C7682">
        <w:t xml:space="preserve"> </w:t>
      </w:r>
      <w:r w:rsidR="00374611" w:rsidRPr="002C7682">
        <w:t xml:space="preserve">Sub-category should be assigned to various </w:t>
      </w:r>
      <w:r w:rsidR="007B3039" w:rsidRPr="002C7682">
        <w:t>Compatibility groups</w:t>
      </w:r>
      <w:r w:rsidR="008F5F57" w:rsidRPr="002C7682">
        <w:t xml:space="preserve"> within Division 1.4 </w:t>
      </w:r>
      <w:r w:rsidR="007B3039" w:rsidRPr="002C7682">
        <w:t>a</w:t>
      </w:r>
      <w:r w:rsidR="00D13148" w:rsidRPr="002C7682">
        <w:t xml:space="preserve">nd </w:t>
      </w:r>
      <w:r w:rsidR="008F5F57" w:rsidRPr="002C7682">
        <w:t>on the hierarchy between Divisions, Categories and Sub-categories</w:t>
      </w:r>
      <w:r w:rsidR="00D13148" w:rsidRPr="002C7682">
        <w:t xml:space="preserve"> within the amended system</w:t>
      </w:r>
      <w:r w:rsidR="008F5F57" w:rsidRPr="002C7682">
        <w:t>.</w:t>
      </w:r>
      <w:r w:rsidR="007B3039" w:rsidRPr="002C7682">
        <w:t xml:space="preserve"> Furthermore, there are some that feel that it should be made clear that the Divisions relate to transport </w:t>
      </w:r>
      <w:proofErr w:type="spellStart"/>
      <w:r w:rsidR="007B3039" w:rsidRPr="002C7682">
        <w:t>packagings</w:t>
      </w:r>
      <w:proofErr w:type="spellEnd"/>
      <w:r w:rsidR="007B3039" w:rsidRPr="002C7682">
        <w:t xml:space="preserve">/configurations only, while others think that Divisions could in principle be assigned </w:t>
      </w:r>
      <w:r w:rsidR="00374611" w:rsidRPr="002C7682">
        <w:t xml:space="preserve">to Explosives </w:t>
      </w:r>
      <w:r w:rsidR="007B3039" w:rsidRPr="002C7682">
        <w:t xml:space="preserve">also </w:t>
      </w:r>
      <w:r w:rsidR="00D13148" w:rsidRPr="002C7682">
        <w:t>in</w:t>
      </w:r>
      <w:r w:rsidR="007B3039" w:rsidRPr="002C7682">
        <w:t xml:space="preserve"> other </w:t>
      </w:r>
      <w:r w:rsidR="00374611" w:rsidRPr="002C7682">
        <w:t xml:space="preserve">types of </w:t>
      </w:r>
      <w:r w:rsidR="007B3039" w:rsidRPr="002C7682">
        <w:t>packag</w:t>
      </w:r>
      <w:r w:rsidR="00374611" w:rsidRPr="002C7682">
        <w:t>ings.</w:t>
      </w:r>
    </w:p>
    <w:p w:rsidR="00AB60B4" w:rsidRPr="002C7682" w:rsidRDefault="00346287" w:rsidP="00675787">
      <w:pPr>
        <w:pStyle w:val="SingleTxtG"/>
      </w:pPr>
      <w:r>
        <w:rPr>
          <w:lang w:val="fr-CH"/>
        </w:rPr>
        <w:t>8</w:t>
      </w:r>
      <w:r w:rsidR="008F5F57" w:rsidRPr="002C7682">
        <w:t>.</w:t>
      </w:r>
      <w:r w:rsidR="008F5F57" w:rsidRPr="002C7682">
        <w:tab/>
      </w:r>
      <w:r w:rsidR="003948C5" w:rsidRPr="002C7682">
        <w:t>As regards the hazard communication there</w:t>
      </w:r>
      <w:r w:rsidR="00AB60B4" w:rsidRPr="002C7682">
        <w:t xml:space="preserve"> appears to be consensus </w:t>
      </w:r>
      <w:r w:rsidR="00920DDC" w:rsidRPr="002C7682">
        <w:t>on the elements as</w:t>
      </w:r>
      <w:r w:rsidR="001266E0" w:rsidRPr="002C7682">
        <w:t xml:space="preserve"> reflected</w:t>
      </w:r>
      <w:r w:rsidR="00920DDC" w:rsidRPr="002C7682">
        <w:t xml:space="preserve"> in paragraph 10 of </w:t>
      </w:r>
      <w:r>
        <w:rPr>
          <w:lang w:val="fr-CH"/>
        </w:rPr>
        <w:t>ST/SG/AC.10/C.4/2018/7-ST/SG/AC.10/C.3/2018/33</w:t>
      </w:r>
      <w:r w:rsidR="00920DDC" w:rsidRPr="002C7682">
        <w:t xml:space="preserve">, </w:t>
      </w:r>
      <w:r w:rsidR="00AB60B4" w:rsidRPr="002C7682">
        <w:t>apart from the hazard statement for Category 1</w:t>
      </w:r>
      <w:r w:rsidR="00920DDC" w:rsidRPr="002C7682">
        <w:t>. For this hazard statements,</w:t>
      </w:r>
      <w:r w:rsidR="00AB60B4" w:rsidRPr="002C7682">
        <w:t xml:space="preserve"> two groups of experts have expressed that they prefer a stronger hazard statement than “Explosive”, e.g. “Sensitive expl</w:t>
      </w:r>
      <w:r w:rsidR="003948C5" w:rsidRPr="002C7682">
        <w:t>osive” or “Extremely explosive”</w:t>
      </w:r>
      <w:r w:rsidR="00920DDC" w:rsidRPr="002C7682">
        <w:t xml:space="preserve">, because </w:t>
      </w:r>
      <w:r w:rsidR="00AB60B4" w:rsidRPr="002C7682">
        <w:t xml:space="preserve">the category </w:t>
      </w:r>
      <w:r w:rsidR="00920DDC" w:rsidRPr="002C7682">
        <w:t xml:space="preserve">also </w:t>
      </w:r>
      <w:r w:rsidR="00AB60B4" w:rsidRPr="002C7682">
        <w:t>comprises explosives not allowed for transport due to being too</w:t>
      </w:r>
      <w:r w:rsidR="003C1D2E" w:rsidRPr="002C7682">
        <w:t xml:space="preserve"> mechanically</w:t>
      </w:r>
      <w:r w:rsidR="00AB60B4" w:rsidRPr="002C7682">
        <w:t xml:space="preserve"> sensitive or thermally unstable. Furthermore, one </w:t>
      </w:r>
      <w:r w:rsidR="00920DDC" w:rsidRPr="002C7682">
        <w:t xml:space="preserve">of these </w:t>
      </w:r>
      <w:r w:rsidR="00AB60B4" w:rsidRPr="002C7682">
        <w:t>group</w:t>
      </w:r>
      <w:r w:rsidR="00920DDC" w:rsidRPr="002C7682">
        <w:t>s</w:t>
      </w:r>
      <w:r w:rsidR="00AB60B4" w:rsidRPr="002C7682">
        <w:t xml:space="preserve"> </w:t>
      </w:r>
      <w:r w:rsidR="003948C5" w:rsidRPr="002C7682">
        <w:t xml:space="preserve">has </w:t>
      </w:r>
      <w:r w:rsidR="00920DDC" w:rsidRPr="002C7682">
        <w:t xml:space="preserve">stated </w:t>
      </w:r>
      <w:r w:rsidR="003948C5" w:rsidRPr="002C7682">
        <w:t xml:space="preserve">that </w:t>
      </w:r>
      <w:r w:rsidR="00AB60B4" w:rsidRPr="002C7682">
        <w:t>a c</w:t>
      </w:r>
      <w:r w:rsidR="00920DDC" w:rsidRPr="002C7682">
        <w:t>ommon hazard statement for all E</w:t>
      </w:r>
      <w:r w:rsidR="00AB60B4" w:rsidRPr="002C7682">
        <w:t>xplosives in Category 2A</w:t>
      </w:r>
      <w:r w:rsidR="00CD59D2" w:rsidRPr="002C7682">
        <w:t xml:space="preserve"> can</w:t>
      </w:r>
      <w:r w:rsidR="004F6341">
        <w:t xml:space="preserve"> only</w:t>
      </w:r>
      <w:r w:rsidR="00CD59D2" w:rsidRPr="002C7682">
        <w:t xml:space="preserve"> be</w:t>
      </w:r>
      <w:r w:rsidR="00920DDC" w:rsidRPr="002C7682">
        <w:t xml:space="preserve"> accepted</w:t>
      </w:r>
      <w:r w:rsidR="001266E0" w:rsidRPr="002C7682">
        <w:t xml:space="preserve"> by them</w:t>
      </w:r>
      <w:r w:rsidR="003948C5" w:rsidRPr="002C7682">
        <w:t xml:space="preserve"> if</w:t>
      </w:r>
      <w:r w:rsidR="00AB60B4" w:rsidRPr="002C7682">
        <w:t xml:space="preserve"> the Division is communicated on the GHS-label in some way</w:t>
      </w:r>
      <w:r w:rsidR="00161C20" w:rsidRPr="002C7682">
        <w:t xml:space="preserve"> (preferably the Division should also be communicated on the GHS-label for Sub-categories 2B and 2C, according to this group)</w:t>
      </w:r>
      <w:r w:rsidR="00AB60B4" w:rsidRPr="002C7682">
        <w:t>.</w:t>
      </w:r>
    </w:p>
    <w:p w:rsidR="000349B8" w:rsidRPr="002C7682" w:rsidRDefault="00346287" w:rsidP="00675787">
      <w:pPr>
        <w:pStyle w:val="SingleTxtG"/>
      </w:pPr>
      <w:r>
        <w:rPr>
          <w:lang w:val="fr-CH"/>
        </w:rPr>
        <w:t>9</w:t>
      </w:r>
      <w:r w:rsidR="000349B8" w:rsidRPr="002C7682">
        <w:t>.</w:t>
      </w:r>
      <w:r w:rsidR="000349B8" w:rsidRPr="002C7682">
        <w:tab/>
        <w:t xml:space="preserve">In order to assist the discussions around the principles of an amended classification system for Explosives as outlined in </w:t>
      </w:r>
      <w:r>
        <w:rPr>
          <w:lang w:val="fr-CH"/>
        </w:rPr>
        <w:t>ST/SG/AC.10/C.4/2018/7-ST/SG/AC.10/C.3/2018/33</w:t>
      </w:r>
      <w:r w:rsidR="000349B8" w:rsidRPr="002C7682">
        <w:t>, the expert from Sweden submitted INF.10</w:t>
      </w:r>
      <w:r w:rsidR="00185EE4" w:rsidRPr="002C7682">
        <w:t xml:space="preserve"> to the </w:t>
      </w:r>
      <w:proofErr w:type="gramStart"/>
      <w:r w:rsidR="00185EE4" w:rsidRPr="002C7682">
        <w:t>35:</w:t>
      </w:r>
      <w:proofErr w:type="gramEnd"/>
      <w:r w:rsidR="00185EE4" w:rsidRPr="002C7682">
        <w:t>th session of the SCEGHS</w:t>
      </w:r>
      <w:r w:rsidR="00185EE4" w:rsidRPr="002C7682">
        <w:rPr>
          <w:rStyle w:val="FootnoteReference"/>
        </w:rPr>
        <w:footnoteReference w:id="4"/>
      </w:r>
      <w:r w:rsidR="000349B8" w:rsidRPr="002C7682">
        <w:t xml:space="preserve"> showing what a new Chapter 2.1 of the GHS </w:t>
      </w:r>
      <w:r w:rsidR="000349B8" w:rsidRPr="002C7682">
        <w:rPr>
          <w:u w:val="single"/>
        </w:rPr>
        <w:t>could</w:t>
      </w:r>
      <w:r w:rsidR="000349B8" w:rsidRPr="002C7682">
        <w:t xml:space="preserve"> look like. </w:t>
      </w:r>
      <w:r w:rsidR="001B6494" w:rsidRPr="002C7682">
        <w:t>That</w:t>
      </w:r>
      <w:r w:rsidR="000349B8" w:rsidRPr="002C7682">
        <w:t xml:space="preserve"> </w:t>
      </w:r>
      <w:r w:rsidR="004F6341">
        <w:t>paper also contains an amended C</w:t>
      </w:r>
      <w:r w:rsidR="000349B8" w:rsidRPr="002C7682">
        <w:t xml:space="preserve">lassification and </w:t>
      </w:r>
      <w:r w:rsidR="004F6341">
        <w:t>L</w:t>
      </w:r>
      <w:r w:rsidR="000349B8" w:rsidRPr="002C7682">
        <w:t xml:space="preserve">abelling </w:t>
      </w:r>
      <w:r w:rsidR="004F6341">
        <w:t>S</w:t>
      </w:r>
      <w:r w:rsidR="000349B8" w:rsidRPr="002C7682">
        <w:t xml:space="preserve">ummary </w:t>
      </w:r>
      <w:r w:rsidR="004F6341">
        <w:t>T</w:t>
      </w:r>
      <w:r w:rsidR="000349B8" w:rsidRPr="002C7682">
        <w:t xml:space="preserve">able as well as </w:t>
      </w:r>
      <w:r w:rsidR="001B6494" w:rsidRPr="002C7682">
        <w:t>the GHS labels</w:t>
      </w:r>
      <w:r w:rsidR="004F6341">
        <w:t xml:space="preserve"> resulting from the changes</w:t>
      </w:r>
      <w:r w:rsidR="001B6494" w:rsidRPr="002C7682">
        <w:t xml:space="preserve">, </w:t>
      </w:r>
      <w:r w:rsidR="004F6341">
        <w:t xml:space="preserve">in order </w:t>
      </w:r>
      <w:r w:rsidR="001B6494" w:rsidRPr="002C7682">
        <w:t>to further illustrate the consequences of the potential amendments to Chapter 2.1.</w:t>
      </w:r>
    </w:p>
    <w:p w:rsidR="000349B8" w:rsidRPr="002C7682" w:rsidRDefault="00346287" w:rsidP="00675787">
      <w:pPr>
        <w:pStyle w:val="SingleTxtG"/>
      </w:pPr>
      <w:r>
        <w:rPr>
          <w:lang w:val="fr-CH"/>
        </w:rPr>
        <w:t>10</w:t>
      </w:r>
      <w:r w:rsidR="00F51FCA" w:rsidRPr="002C7682">
        <w:t>.</w:t>
      </w:r>
      <w:r w:rsidR="00F51FCA" w:rsidRPr="002C7682">
        <w:tab/>
        <w:t xml:space="preserve">In mid-April 2018, the working group on explosives, pyrotechnics and propellants under </w:t>
      </w:r>
      <w:r w:rsidR="00AB60B4" w:rsidRPr="002C7682">
        <w:t>IGUS</w:t>
      </w:r>
      <w:r w:rsidR="003948C5" w:rsidRPr="002C7682">
        <w:rPr>
          <w:rStyle w:val="FootnoteReference"/>
        </w:rPr>
        <w:footnoteReference w:id="5"/>
      </w:r>
      <w:r w:rsidR="00AB60B4" w:rsidRPr="002C7682">
        <w:t xml:space="preserve"> </w:t>
      </w:r>
      <w:r w:rsidR="00F51FCA" w:rsidRPr="002C7682">
        <w:t xml:space="preserve">(IGUS-EPP) </w:t>
      </w:r>
      <w:r w:rsidR="00AB60B4" w:rsidRPr="002C7682">
        <w:t xml:space="preserve">and the </w:t>
      </w:r>
      <w:r w:rsidR="00B52C8C" w:rsidRPr="002C7682">
        <w:t xml:space="preserve">Chief Inspectors of Explosives (CIE) </w:t>
      </w:r>
      <w:r w:rsidR="00AB60B4" w:rsidRPr="002C7682">
        <w:t xml:space="preserve">held their annual </w:t>
      </w:r>
      <w:r w:rsidR="00AB60B4" w:rsidRPr="002C7682">
        <w:lastRenderedPageBreak/>
        <w:t xml:space="preserve">meetings in Ottawa, Canada, where many of the </w:t>
      </w:r>
      <w:r w:rsidR="00920DDC" w:rsidRPr="002C7682">
        <w:t xml:space="preserve">ICG-members that are </w:t>
      </w:r>
      <w:r w:rsidR="00F51FCA" w:rsidRPr="002C7682">
        <w:t xml:space="preserve">also </w:t>
      </w:r>
      <w:r w:rsidR="00AB60B4" w:rsidRPr="002C7682">
        <w:t xml:space="preserve">experts </w:t>
      </w:r>
      <w:r w:rsidR="00920DDC" w:rsidRPr="002C7682">
        <w:t xml:space="preserve">of the EWG </w:t>
      </w:r>
      <w:r w:rsidR="00AB60B4" w:rsidRPr="002C7682">
        <w:t>participated. At th</w:t>
      </w:r>
      <w:r w:rsidR="00920DDC" w:rsidRPr="002C7682">
        <w:t>is</w:t>
      </w:r>
      <w:r w:rsidR="00AB60B4" w:rsidRPr="002C7682">
        <w:t xml:space="preserve"> conference, the review of GHS Chapter 2.1 was presented and discussed</w:t>
      </w:r>
      <w:r w:rsidR="00920DDC" w:rsidRPr="002C7682">
        <w:t xml:space="preserve"> amongst the attendees</w:t>
      </w:r>
      <w:r w:rsidR="00AB60B4" w:rsidRPr="002C7682">
        <w:t>. As the expert from Sweden was not present at this</w:t>
      </w:r>
      <w:r w:rsidR="00920DDC" w:rsidRPr="002C7682">
        <w:t xml:space="preserve"> conference</w:t>
      </w:r>
      <w:r w:rsidR="00AB60B4" w:rsidRPr="002C7682">
        <w:t xml:space="preserve"> he refrains from attempting to summarise these discussions.</w:t>
      </w:r>
      <w:r w:rsidR="00185EE4" w:rsidRPr="002C7682">
        <w:t xml:space="preserve"> However, informal paper INF.15 to the SCEGHS</w:t>
      </w:r>
      <w:r w:rsidR="00185EE4" w:rsidRPr="002C7682">
        <w:rPr>
          <w:rStyle w:val="FootnoteReference"/>
        </w:rPr>
        <w:footnoteReference w:id="6"/>
      </w:r>
      <w:r w:rsidR="00185EE4" w:rsidRPr="002C7682">
        <w:t xml:space="preserve">  from the United States of America, IME and SAAMI refers to this conference.</w:t>
      </w:r>
    </w:p>
    <w:p w:rsidR="000349B8" w:rsidRPr="002C7682" w:rsidRDefault="00675787" w:rsidP="00675787">
      <w:pPr>
        <w:pStyle w:val="HChG"/>
      </w:pPr>
      <w:r>
        <w:tab/>
      </w:r>
      <w:r>
        <w:tab/>
      </w:r>
      <w:r w:rsidR="000349B8" w:rsidRPr="002C7682">
        <w:t>Upcoming discussions</w:t>
      </w:r>
      <w:r w:rsidR="00CD59D2" w:rsidRPr="002C7682">
        <w:t xml:space="preserve"> and future outlook</w:t>
      </w:r>
    </w:p>
    <w:p w:rsidR="000349B8" w:rsidRPr="002C7682" w:rsidRDefault="00346287" w:rsidP="00675787">
      <w:pPr>
        <w:pStyle w:val="SingleTxtG"/>
      </w:pPr>
      <w:r>
        <w:t>1</w:t>
      </w:r>
      <w:r>
        <w:rPr>
          <w:lang w:val="fr-CH"/>
        </w:rPr>
        <w:t>1</w:t>
      </w:r>
      <w:r w:rsidR="000349B8" w:rsidRPr="002C7682">
        <w:t xml:space="preserve">. </w:t>
      </w:r>
      <w:r w:rsidR="000349B8" w:rsidRPr="002C7682">
        <w:tab/>
        <w:t xml:space="preserve">The review of Chapter 2.1 of the GHS has been scheduled for discussion at the joint session of the SCEGHS and SCETDG </w:t>
      </w:r>
      <w:r w:rsidR="005A7E97" w:rsidRPr="002C7682">
        <w:t xml:space="preserve">in the afternoon of </w:t>
      </w:r>
      <w:r w:rsidR="000349B8" w:rsidRPr="002C7682">
        <w:t>Tuesday the 3</w:t>
      </w:r>
      <w:r w:rsidR="005A7E97" w:rsidRPr="002C7682">
        <w:t>:rd</w:t>
      </w:r>
      <w:r w:rsidR="000349B8" w:rsidRPr="002C7682">
        <w:t xml:space="preserve"> </w:t>
      </w:r>
      <w:r w:rsidR="005A7E97" w:rsidRPr="002C7682">
        <w:t xml:space="preserve">of </w:t>
      </w:r>
      <w:r w:rsidR="000349B8" w:rsidRPr="002C7682">
        <w:t>July.</w:t>
      </w:r>
      <w:r w:rsidR="005A7E97" w:rsidRPr="002C7682">
        <w:rPr>
          <w:rStyle w:val="FootnoteReference"/>
        </w:rPr>
        <w:footnoteReference w:id="7"/>
      </w:r>
      <w:r w:rsidR="000349B8" w:rsidRPr="002C7682">
        <w:t xml:space="preserve"> The ICG wi</w:t>
      </w:r>
      <w:r w:rsidR="004F6341">
        <w:t>thin which the work is done can be expected to</w:t>
      </w:r>
      <w:r w:rsidR="000349B8" w:rsidRPr="002C7682">
        <w:t xml:space="preserve"> meet when the formal part of the meeting of the EWG has been finalised, probably starting </w:t>
      </w:r>
      <w:r w:rsidR="00161C20" w:rsidRPr="002C7682">
        <w:t xml:space="preserve">on </w:t>
      </w:r>
      <w:r w:rsidR="005A7E97" w:rsidRPr="002C7682">
        <w:t xml:space="preserve">Thursday the </w:t>
      </w:r>
      <w:r w:rsidR="000349B8" w:rsidRPr="002C7682">
        <w:t>29</w:t>
      </w:r>
      <w:r w:rsidR="005A7E97" w:rsidRPr="002C7682">
        <w:t>:th of</w:t>
      </w:r>
      <w:r w:rsidR="000349B8" w:rsidRPr="002C7682">
        <w:t xml:space="preserve"> June</w:t>
      </w:r>
      <w:r w:rsidR="004F6341">
        <w:t xml:space="preserve"> and pending decision by the SCETDG</w:t>
      </w:r>
      <w:r w:rsidR="000349B8" w:rsidRPr="002C7682">
        <w:t>.</w:t>
      </w:r>
      <w:r w:rsidR="00161C20" w:rsidRPr="002C7682">
        <w:rPr>
          <w:rStyle w:val="FootnoteReference"/>
        </w:rPr>
        <w:footnoteReference w:id="8"/>
      </w:r>
      <w:r w:rsidR="005A7E97" w:rsidRPr="002C7682">
        <w:t xml:space="preserve"> Another meeting of the ICG is </w:t>
      </w:r>
      <w:r w:rsidR="004F6341">
        <w:t>scheduled</w:t>
      </w:r>
      <w:r w:rsidR="005A7E97" w:rsidRPr="002C7682">
        <w:t xml:space="preserve"> to be held in the margins of the session of the SCEGHS in the evening of Tuesday the 3:rd of July.</w:t>
      </w:r>
      <w:r w:rsidR="005A7E97" w:rsidRPr="002C7682">
        <w:rPr>
          <w:rStyle w:val="FootnoteReference"/>
        </w:rPr>
        <w:footnoteReference w:id="9"/>
      </w:r>
    </w:p>
    <w:p w:rsidR="00AB60B4" w:rsidRPr="002C7682" w:rsidRDefault="00346287" w:rsidP="00675787">
      <w:pPr>
        <w:pStyle w:val="SingleTxtG"/>
      </w:pPr>
      <w:r>
        <w:t>1</w:t>
      </w:r>
      <w:r>
        <w:rPr>
          <w:lang w:val="fr-CH"/>
        </w:rPr>
        <w:t>2</w:t>
      </w:r>
      <w:r w:rsidR="005A7E97" w:rsidRPr="002C7682">
        <w:t>.</w:t>
      </w:r>
      <w:r w:rsidR="005A7E97" w:rsidRPr="002C7682">
        <w:tab/>
        <w:t>The expert from Sweden anticipates vivid discussions on the item in all these meetings and reminds that the Programme of Work for the ICG sets out to complete the work w</w:t>
      </w:r>
      <w:r w:rsidR="00CD59D2" w:rsidRPr="002C7682">
        <w:t>ithin the current biennium</w:t>
      </w:r>
      <w:r w:rsidR="005A7E97" w:rsidRPr="002C7682">
        <w:t>.</w:t>
      </w:r>
      <w:r w:rsidR="00F51FCA" w:rsidRPr="002C7682">
        <w:rPr>
          <w:rStyle w:val="FootnoteReference"/>
        </w:rPr>
        <w:footnoteReference w:id="10"/>
      </w:r>
      <w:r w:rsidR="00CD59D2" w:rsidRPr="002C7682">
        <w:t xml:space="preserve"> Unless this time line can be met</w:t>
      </w:r>
      <w:r w:rsidR="00F51FCA" w:rsidRPr="002C7682">
        <w:t>,</w:t>
      </w:r>
      <w:r w:rsidR="00CD59D2" w:rsidRPr="002C7682">
        <w:t xml:space="preserve"> the work will either </w:t>
      </w:r>
      <w:r w:rsidR="00F51FCA" w:rsidRPr="002C7682">
        <w:t>have</w:t>
      </w:r>
      <w:r w:rsidR="00CD59D2" w:rsidRPr="002C7682">
        <w:t xml:space="preserve"> to be carried</w:t>
      </w:r>
      <w:r w:rsidR="00F51FCA" w:rsidRPr="002C7682">
        <w:t xml:space="preserve"> over</w:t>
      </w:r>
      <w:r w:rsidR="00CD59D2" w:rsidRPr="002C7682">
        <w:t xml:space="preserve"> into the next biennium or </w:t>
      </w:r>
      <w:r w:rsidR="005D3C6F" w:rsidRPr="002C7682">
        <w:t>put to a ha</w:t>
      </w:r>
      <w:r w:rsidR="00F51FCA" w:rsidRPr="002C7682">
        <w:t>lt</w:t>
      </w:r>
      <w:r w:rsidR="00CD59D2" w:rsidRPr="002C7682">
        <w:t>, and the experts of the SCEGHS should be prepared to take a stand on th</w:t>
      </w:r>
      <w:r w:rsidR="00F51FCA" w:rsidRPr="002C7682">
        <w:t>e preferred way forward</w:t>
      </w:r>
      <w:r w:rsidR="00CD59D2" w:rsidRPr="002C7682">
        <w:t xml:space="preserve"> before the December 2018 session.</w:t>
      </w:r>
    </w:p>
    <w:p w:rsidR="008D494E" w:rsidRPr="002C7682" w:rsidRDefault="00675787" w:rsidP="00675787">
      <w:pPr>
        <w:pStyle w:val="HChG"/>
      </w:pPr>
      <w:r>
        <w:tab/>
      </w:r>
      <w:r>
        <w:tab/>
      </w:r>
      <w:r w:rsidR="002D2BE0" w:rsidRPr="002C7682">
        <w:t>Acknowledgements</w:t>
      </w:r>
    </w:p>
    <w:p w:rsidR="00A43D6F" w:rsidRDefault="00346287" w:rsidP="00675787">
      <w:pPr>
        <w:pStyle w:val="SingleTxtG"/>
      </w:pPr>
      <w:r>
        <w:t>1</w:t>
      </w:r>
      <w:r>
        <w:rPr>
          <w:lang w:val="fr-CH"/>
        </w:rPr>
        <w:t>3</w:t>
      </w:r>
      <w:bookmarkStart w:id="0" w:name="_GoBack"/>
      <w:bookmarkEnd w:id="0"/>
      <w:r w:rsidR="008D494E" w:rsidRPr="002C7682">
        <w:t>.</w:t>
      </w:r>
      <w:r w:rsidR="00A43D6F" w:rsidRPr="002C7682">
        <w:tab/>
        <w:t>Finally, the expert from Sweden wishes to thank the ICG-members for their</w:t>
      </w:r>
      <w:r w:rsidR="001935E8" w:rsidRPr="002C7682">
        <w:t xml:space="preserve"> persistent</w:t>
      </w:r>
      <w:r w:rsidR="00A43D6F" w:rsidRPr="002C7682">
        <w:t xml:space="preserve"> work thus far</w:t>
      </w:r>
      <w:r w:rsidR="001935E8" w:rsidRPr="002C7682">
        <w:t>.</w:t>
      </w:r>
      <w:r w:rsidR="00CC7186" w:rsidRPr="002C7682">
        <w:t xml:space="preserve"> </w:t>
      </w:r>
      <w:r w:rsidR="001935E8" w:rsidRPr="002C7682">
        <w:t>I</w:t>
      </w:r>
      <w:r w:rsidR="00A43D6F" w:rsidRPr="002C7682">
        <w:t>n his view, the</w:t>
      </w:r>
      <w:r w:rsidR="00245E2B" w:rsidRPr="002C7682">
        <w:t xml:space="preserve"> </w:t>
      </w:r>
      <w:r w:rsidR="001935E8" w:rsidRPr="002C7682">
        <w:t xml:space="preserve">almost 50-50 </w:t>
      </w:r>
      <w:r w:rsidR="00A43D6F" w:rsidRPr="002C7682">
        <w:t xml:space="preserve">mixture of experts from the </w:t>
      </w:r>
      <w:r w:rsidR="00CC7186" w:rsidRPr="002C7682">
        <w:t xml:space="preserve">EWG and from the </w:t>
      </w:r>
      <w:r w:rsidR="00A43D6F" w:rsidRPr="002C7682">
        <w:t xml:space="preserve">SCEGHS </w:t>
      </w:r>
      <w:r w:rsidR="00CC7186" w:rsidRPr="002C7682">
        <w:t xml:space="preserve">in the ICG </w:t>
      </w:r>
      <w:r w:rsidR="001935E8" w:rsidRPr="002C7682">
        <w:t>is</w:t>
      </w:r>
      <w:r w:rsidR="00CC7186" w:rsidRPr="002C7682">
        <w:t xml:space="preserve"> a good way to work on the review of Chapter 2.1, taking into account </w:t>
      </w:r>
      <w:r w:rsidR="002D2BE0" w:rsidRPr="002C7682">
        <w:t>everything from</w:t>
      </w:r>
      <w:r w:rsidR="00CC7186" w:rsidRPr="002C7682">
        <w:t xml:space="preserve"> </w:t>
      </w:r>
      <w:r w:rsidR="001935E8" w:rsidRPr="002C7682">
        <w:t xml:space="preserve">detailed </w:t>
      </w:r>
      <w:r w:rsidR="00CC7186" w:rsidRPr="002C7682">
        <w:t>technical aspects of explosives</w:t>
      </w:r>
      <w:r w:rsidR="002D2BE0" w:rsidRPr="002C7682">
        <w:t xml:space="preserve"> and their transportation</w:t>
      </w:r>
      <w:r w:rsidR="00CC7186" w:rsidRPr="002C7682">
        <w:t xml:space="preserve"> </w:t>
      </w:r>
      <w:r w:rsidR="002D2BE0" w:rsidRPr="002C7682">
        <w:t>to</w:t>
      </w:r>
      <w:r w:rsidR="00CC7186" w:rsidRPr="002C7682">
        <w:t xml:space="preserve"> more general GHS-related aspects such as </w:t>
      </w:r>
      <w:r w:rsidR="00245E2B" w:rsidRPr="002C7682">
        <w:t xml:space="preserve">GHS </w:t>
      </w:r>
      <w:r w:rsidR="00CC7186" w:rsidRPr="002C7682">
        <w:t xml:space="preserve">hazard communication and </w:t>
      </w:r>
      <w:r w:rsidR="001935E8" w:rsidRPr="002C7682">
        <w:t xml:space="preserve">the </w:t>
      </w:r>
      <w:r w:rsidR="00CC7186" w:rsidRPr="002C7682">
        <w:t>practical functionality</w:t>
      </w:r>
      <w:r w:rsidR="00691A01" w:rsidRPr="002C7682">
        <w:t xml:space="preserve"> of the GHS</w:t>
      </w:r>
      <w:r w:rsidR="00245E2B" w:rsidRPr="002C7682">
        <w:t xml:space="preserve"> in various sectors</w:t>
      </w:r>
      <w:r w:rsidR="00CC7186" w:rsidRPr="002C7682">
        <w:t>.</w:t>
      </w:r>
    </w:p>
    <w:p w:rsidR="00675787" w:rsidRPr="00675787" w:rsidRDefault="00675787" w:rsidP="006757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5787" w:rsidRPr="002C7682" w:rsidRDefault="00675787" w:rsidP="00675787">
      <w:pPr>
        <w:pStyle w:val="SingleTxtG"/>
      </w:pPr>
    </w:p>
    <w:sectPr w:rsidR="00675787" w:rsidRPr="002C7682" w:rsidSect="009F2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EF" w:rsidRDefault="00DB4EEF"/>
  </w:endnote>
  <w:endnote w:type="continuationSeparator" w:id="0">
    <w:p w:rsidR="00DB4EEF" w:rsidRDefault="00DB4EEF"/>
  </w:endnote>
  <w:endnote w:type="continuationNotice" w:id="1">
    <w:p w:rsidR="00DB4EEF" w:rsidRDefault="00DB4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85" w:rsidRPr="009F228E" w:rsidRDefault="00094F85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346287">
          <w:rPr>
            <w:b/>
            <w:noProof/>
            <w:sz w:val="18"/>
            <w:szCs w:val="18"/>
          </w:rPr>
          <w:t>2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85" w:rsidRPr="009F228E" w:rsidRDefault="00094F85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346287">
          <w:rPr>
            <w:b/>
            <w:noProof/>
            <w:sz w:val="18"/>
            <w:szCs w:val="18"/>
          </w:rPr>
          <w:t>3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85" w:rsidRPr="00667788" w:rsidRDefault="00094F85" w:rsidP="009F228E">
    <w:pPr>
      <w:pStyle w:val="Footer"/>
      <w:jc w:val="right"/>
      <w:rPr>
        <w:b/>
        <w:sz w:val="22"/>
      </w:rPr>
    </w:pPr>
    <w:r w:rsidRPr="00667788">
      <w:rPr>
        <w:b/>
        <w:sz w:val="18"/>
      </w:rPr>
      <w:fldChar w:fldCharType="begin"/>
    </w:r>
    <w:r w:rsidRPr="00667788">
      <w:rPr>
        <w:b/>
        <w:sz w:val="18"/>
      </w:rPr>
      <w:instrText xml:space="preserve"> PAGE   \* MERGEFORMAT </w:instrText>
    </w:r>
    <w:r w:rsidRPr="00667788">
      <w:rPr>
        <w:b/>
        <w:sz w:val="18"/>
      </w:rPr>
      <w:fldChar w:fldCharType="separate"/>
    </w:r>
    <w:r w:rsidR="00346287">
      <w:rPr>
        <w:b/>
        <w:noProof/>
        <w:sz w:val="18"/>
      </w:rPr>
      <w:t>1</w:t>
    </w:r>
    <w:r w:rsidRPr="00667788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EF" w:rsidRPr="000B175B" w:rsidRDefault="00DB4E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4EEF" w:rsidRPr="00FC68B7" w:rsidRDefault="00DB4E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4EEF" w:rsidRDefault="00DB4EEF"/>
  </w:footnote>
  <w:footnote w:id="2">
    <w:p w:rsidR="00334AD7" w:rsidRPr="00F51FCA" w:rsidRDefault="00334AD7" w:rsidP="008628AA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34AD7">
          <w:rPr>
            <w:rStyle w:val="Hyperlink"/>
          </w:rPr>
          <w:t>ST/SG/AC.10/C.4/2018/7- ST/SG/AC.10/C.3/2018/33</w:t>
        </w:r>
      </w:hyperlink>
    </w:p>
  </w:footnote>
  <w:footnote w:id="3">
    <w:p w:rsidR="00334AD7" w:rsidRPr="00334AD7" w:rsidRDefault="00334AD7" w:rsidP="00675787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CD59D2" w:rsidRPr="00737B56">
        <w:rPr>
          <w:lang w:val="en-GB"/>
        </w:rPr>
        <w:t xml:space="preserve">See </w:t>
      </w:r>
      <w:hyperlink r:id="rId2" w:history="1">
        <w:r w:rsidRPr="00334AD7">
          <w:rPr>
            <w:rStyle w:val="Hyperlink"/>
          </w:rPr>
          <w:t>UN/SCEGHS/34/INF.20 - UN/SCETDG/52/INF.57</w:t>
        </w:r>
      </w:hyperlink>
    </w:p>
  </w:footnote>
  <w:footnote w:id="4">
    <w:p w:rsidR="00185EE4" w:rsidRPr="00185EE4" w:rsidRDefault="00185EE4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5EE4">
        <w:rPr>
          <w:lang w:val="en-GB"/>
        </w:rPr>
        <w:t xml:space="preserve">INF. 9 to the </w:t>
      </w:r>
      <w:proofErr w:type="gramStart"/>
      <w:r w:rsidRPr="00185EE4">
        <w:rPr>
          <w:lang w:val="en-GB"/>
        </w:rPr>
        <w:t>53:rd</w:t>
      </w:r>
      <w:proofErr w:type="gramEnd"/>
      <w:r w:rsidRPr="00185EE4">
        <w:rPr>
          <w:lang w:val="en-GB"/>
        </w:rPr>
        <w:t xml:space="preserve"> session of the SCETDG, UN/SCEGHS/35/INF.10 - UN/SCETDG/53/INF.9</w:t>
      </w:r>
    </w:p>
  </w:footnote>
  <w:footnote w:id="5">
    <w:p w:rsidR="003948C5" w:rsidRPr="003948C5" w:rsidRDefault="003948C5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IGUS is the </w:t>
      </w:r>
      <w:r w:rsidRPr="003948C5">
        <w:rPr>
          <w:lang w:val="en-GB"/>
        </w:rPr>
        <w:t xml:space="preserve">International </w:t>
      </w:r>
      <w:r>
        <w:rPr>
          <w:lang w:val="en-GB"/>
        </w:rPr>
        <w:t>G</w:t>
      </w:r>
      <w:r w:rsidRPr="003948C5">
        <w:rPr>
          <w:lang w:val="en-GB"/>
        </w:rPr>
        <w:t xml:space="preserve">roup of experts on the explosion risks of </w:t>
      </w:r>
      <w:r w:rsidR="00737B56">
        <w:rPr>
          <w:lang w:val="en-GB"/>
        </w:rPr>
        <w:t>Unstable Substances,</w:t>
      </w:r>
      <w:r>
        <w:rPr>
          <w:lang w:val="en-GB"/>
        </w:rPr>
        <w:t xml:space="preserve"> </w:t>
      </w:r>
      <w:hyperlink r:id="rId3" w:history="1">
        <w:r w:rsidRPr="00265254">
          <w:rPr>
            <w:rStyle w:val="Hyperlink"/>
            <w:lang w:val="en-GB"/>
          </w:rPr>
          <w:t>www.igus-experts.org</w:t>
        </w:r>
      </w:hyperlink>
    </w:p>
  </w:footnote>
  <w:footnote w:id="6">
    <w:p w:rsidR="00185EE4" w:rsidRPr="00185EE4" w:rsidRDefault="00185EE4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5EE4">
        <w:rPr>
          <w:lang w:val="en-GB"/>
        </w:rPr>
        <w:t>INF.</w:t>
      </w:r>
      <w:r>
        <w:rPr>
          <w:lang w:val="en-GB"/>
        </w:rPr>
        <w:t>33</w:t>
      </w:r>
      <w:r w:rsidRPr="00185EE4">
        <w:rPr>
          <w:lang w:val="en-GB"/>
        </w:rPr>
        <w:t xml:space="preserve"> </w:t>
      </w:r>
      <w:r>
        <w:rPr>
          <w:lang w:val="en-GB"/>
        </w:rPr>
        <w:t>t</w:t>
      </w:r>
      <w:r w:rsidRPr="00185EE4">
        <w:rPr>
          <w:lang w:val="en-GB"/>
        </w:rPr>
        <w:t>o the SCETDG, UN/SCEGHS/35/INF.15 - UN/SCETDG/53/INF.33</w:t>
      </w:r>
    </w:p>
  </w:footnote>
  <w:footnote w:id="7">
    <w:p w:rsidR="005A7E97" w:rsidRPr="005A7E97" w:rsidRDefault="005A7E97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A7E97">
        <w:rPr>
          <w:lang w:val="en-GB"/>
        </w:rPr>
        <w:t>See</w:t>
      </w:r>
      <w:r>
        <w:rPr>
          <w:lang w:val="en-GB"/>
        </w:rPr>
        <w:t xml:space="preserve"> </w:t>
      </w:r>
      <w:r w:rsidR="00737B56" w:rsidRPr="005A7E97">
        <w:rPr>
          <w:lang w:val="en-GB"/>
        </w:rPr>
        <w:t>UN/SCEGHS/35/INF.11</w:t>
      </w:r>
      <w:r w:rsidR="00737B56">
        <w:rPr>
          <w:lang w:val="en-GB"/>
        </w:rPr>
        <w:t xml:space="preserve"> and </w:t>
      </w:r>
      <w:r w:rsidRPr="005A7E97">
        <w:rPr>
          <w:lang w:val="en-GB"/>
        </w:rPr>
        <w:t>UN/SCETDG/53/INF.12</w:t>
      </w:r>
      <w:r>
        <w:rPr>
          <w:lang w:val="en-GB"/>
        </w:rPr>
        <w:t xml:space="preserve"> </w:t>
      </w:r>
      <w:r w:rsidRPr="005A7E97">
        <w:rPr>
          <w:lang w:val="en-GB"/>
        </w:rPr>
        <w:t>from the Secretariat</w:t>
      </w:r>
    </w:p>
  </w:footnote>
  <w:footnote w:id="8">
    <w:p w:rsidR="00161C20" w:rsidRPr="00161C20" w:rsidRDefault="00161C20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61C20">
        <w:rPr>
          <w:lang w:val="en-GB"/>
        </w:rPr>
        <w:t>See UN/SCETDG/53/INF.12 from the Secretariat, footnote **</w:t>
      </w:r>
    </w:p>
  </w:footnote>
  <w:footnote w:id="9">
    <w:p w:rsidR="005A7E97" w:rsidRPr="005A7E97" w:rsidRDefault="005A7E97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A7E97">
        <w:rPr>
          <w:lang w:val="en-GB"/>
        </w:rPr>
        <w:t>See UN/SCEGHS/35/INF.11</w:t>
      </w:r>
      <w:r>
        <w:rPr>
          <w:lang w:val="en-GB"/>
        </w:rPr>
        <w:t xml:space="preserve"> from the Secretariat</w:t>
      </w:r>
    </w:p>
  </w:footnote>
  <w:footnote w:id="10">
    <w:p w:rsidR="00F51FCA" w:rsidRPr="00F51FCA" w:rsidRDefault="00F51FCA" w:rsidP="00675787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 xml:space="preserve">See </w:t>
      </w:r>
      <w:r w:rsidRPr="00F51FCA">
        <w:t>UN/SCEGHS/33/INF.13 - UN/SCETDG/51/INF.44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85" w:rsidRPr="00364F88" w:rsidRDefault="00C67BD2" w:rsidP="00364F88">
    <w:pP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UN/SCEGHS/53</w:t>
    </w:r>
    <w:r w:rsidR="00094F85" w:rsidRPr="00364F88">
      <w:rPr>
        <w:b/>
        <w:sz w:val="18"/>
        <w:szCs w:val="18"/>
        <w:lang w:val="fr-CH"/>
      </w:rPr>
      <w:t>/INF.</w:t>
    </w:r>
    <w:r w:rsidR="008628AA">
      <w:rPr>
        <w:b/>
        <w:sz w:val="18"/>
        <w:szCs w:val="18"/>
        <w:lang w:val="fr-CH"/>
      </w:rPr>
      <w:t>46</w:t>
    </w:r>
  </w:p>
  <w:p w:rsidR="00094F85" w:rsidRPr="00364F88" w:rsidRDefault="00C67BD2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UN/SCETDG/35</w:t>
    </w:r>
    <w:r w:rsidR="00094F85" w:rsidRPr="00364F88">
      <w:rPr>
        <w:b/>
        <w:sz w:val="18"/>
        <w:szCs w:val="18"/>
        <w:lang w:val="fr-CH"/>
      </w:rPr>
      <w:t>/INF.</w:t>
    </w:r>
    <w:r w:rsidR="008628AA">
      <w:rPr>
        <w:b/>
        <w:sz w:val="18"/>
        <w:szCs w:val="18"/>
        <w:lang w:val="fr-CH"/>
      </w:rPr>
      <w:t>16</w:t>
    </w:r>
  </w:p>
  <w:p w:rsidR="00094F85" w:rsidRPr="00364F88" w:rsidRDefault="00094F85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D2" w:rsidRPr="00364F88" w:rsidRDefault="00C67BD2" w:rsidP="00C67BD2">
    <w:pP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UN/SCEGHS/53</w:t>
    </w:r>
    <w:r w:rsidRPr="00364F88">
      <w:rPr>
        <w:b/>
        <w:sz w:val="18"/>
        <w:szCs w:val="18"/>
        <w:lang w:val="fr-CH"/>
      </w:rPr>
      <w:t>/INF.</w:t>
    </w:r>
    <w:r w:rsidR="00675787">
      <w:rPr>
        <w:b/>
        <w:sz w:val="18"/>
        <w:szCs w:val="18"/>
        <w:lang w:val="fr-CH"/>
      </w:rPr>
      <w:t>46</w:t>
    </w:r>
  </w:p>
  <w:p w:rsidR="00C67BD2" w:rsidRPr="00364F88" w:rsidRDefault="00C67BD2" w:rsidP="00C67BD2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UN/SCETDG/35</w:t>
    </w:r>
    <w:r w:rsidRPr="00364F88">
      <w:rPr>
        <w:b/>
        <w:sz w:val="18"/>
        <w:szCs w:val="18"/>
        <w:lang w:val="fr-CH"/>
      </w:rPr>
      <w:t>/INF.</w:t>
    </w:r>
    <w:r w:rsidR="00675787">
      <w:rPr>
        <w:b/>
        <w:sz w:val="18"/>
        <w:szCs w:val="18"/>
        <w:lang w:val="fr-CH"/>
      </w:rPr>
      <w:t>16</w:t>
    </w:r>
  </w:p>
  <w:p w:rsidR="00094F85" w:rsidRPr="00C67BD2" w:rsidRDefault="00094F85" w:rsidP="00ED64BE">
    <w:pPr>
      <w:pStyle w:val="Header"/>
      <w:pBdr>
        <w:bottom w:val="none" w:sz="0" w:space="0" w:color="auto"/>
      </w:pBd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85" w:rsidRPr="0001748C" w:rsidRDefault="00094F85" w:rsidP="000174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20B62C4"/>
    <w:multiLevelType w:val="hybridMultilevel"/>
    <w:tmpl w:val="42E0DAE0"/>
    <w:lvl w:ilvl="0" w:tplc="43D6B45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0" w:hanging="360"/>
      </w:pPr>
    </w:lvl>
    <w:lvl w:ilvl="2" w:tplc="041D001B" w:tentative="1">
      <w:start w:val="1"/>
      <w:numFmt w:val="lowerRoman"/>
      <w:lvlText w:val="%3."/>
      <w:lvlJc w:val="right"/>
      <w:pPr>
        <w:ind w:left="2930" w:hanging="180"/>
      </w:pPr>
    </w:lvl>
    <w:lvl w:ilvl="3" w:tplc="041D000F" w:tentative="1">
      <w:start w:val="1"/>
      <w:numFmt w:val="decimal"/>
      <w:lvlText w:val="%4."/>
      <w:lvlJc w:val="left"/>
      <w:pPr>
        <w:ind w:left="3650" w:hanging="360"/>
      </w:pPr>
    </w:lvl>
    <w:lvl w:ilvl="4" w:tplc="041D0019" w:tentative="1">
      <w:start w:val="1"/>
      <w:numFmt w:val="lowerLetter"/>
      <w:lvlText w:val="%5."/>
      <w:lvlJc w:val="left"/>
      <w:pPr>
        <w:ind w:left="4370" w:hanging="360"/>
      </w:pPr>
    </w:lvl>
    <w:lvl w:ilvl="5" w:tplc="041D001B" w:tentative="1">
      <w:start w:val="1"/>
      <w:numFmt w:val="lowerRoman"/>
      <w:lvlText w:val="%6."/>
      <w:lvlJc w:val="right"/>
      <w:pPr>
        <w:ind w:left="5090" w:hanging="180"/>
      </w:pPr>
    </w:lvl>
    <w:lvl w:ilvl="6" w:tplc="041D000F" w:tentative="1">
      <w:start w:val="1"/>
      <w:numFmt w:val="decimal"/>
      <w:lvlText w:val="%7."/>
      <w:lvlJc w:val="left"/>
      <w:pPr>
        <w:ind w:left="5810" w:hanging="360"/>
      </w:pPr>
    </w:lvl>
    <w:lvl w:ilvl="7" w:tplc="041D0019" w:tentative="1">
      <w:start w:val="1"/>
      <w:numFmt w:val="lowerLetter"/>
      <w:lvlText w:val="%8."/>
      <w:lvlJc w:val="left"/>
      <w:pPr>
        <w:ind w:left="6530" w:hanging="360"/>
      </w:pPr>
    </w:lvl>
    <w:lvl w:ilvl="8" w:tplc="041D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4D6640"/>
    <w:multiLevelType w:val="hybridMultilevel"/>
    <w:tmpl w:val="E44AA2F6"/>
    <w:lvl w:ilvl="0" w:tplc="2410F5A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63F7EFE"/>
    <w:multiLevelType w:val="hybridMultilevel"/>
    <w:tmpl w:val="9ADED84A"/>
    <w:lvl w:ilvl="0" w:tplc="73B08C8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C127E5"/>
    <w:multiLevelType w:val="hybridMultilevel"/>
    <w:tmpl w:val="7AFEDC4E"/>
    <w:lvl w:ilvl="0" w:tplc="2410F5A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0541B98"/>
    <w:multiLevelType w:val="hybridMultilevel"/>
    <w:tmpl w:val="93FEE356"/>
    <w:lvl w:ilvl="0" w:tplc="EF2CFA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B807AA"/>
    <w:multiLevelType w:val="hybridMultilevel"/>
    <w:tmpl w:val="83885A56"/>
    <w:lvl w:ilvl="0" w:tplc="2410F5A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6E6D"/>
    <w:multiLevelType w:val="hybridMultilevel"/>
    <w:tmpl w:val="2D046792"/>
    <w:lvl w:ilvl="0" w:tplc="932A557A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A1EF5"/>
    <w:multiLevelType w:val="hybridMultilevel"/>
    <w:tmpl w:val="9A58BD6A"/>
    <w:lvl w:ilvl="0" w:tplc="932A557A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5C3949EA"/>
    <w:multiLevelType w:val="hybridMultilevel"/>
    <w:tmpl w:val="7F9046A6"/>
    <w:lvl w:ilvl="0" w:tplc="932A55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725E8E"/>
    <w:multiLevelType w:val="hybridMultilevel"/>
    <w:tmpl w:val="50123052"/>
    <w:lvl w:ilvl="0" w:tplc="932A55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14C32"/>
    <w:multiLevelType w:val="hybridMultilevel"/>
    <w:tmpl w:val="E18A1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37D"/>
    <w:multiLevelType w:val="multilevel"/>
    <w:tmpl w:val="A74C861C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CB40EA"/>
    <w:multiLevelType w:val="multilevel"/>
    <w:tmpl w:val="FF90FA82"/>
    <w:lvl w:ilvl="0">
      <w:start w:val="1"/>
      <w:numFmt w:val="lowerLetter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CA38D1"/>
    <w:multiLevelType w:val="hybridMultilevel"/>
    <w:tmpl w:val="70CA96A8"/>
    <w:lvl w:ilvl="0" w:tplc="FD740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2"/>
  </w:num>
  <w:num w:numId="14">
    <w:abstractNumId w:val="27"/>
  </w:num>
  <w:num w:numId="15">
    <w:abstractNumId w:val="29"/>
  </w:num>
  <w:num w:numId="16">
    <w:abstractNumId w:val="22"/>
  </w:num>
  <w:num w:numId="17">
    <w:abstractNumId w:val="20"/>
  </w:num>
  <w:num w:numId="18">
    <w:abstractNumId w:val="10"/>
  </w:num>
  <w:num w:numId="19">
    <w:abstractNumId w:val="11"/>
  </w:num>
  <w:num w:numId="20">
    <w:abstractNumId w:val="28"/>
  </w:num>
  <w:num w:numId="21">
    <w:abstractNumId w:val="13"/>
  </w:num>
  <w:num w:numId="22">
    <w:abstractNumId w:val="18"/>
  </w:num>
  <w:num w:numId="23">
    <w:abstractNumId w:val="30"/>
  </w:num>
  <w:num w:numId="24">
    <w:abstractNumId w:val="24"/>
  </w:num>
  <w:num w:numId="25">
    <w:abstractNumId w:val="26"/>
  </w:num>
  <w:num w:numId="26">
    <w:abstractNumId w:val="32"/>
  </w:num>
  <w:num w:numId="27">
    <w:abstractNumId w:val="31"/>
  </w:num>
  <w:num w:numId="28">
    <w:abstractNumId w:val="21"/>
  </w:num>
  <w:num w:numId="29">
    <w:abstractNumId w:val="23"/>
  </w:num>
  <w:num w:numId="30">
    <w:abstractNumId w:val="19"/>
  </w:num>
  <w:num w:numId="31">
    <w:abstractNumId w:val="17"/>
  </w:num>
  <w:num w:numId="32">
    <w:abstractNumId w:val="15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32E"/>
    <w:rsid w:val="000019B8"/>
    <w:rsid w:val="00004728"/>
    <w:rsid w:val="00006D38"/>
    <w:rsid w:val="00006FAE"/>
    <w:rsid w:val="00007091"/>
    <w:rsid w:val="00012EC1"/>
    <w:rsid w:val="000133C5"/>
    <w:rsid w:val="0001748C"/>
    <w:rsid w:val="00017D24"/>
    <w:rsid w:val="000216CC"/>
    <w:rsid w:val="00026BCF"/>
    <w:rsid w:val="000349B8"/>
    <w:rsid w:val="00036AF7"/>
    <w:rsid w:val="00043180"/>
    <w:rsid w:val="00046A06"/>
    <w:rsid w:val="00047E9F"/>
    <w:rsid w:val="000504CE"/>
    <w:rsid w:val="00050922"/>
    <w:rsid w:val="00050F6B"/>
    <w:rsid w:val="0005281B"/>
    <w:rsid w:val="0005317C"/>
    <w:rsid w:val="00053492"/>
    <w:rsid w:val="00055A0A"/>
    <w:rsid w:val="00056084"/>
    <w:rsid w:val="0005710C"/>
    <w:rsid w:val="00057E18"/>
    <w:rsid w:val="00064402"/>
    <w:rsid w:val="00067E6D"/>
    <w:rsid w:val="000701F4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077A"/>
    <w:rsid w:val="00091046"/>
    <w:rsid w:val="00091419"/>
    <w:rsid w:val="00091CB3"/>
    <w:rsid w:val="000920DD"/>
    <w:rsid w:val="00092776"/>
    <w:rsid w:val="000931C0"/>
    <w:rsid w:val="00094F85"/>
    <w:rsid w:val="000A2236"/>
    <w:rsid w:val="000A35F2"/>
    <w:rsid w:val="000A3A48"/>
    <w:rsid w:val="000A4C38"/>
    <w:rsid w:val="000B0F9E"/>
    <w:rsid w:val="000B175B"/>
    <w:rsid w:val="000B220E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0E6A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266E0"/>
    <w:rsid w:val="00127C32"/>
    <w:rsid w:val="00131B10"/>
    <w:rsid w:val="00131D42"/>
    <w:rsid w:val="00133C50"/>
    <w:rsid w:val="001349E1"/>
    <w:rsid w:val="001374FC"/>
    <w:rsid w:val="001406F4"/>
    <w:rsid w:val="00142117"/>
    <w:rsid w:val="00143116"/>
    <w:rsid w:val="00153065"/>
    <w:rsid w:val="001532D8"/>
    <w:rsid w:val="00161C20"/>
    <w:rsid w:val="001633FB"/>
    <w:rsid w:val="00163A1B"/>
    <w:rsid w:val="00165735"/>
    <w:rsid w:val="00167786"/>
    <w:rsid w:val="00171AA9"/>
    <w:rsid w:val="00181019"/>
    <w:rsid w:val="001835BF"/>
    <w:rsid w:val="00184B86"/>
    <w:rsid w:val="00185EE4"/>
    <w:rsid w:val="001935E8"/>
    <w:rsid w:val="001A02A4"/>
    <w:rsid w:val="001A24C9"/>
    <w:rsid w:val="001A457F"/>
    <w:rsid w:val="001B0DD8"/>
    <w:rsid w:val="001B35EE"/>
    <w:rsid w:val="001B4B04"/>
    <w:rsid w:val="001B6494"/>
    <w:rsid w:val="001B6B72"/>
    <w:rsid w:val="001B6F2D"/>
    <w:rsid w:val="001C2046"/>
    <w:rsid w:val="001C429D"/>
    <w:rsid w:val="001C6663"/>
    <w:rsid w:val="001C7895"/>
    <w:rsid w:val="001D1050"/>
    <w:rsid w:val="001D26DF"/>
    <w:rsid w:val="001D2FDC"/>
    <w:rsid w:val="001D3123"/>
    <w:rsid w:val="001D3A88"/>
    <w:rsid w:val="001D45AC"/>
    <w:rsid w:val="001D487C"/>
    <w:rsid w:val="001D4B2D"/>
    <w:rsid w:val="001D4E70"/>
    <w:rsid w:val="001D7C70"/>
    <w:rsid w:val="001E797C"/>
    <w:rsid w:val="001F1A1D"/>
    <w:rsid w:val="001F4C3F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3804"/>
    <w:rsid w:val="002440E7"/>
    <w:rsid w:val="00245E2B"/>
    <w:rsid w:val="00247570"/>
    <w:rsid w:val="00251170"/>
    <w:rsid w:val="00254BBE"/>
    <w:rsid w:val="002565E2"/>
    <w:rsid w:val="00256979"/>
    <w:rsid w:val="00257C1E"/>
    <w:rsid w:val="00261B2A"/>
    <w:rsid w:val="00261B71"/>
    <w:rsid w:val="002621F5"/>
    <w:rsid w:val="002708B5"/>
    <w:rsid w:val="00270DDB"/>
    <w:rsid w:val="00271EF4"/>
    <w:rsid w:val="002725CA"/>
    <w:rsid w:val="00273A92"/>
    <w:rsid w:val="00275AFF"/>
    <w:rsid w:val="00277896"/>
    <w:rsid w:val="00277A09"/>
    <w:rsid w:val="00277E2F"/>
    <w:rsid w:val="00280EB7"/>
    <w:rsid w:val="00284F82"/>
    <w:rsid w:val="00285189"/>
    <w:rsid w:val="00285676"/>
    <w:rsid w:val="002921EA"/>
    <w:rsid w:val="002976CF"/>
    <w:rsid w:val="002A0BD2"/>
    <w:rsid w:val="002A46AC"/>
    <w:rsid w:val="002A5B17"/>
    <w:rsid w:val="002B0609"/>
    <w:rsid w:val="002B067A"/>
    <w:rsid w:val="002B1514"/>
    <w:rsid w:val="002B1CDA"/>
    <w:rsid w:val="002C3DF0"/>
    <w:rsid w:val="002C7682"/>
    <w:rsid w:val="002C7F25"/>
    <w:rsid w:val="002D2BE0"/>
    <w:rsid w:val="002D5A85"/>
    <w:rsid w:val="002D5C7D"/>
    <w:rsid w:val="002D6CD7"/>
    <w:rsid w:val="002E35BB"/>
    <w:rsid w:val="002E42A4"/>
    <w:rsid w:val="002E63B5"/>
    <w:rsid w:val="002F323F"/>
    <w:rsid w:val="002F68FD"/>
    <w:rsid w:val="002F71C3"/>
    <w:rsid w:val="002F7870"/>
    <w:rsid w:val="003063E9"/>
    <w:rsid w:val="003107FA"/>
    <w:rsid w:val="00310B85"/>
    <w:rsid w:val="0031227E"/>
    <w:rsid w:val="00314824"/>
    <w:rsid w:val="00315D73"/>
    <w:rsid w:val="00316FF9"/>
    <w:rsid w:val="00321716"/>
    <w:rsid w:val="003229D8"/>
    <w:rsid w:val="00327D0A"/>
    <w:rsid w:val="00330180"/>
    <w:rsid w:val="00334AD7"/>
    <w:rsid w:val="00346287"/>
    <w:rsid w:val="0034686E"/>
    <w:rsid w:val="003517C3"/>
    <w:rsid w:val="00355502"/>
    <w:rsid w:val="00356BC7"/>
    <w:rsid w:val="00357A20"/>
    <w:rsid w:val="00357AF9"/>
    <w:rsid w:val="003608DC"/>
    <w:rsid w:val="003617CA"/>
    <w:rsid w:val="00363724"/>
    <w:rsid w:val="00364F88"/>
    <w:rsid w:val="00372F06"/>
    <w:rsid w:val="00374611"/>
    <w:rsid w:val="00385068"/>
    <w:rsid w:val="00391647"/>
    <w:rsid w:val="003921E6"/>
    <w:rsid w:val="0039277A"/>
    <w:rsid w:val="003948C5"/>
    <w:rsid w:val="00395FD7"/>
    <w:rsid w:val="00396F6A"/>
    <w:rsid w:val="003972E0"/>
    <w:rsid w:val="003A1EC2"/>
    <w:rsid w:val="003A446F"/>
    <w:rsid w:val="003A44C6"/>
    <w:rsid w:val="003A4561"/>
    <w:rsid w:val="003A52D7"/>
    <w:rsid w:val="003A5A16"/>
    <w:rsid w:val="003A6C7E"/>
    <w:rsid w:val="003B62FE"/>
    <w:rsid w:val="003B73AC"/>
    <w:rsid w:val="003C0657"/>
    <w:rsid w:val="003C18C9"/>
    <w:rsid w:val="003C1D2E"/>
    <w:rsid w:val="003C2CC4"/>
    <w:rsid w:val="003C655D"/>
    <w:rsid w:val="003C69DB"/>
    <w:rsid w:val="003D4B23"/>
    <w:rsid w:val="003D5245"/>
    <w:rsid w:val="003F23A4"/>
    <w:rsid w:val="003F3127"/>
    <w:rsid w:val="003F5B52"/>
    <w:rsid w:val="0040337D"/>
    <w:rsid w:val="00403EC6"/>
    <w:rsid w:val="00406CD4"/>
    <w:rsid w:val="00407DB1"/>
    <w:rsid w:val="004207CF"/>
    <w:rsid w:val="00430086"/>
    <w:rsid w:val="00430918"/>
    <w:rsid w:val="004325CB"/>
    <w:rsid w:val="004337AA"/>
    <w:rsid w:val="00433D90"/>
    <w:rsid w:val="004354EE"/>
    <w:rsid w:val="00437F3F"/>
    <w:rsid w:val="00440C1E"/>
    <w:rsid w:val="00442365"/>
    <w:rsid w:val="0044561C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730AC"/>
    <w:rsid w:val="004801A8"/>
    <w:rsid w:val="0048304D"/>
    <w:rsid w:val="00484A9B"/>
    <w:rsid w:val="00487B27"/>
    <w:rsid w:val="00490889"/>
    <w:rsid w:val="00492AF9"/>
    <w:rsid w:val="00494C77"/>
    <w:rsid w:val="00496A1D"/>
    <w:rsid w:val="00497711"/>
    <w:rsid w:val="004A7109"/>
    <w:rsid w:val="004B2C9D"/>
    <w:rsid w:val="004B54B0"/>
    <w:rsid w:val="004B5939"/>
    <w:rsid w:val="004B5C97"/>
    <w:rsid w:val="004B73D6"/>
    <w:rsid w:val="004C39D0"/>
    <w:rsid w:val="004C4F1A"/>
    <w:rsid w:val="004C6D6D"/>
    <w:rsid w:val="004C7EFE"/>
    <w:rsid w:val="004D6FC1"/>
    <w:rsid w:val="004E0C5D"/>
    <w:rsid w:val="004E1665"/>
    <w:rsid w:val="004F32CF"/>
    <w:rsid w:val="004F4240"/>
    <w:rsid w:val="004F5B8D"/>
    <w:rsid w:val="004F6341"/>
    <w:rsid w:val="004F77CD"/>
    <w:rsid w:val="00503603"/>
    <w:rsid w:val="00504307"/>
    <w:rsid w:val="00505EEB"/>
    <w:rsid w:val="00506778"/>
    <w:rsid w:val="00506DA7"/>
    <w:rsid w:val="00507CF1"/>
    <w:rsid w:val="00520D85"/>
    <w:rsid w:val="00522177"/>
    <w:rsid w:val="005230E8"/>
    <w:rsid w:val="00527910"/>
    <w:rsid w:val="005420F2"/>
    <w:rsid w:val="00542505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CB9"/>
    <w:rsid w:val="00571DAA"/>
    <w:rsid w:val="0058129D"/>
    <w:rsid w:val="00585B2B"/>
    <w:rsid w:val="00590144"/>
    <w:rsid w:val="00590CA2"/>
    <w:rsid w:val="00594F31"/>
    <w:rsid w:val="0059682C"/>
    <w:rsid w:val="005A3404"/>
    <w:rsid w:val="005A64DD"/>
    <w:rsid w:val="005A7E97"/>
    <w:rsid w:val="005B09F0"/>
    <w:rsid w:val="005B0CED"/>
    <w:rsid w:val="005B27F5"/>
    <w:rsid w:val="005B3DB3"/>
    <w:rsid w:val="005B528A"/>
    <w:rsid w:val="005C4CB5"/>
    <w:rsid w:val="005D03AD"/>
    <w:rsid w:val="005D0C6C"/>
    <w:rsid w:val="005D3C6F"/>
    <w:rsid w:val="005D6A38"/>
    <w:rsid w:val="005E2220"/>
    <w:rsid w:val="005E5946"/>
    <w:rsid w:val="005F37AA"/>
    <w:rsid w:val="005F3A39"/>
    <w:rsid w:val="005F3E24"/>
    <w:rsid w:val="005F589C"/>
    <w:rsid w:val="005F5C2F"/>
    <w:rsid w:val="005F5C79"/>
    <w:rsid w:val="005F5E54"/>
    <w:rsid w:val="005F78C7"/>
    <w:rsid w:val="005F7BB1"/>
    <w:rsid w:val="00602490"/>
    <w:rsid w:val="00603E3C"/>
    <w:rsid w:val="0060539D"/>
    <w:rsid w:val="00611FC4"/>
    <w:rsid w:val="00612812"/>
    <w:rsid w:val="006176FB"/>
    <w:rsid w:val="00626B06"/>
    <w:rsid w:val="00626B77"/>
    <w:rsid w:val="00626DE3"/>
    <w:rsid w:val="006279AC"/>
    <w:rsid w:val="00627A45"/>
    <w:rsid w:val="0063419C"/>
    <w:rsid w:val="00635381"/>
    <w:rsid w:val="00636986"/>
    <w:rsid w:val="00636E9C"/>
    <w:rsid w:val="00637542"/>
    <w:rsid w:val="00640B26"/>
    <w:rsid w:val="00641194"/>
    <w:rsid w:val="00645A0B"/>
    <w:rsid w:val="006500BA"/>
    <w:rsid w:val="006501B9"/>
    <w:rsid w:val="006506DB"/>
    <w:rsid w:val="0065533E"/>
    <w:rsid w:val="00662121"/>
    <w:rsid w:val="00662E09"/>
    <w:rsid w:val="00667788"/>
    <w:rsid w:val="006678CB"/>
    <w:rsid w:val="00667C6B"/>
    <w:rsid w:val="00670CF0"/>
    <w:rsid w:val="00675787"/>
    <w:rsid w:val="00675F87"/>
    <w:rsid w:val="00690CD6"/>
    <w:rsid w:val="00691A01"/>
    <w:rsid w:val="006937F4"/>
    <w:rsid w:val="0069386C"/>
    <w:rsid w:val="006A2DE2"/>
    <w:rsid w:val="006A3932"/>
    <w:rsid w:val="006A5B6B"/>
    <w:rsid w:val="006A63E3"/>
    <w:rsid w:val="006A7392"/>
    <w:rsid w:val="006B1C55"/>
    <w:rsid w:val="006C0D34"/>
    <w:rsid w:val="006C251B"/>
    <w:rsid w:val="006C2F7E"/>
    <w:rsid w:val="006D3560"/>
    <w:rsid w:val="006D3FCD"/>
    <w:rsid w:val="006D5EAD"/>
    <w:rsid w:val="006D6ED0"/>
    <w:rsid w:val="006E36E7"/>
    <w:rsid w:val="006E3B65"/>
    <w:rsid w:val="006E4FFE"/>
    <w:rsid w:val="006E564B"/>
    <w:rsid w:val="0070032B"/>
    <w:rsid w:val="007025C0"/>
    <w:rsid w:val="00707F04"/>
    <w:rsid w:val="007111B4"/>
    <w:rsid w:val="00711637"/>
    <w:rsid w:val="00714F4F"/>
    <w:rsid w:val="00715844"/>
    <w:rsid w:val="007171D6"/>
    <w:rsid w:val="00717216"/>
    <w:rsid w:val="0072632A"/>
    <w:rsid w:val="0072757A"/>
    <w:rsid w:val="00731C28"/>
    <w:rsid w:val="00733FA4"/>
    <w:rsid w:val="00736E6A"/>
    <w:rsid w:val="0073721A"/>
    <w:rsid w:val="00737B56"/>
    <w:rsid w:val="00741401"/>
    <w:rsid w:val="00741F59"/>
    <w:rsid w:val="007427B7"/>
    <w:rsid w:val="00745519"/>
    <w:rsid w:val="0074697D"/>
    <w:rsid w:val="00747CCD"/>
    <w:rsid w:val="007540D5"/>
    <w:rsid w:val="00755EBE"/>
    <w:rsid w:val="00761619"/>
    <w:rsid w:val="0076177C"/>
    <w:rsid w:val="00763C33"/>
    <w:rsid w:val="0076464C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445F"/>
    <w:rsid w:val="00786434"/>
    <w:rsid w:val="00790791"/>
    <w:rsid w:val="0079467F"/>
    <w:rsid w:val="007958B8"/>
    <w:rsid w:val="00796F36"/>
    <w:rsid w:val="007A2218"/>
    <w:rsid w:val="007A2CDB"/>
    <w:rsid w:val="007A2E4E"/>
    <w:rsid w:val="007A62EC"/>
    <w:rsid w:val="007A68E7"/>
    <w:rsid w:val="007B1A7E"/>
    <w:rsid w:val="007B208C"/>
    <w:rsid w:val="007B2BA8"/>
    <w:rsid w:val="007B3039"/>
    <w:rsid w:val="007B6BA5"/>
    <w:rsid w:val="007B76E8"/>
    <w:rsid w:val="007C138A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173"/>
    <w:rsid w:val="00800859"/>
    <w:rsid w:val="008037A2"/>
    <w:rsid w:val="0081124D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47C83"/>
    <w:rsid w:val="0086107D"/>
    <w:rsid w:val="008628AA"/>
    <w:rsid w:val="00864251"/>
    <w:rsid w:val="00865914"/>
    <w:rsid w:val="00867E90"/>
    <w:rsid w:val="00871FD5"/>
    <w:rsid w:val="0087494C"/>
    <w:rsid w:val="00881213"/>
    <w:rsid w:val="008850F2"/>
    <w:rsid w:val="008979B1"/>
    <w:rsid w:val="008A0B75"/>
    <w:rsid w:val="008A0E8F"/>
    <w:rsid w:val="008A1542"/>
    <w:rsid w:val="008A2128"/>
    <w:rsid w:val="008A6B25"/>
    <w:rsid w:val="008A6C4F"/>
    <w:rsid w:val="008A7679"/>
    <w:rsid w:val="008A7AB3"/>
    <w:rsid w:val="008B0105"/>
    <w:rsid w:val="008B1986"/>
    <w:rsid w:val="008B2B6D"/>
    <w:rsid w:val="008B469C"/>
    <w:rsid w:val="008B65FB"/>
    <w:rsid w:val="008C3B3C"/>
    <w:rsid w:val="008C4283"/>
    <w:rsid w:val="008C74C3"/>
    <w:rsid w:val="008C7BF7"/>
    <w:rsid w:val="008D134F"/>
    <w:rsid w:val="008D3C75"/>
    <w:rsid w:val="008D494E"/>
    <w:rsid w:val="008D6942"/>
    <w:rsid w:val="008E0E46"/>
    <w:rsid w:val="008E1DAE"/>
    <w:rsid w:val="008E295A"/>
    <w:rsid w:val="008E5C63"/>
    <w:rsid w:val="008F2D9A"/>
    <w:rsid w:val="008F44B8"/>
    <w:rsid w:val="008F504A"/>
    <w:rsid w:val="008F5F57"/>
    <w:rsid w:val="00904EBC"/>
    <w:rsid w:val="009077B4"/>
    <w:rsid w:val="00920DDC"/>
    <w:rsid w:val="00923019"/>
    <w:rsid w:val="00924B63"/>
    <w:rsid w:val="00924E15"/>
    <w:rsid w:val="00925AA3"/>
    <w:rsid w:val="00926D41"/>
    <w:rsid w:val="009363B6"/>
    <w:rsid w:val="00940F46"/>
    <w:rsid w:val="00941ECC"/>
    <w:rsid w:val="009422AF"/>
    <w:rsid w:val="00945A5D"/>
    <w:rsid w:val="00946A0D"/>
    <w:rsid w:val="00955109"/>
    <w:rsid w:val="00955907"/>
    <w:rsid w:val="00956EDF"/>
    <w:rsid w:val="009600BB"/>
    <w:rsid w:val="00961E94"/>
    <w:rsid w:val="00963B67"/>
    <w:rsid w:val="00963CBA"/>
    <w:rsid w:val="00965E1A"/>
    <w:rsid w:val="00967457"/>
    <w:rsid w:val="0096797E"/>
    <w:rsid w:val="009701ED"/>
    <w:rsid w:val="009803ED"/>
    <w:rsid w:val="009825BD"/>
    <w:rsid w:val="00984471"/>
    <w:rsid w:val="00985BA8"/>
    <w:rsid w:val="00985F37"/>
    <w:rsid w:val="009879EA"/>
    <w:rsid w:val="00987C3F"/>
    <w:rsid w:val="009908A5"/>
    <w:rsid w:val="0099124E"/>
    <w:rsid w:val="00991261"/>
    <w:rsid w:val="009953D5"/>
    <w:rsid w:val="009A1D29"/>
    <w:rsid w:val="009B056A"/>
    <w:rsid w:val="009B643B"/>
    <w:rsid w:val="009B7FCE"/>
    <w:rsid w:val="009C6394"/>
    <w:rsid w:val="009D0E2A"/>
    <w:rsid w:val="009D0F0E"/>
    <w:rsid w:val="009D1AAE"/>
    <w:rsid w:val="009D1DEE"/>
    <w:rsid w:val="009D2246"/>
    <w:rsid w:val="009D634E"/>
    <w:rsid w:val="009E1560"/>
    <w:rsid w:val="009E47FC"/>
    <w:rsid w:val="009F0F06"/>
    <w:rsid w:val="009F228E"/>
    <w:rsid w:val="009F369A"/>
    <w:rsid w:val="009F4FC5"/>
    <w:rsid w:val="009F7AF2"/>
    <w:rsid w:val="00A04F4C"/>
    <w:rsid w:val="00A06982"/>
    <w:rsid w:val="00A06F1A"/>
    <w:rsid w:val="00A11695"/>
    <w:rsid w:val="00A1427D"/>
    <w:rsid w:val="00A235F1"/>
    <w:rsid w:val="00A24DFD"/>
    <w:rsid w:val="00A342C8"/>
    <w:rsid w:val="00A34B00"/>
    <w:rsid w:val="00A3777A"/>
    <w:rsid w:val="00A43D6F"/>
    <w:rsid w:val="00A50077"/>
    <w:rsid w:val="00A505AA"/>
    <w:rsid w:val="00A54CA8"/>
    <w:rsid w:val="00A60196"/>
    <w:rsid w:val="00A60CAE"/>
    <w:rsid w:val="00A6199C"/>
    <w:rsid w:val="00A622AF"/>
    <w:rsid w:val="00A65F4A"/>
    <w:rsid w:val="00A66636"/>
    <w:rsid w:val="00A67B16"/>
    <w:rsid w:val="00A71119"/>
    <w:rsid w:val="00A714AE"/>
    <w:rsid w:val="00A721CE"/>
    <w:rsid w:val="00A72F22"/>
    <w:rsid w:val="00A744D7"/>
    <w:rsid w:val="00A748A6"/>
    <w:rsid w:val="00A74A46"/>
    <w:rsid w:val="00A75EC9"/>
    <w:rsid w:val="00A80145"/>
    <w:rsid w:val="00A80CFB"/>
    <w:rsid w:val="00A810D4"/>
    <w:rsid w:val="00A83538"/>
    <w:rsid w:val="00A8523D"/>
    <w:rsid w:val="00A879A4"/>
    <w:rsid w:val="00AA1D9A"/>
    <w:rsid w:val="00AA32EB"/>
    <w:rsid w:val="00AB382F"/>
    <w:rsid w:val="00AB4CF1"/>
    <w:rsid w:val="00AB60B4"/>
    <w:rsid w:val="00AB75AE"/>
    <w:rsid w:val="00AC7E37"/>
    <w:rsid w:val="00AD0165"/>
    <w:rsid w:val="00AD34EE"/>
    <w:rsid w:val="00AD5A2F"/>
    <w:rsid w:val="00AD7C88"/>
    <w:rsid w:val="00AE271D"/>
    <w:rsid w:val="00AE45DE"/>
    <w:rsid w:val="00AF0846"/>
    <w:rsid w:val="00AF0878"/>
    <w:rsid w:val="00AF2F9D"/>
    <w:rsid w:val="00AF3D50"/>
    <w:rsid w:val="00AF6710"/>
    <w:rsid w:val="00B00B2E"/>
    <w:rsid w:val="00B013E6"/>
    <w:rsid w:val="00B04866"/>
    <w:rsid w:val="00B04D66"/>
    <w:rsid w:val="00B07B23"/>
    <w:rsid w:val="00B10C19"/>
    <w:rsid w:val="00B1157C"/>
    <w:rsid w:val="00B1501F"/>
    <w:rsid w:val="00B15454"/>
    <w:rsid w:val="00B23B4A"/>
    <w:rsid w:val="00B25AF1"/>
    <w:rsid w:val="00B26710"/>
    <w:rsid w:val="00B26B3C"/>
    <w:rsid w:val="00B30179"/>
    <w:rsid w:val="00B314CB"/>
    <w:rsid w:val="00B3317B"/>
    <w:rsid w:val="00B35D5F"/>
    <w:rsid w:val="00B36C43"/>
    <w:rsid w:val="00B3742B"/>
    <w:rsid w:val="00B41384"/>
    <w:rsid w:val="00B4398E"/>
    <w:rsid w:val="00B52C8C"/>
    <w:rsid w:val="00B535B3"/>
    <w:rsid w:val="00B5392B"/>
    <w:rsid w:val="00B65556"/>
    <w:rsid w:val="00B71D71"/>
    <w:rsid w:val="00B71E2B"/>
    <w:rsid w:val="00B73DA8"/>
    <w:rsid w:val="00B74F7C"/>
    <w:rsid w:val="00B75691"/>
    <w:rsid w:val="00B75E05"/>
    <w:rsid w:val="00B81E12"/>
    <w:rsid w:val="00B84944"/>
    <w:rsid w:val="00B84AAC"/>
    <w:rsid w:val="00B90F54"/>
    <w:rsid w:val="00B91CC3"/>
    <w:rsid w:val="00B92A0C"/>
    <w:rsid w:val="00B93068"/>
    <w:rsid w:val="00B953A7"/>
    <w:rsid w:val="00B95488"/>
    <w:rsid w:val="00BB0F02"/>
    <w:rsid w:val="00BB176D"/>
    <w:rsid w:val="00BB1E7F"/>
    <w:rsid w:val="00BB3B28"/>
    <w:rsid w:val="00BC03C8"/>
    <w:rsid w:val="00BC0C09"/>
    <w:rsid w:val="00BC1431"/>
    <w:rsid w:val="00BC1AC9"/>
    <w:rsid w:val="00BC4BF8"/>
    <w:rsid w:val="00BC4C36"/>
    <w:rsid w:val="00BC5D32"/>
    <w:rsid w:val="00BC74E9"/>
    <w:rsid w:val="00BD109F"/>
    <w:rsid w:val="00BE0423"/>
    <w:rsid w:val="00BE1FF8"/>
    <w:rsid w:val="00BE3609"/>
    <w:rsid w:val="00BE50CA"/>
    <w:rsid w:val="00BE618E"/>
    <w:rsid w:val="00BE7EDE"/>
    <w:rsid w:val="00BF0842"/>
    <w:rsid w:val="00BF479B"/>
    <w:rsid w:val="00BF4DE2"/>
    <w:rsid w:val="00BF65D7"/>
    <w:rsid w:val="00C00565"/>
    <w:rsid w:val="00C0236F"/>
    <w:rsid w:val="00C0263F"/>
    <w:rsid w:val="00C03B44"/>
    <w:rsid w:val="00C13A85"/>
    <w:rsid w:val="00C15366"/>
    <w:rsid w:val="00C218A4"/>
    <w:rsid w:val="00C23936"/>
    <w:rsid w:val="00C30546"/>
    <w:rsid w:val="00C36D37"/>
    <w:rsid w:val="00C4087B"/>
    <w:rsid w:val="00C430B5"/>
    <w:rsid w:val="00C463DD"/>
    <w:rsid w:val="00C46D5B"/>
    <w:rsid w:val="00C530B1"/>
    <w:rsid w:val="00C537D5"/>
    <w:rsid w:val="00C62F76"/>
    <w:rsid w:val="00C63A69"/>
    <w:rsid w:val="00C66D78"/>
    <w:rsid w:val="00C67BD2"/>
    <w:rsid w:val="00C745C3"/>
    <w:rsid w:val="00C8038E"/>
    <w:rsid w:val="00C80791"/>
    <w:rsid w:val="00C81212"/>
    <w:rsid w:val="00C81C2E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A7E7D"/>
    <w:rsid w:val="00CB143B"/>
    <w:rsid w:val="00CB2158"/>
    <w:rsid w:val="00CB22C9"/>
    <w:rsid w:val="00CB6380"/>
    <w:rsid w:val="00CC3CD6"/>
    <w:rsid w:val="00CC4CA6"/>
    <w:rsid w:val="00CC7186"/>
    <w:rsid w:val="00CD0009"/>
    <w:rsid w:val="00CD158A"/>
    <w:rsid w:val="00CD160D"/>
    <w:rsid w:val="00CD30EE"/>
    <w:rsid w:val="00CD3225"/>
    <w:rsid w:val="00CD59D2"/>
    <w:rsid w:val="00CE2F07"/>
    <w:rsid w:val="00CE4083"/>
    <w:rsid w:val="00CE46BA"/>
    <w:rsid w:val="00CE4A8F"/>
    <w:rsid w:val="00CE6FAE"/>
    <w:rsid w:val="00CF1F97"/>
    <w:rsid w:val="00CF6F32"/>
    <w:rsid w:val="00CF778D"/>
    <w:rsid w:val="00D00A82"/>
    <w:rsid w:val="00D02531"/>
    <w:rsid w:val="00D034DC"/>
    <w:rsid w:val="00D0631B"/>
    <w:rsid w:val="00D06C3A"/>
    <w:rsid w:val="00D06D86"/>
    <w:rsid w:val="00D07C57"/>
    <w:rsid w:val="00D07FC9"/>
    <w:rsid w:val="00D13148"/>
    <w:rsid w:val="00D164BA"/>
    <w:rsid w:val="00D202CC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732"/>
    <w:rsid w:val="00D658FA"/>
    <w:rsid w:val="00D67CDD"/>
    <w:rsid w:val="00D730E3"/>
    <w:rsid w:val="00D753D8"/>
    <w:rsid w:val="00D76D45"/>
    <w:rsid w:val="00D91B95"/>
    <w:rsid w:val="00D91E0D"/>
    <w:rsid w:val="00D920D7"/>
    <w:rsid w:val="00D9274F"/>
    <w:rsid w:val="00D94023"/>
    <w:rsid w:val="00D95944"/>
    <w:rsid w:val="00D96248"/>
    <w:rsid w:val="00D96CC5"/>
    <w:rsid w:val="00D978C6"/>
    <w:rsid w:val="00D97B77"/>
    <w:rsid w:val="00DA2714"/>
    <w:rsid w:val="00DA332C"/>
    <w:rsid w:val="00DA3716"/>
    <w:rsid w:val="00DA5E2B"/>
    <w:rsid w:val="00DA6620"/>
    <w:rsid w:val="00DA67AD"/>
    <w:rsid w:val="00DB4EEF"/>
    <w:rsid w:val="00DB655F"/>
    <w:rsid w:val="00DB7084"/>
    <w:rsid w:val="00DC581A"/>
    <w:rsid w:val="00DC7D59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74B"/>
    <w:rsid w:val="00E05B1C"/>
    <w:rsid w:val="00E07015"/>
    <w:rsid w:val="00E11783"/>
    <w:rsid w:val="00E130AB"/>
    <w:rsid w:val="00E1679E"/>
    <w:rsid w:val="00E16FF3"/>
    <w:rsid w:val="00E239A0"/>
    <w:rsid w:val="00E34E58"/>
    <w:rsid w:val="00E3560E"/>
    <w:rsid w:val="00E36838"/>
    <w:rsid w:val="00E36C10"/>
    <w:rsid w:val="00E37F10"/>
    <w:rsid w:val="00E40B76"/>
    <w:rsid w:val="00E42461"/>
    <w:rsid w:val="00E42732"/>
    <w:rsid w:val="00E42926"/>
    <w:rsid w:val="00E4443D"/>
    <w:rsid w:val="00E4670F"/>
    <w:rsid w:val="00E50B2D"/>
    <w:rsid w:val="00E52EB0"/>
    <w:rsid w:val="00E54352"/>
    <w:rsid w:val="00E545E1"/>
    <w:rsid w:val="00E54D18"/>
    <w:rsid w:val="00E5644E"/>
    <w:rsid w:val="00E5691C"/>
    <w:rsid w:val="00E57F0E"/>
    <w:rsid w:val="00E631BA"/>
    <w:rsid w:val="00E6448B"/>
    <w:rsid w:val="00E6613A"/>
    <w:rsid w:val="00E6705C"/>
    <w:rsid w:val="00E67F31"/>
    <w:rsid w:val="00E7260F"/>
    <w:rsid w:val="00E730D8"/>
    <w:rsid w:val="00E73EB3"/>
    <w:rsid w:val="00E7545A"/>
    <w:rsid w:val="00E81230"/>
    <w:rsid w:val="00E84898"/>
    <w:rsid w:val="00E8535A"/>
    <w:rsid w:val="00E864B4"/>
    <w:rsid w:val="00E864BE"/>
    <w:rsid w:val="00E90647"/>
    <w:rsid w:val="00E96630"/>
    <w:rsid w:val="00EA002B"/>
    <w:rsid w:val="00EA0364"/>
    <w:rsid w:val="00EA11F3"/>
    <w:rsid w:val="00EA2DCD"/>
    <w:rsid w:val="00EA48C4"/>
    <w:rsid w:val="00EA76EE"/>
    <w:rsid w:val="00EA772F"/>
    <w:rsid w:val="00EB1763"/>
    <w:rsid w:val="00EB2AE3"/>
    <w:rsid w:val="00EB4C06"/>
    <w:rsid w:val="00EB51D5"/>
    <w:rsid w:val="00EB65EF"/>
    <w:rsid w:val="00EB67DE"/>
    <w:rsid w:val="00EB6832"/>
    <w:rsid w:val="00EB71BA"/>
    <w:rsid w:val="00EB798F"/>
    <w:rsid w:val="00EC14E9"/>
    <w:rsid w:val="00EC271A"/>
    <w:rsid w:val="00EC755A"/>
    <w:rsid w:val="00ED128B"/>
    <w:rsid w:val="00ED3508"/>
    <w:rsid w:val="00ED3F6F"/>
    <w:rsid w:val="00ED64BE"/>
    <w:rsid w:val="00ED7A2A"/>
    <w:rsid w:val="00EE4D59"/>
    <w:rsid w:val="00EE4E42"/>
    <w:rsid w:val="00EE73C3"/>
    <w:rsid w:val="00EF18D3"/>
    <w:rsid w:val="00EF1D7F"/>
    <w:rsid w:val="00EF4AAC"/>
    <w:rsid w:val="00EF6FCD"/>
    <w:rsid w:val="00F01C57"/>
    <w:rsid w:val="00F03FA2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26B0"/>
    <w:rsid w:val="00F34267"/>
    <w:rsid w:val="00F3574D"/>
    <w:rsid w:val="00F40295"/>
    <w:rsid w:val="00F40E75"/>
    <w:rsid w:val="00F412D3"/>
    <w:rsid w:val="00F4216E"/>
    <w:rsid w:val="00F444E3"/>
    <w:rsid w:val="00F44619"/>
    <w:rsid w:val="00F5039C"/>
    <w:rsid w:val="00F5087E"/>
    <w:rsid w:val="00F519D1"/>
    <w:rsid w:val="00F51BAB"/>
    <w:rsid w:val="00F51FCA"/>
    <w:rsid w:val="00F5233F"/>
    <w:rsid w:val="00F52DB2"/>
    <w:rsid w:val="00F535BE"/>
    <w:rsid w:val="00F54674"/>
    <w:rsid w:val="00F64C95"/>
    <w:rsid w:val="00F72514"/>
    <w:rsid w:val="00F736C5"/>
    <w:rsid w:val="00F75E96"/>
    <w:rsid w:val="00F77398"/>
    <w:rsid w:val="00F80C07"/>
    <w:rsid w:val="00F940FF"/>
    <w:rsid w:val="00F944BF"/>
    <w:rsid w:val="00FA00A0"/>
    <w:rsid w:val="00FA1E00"/>
    <w:rsid w:val="00FA345C"/>
    <w:rsid w:val="00FA3FB7"/>
    <w:rsid w:val="00FA7800"/>
    <w:rsid w:val="00FB5A37"/>
    <w:rsid w:val="00FB5DD6"/>
    <w:rsid w:val="00FB7793"/>
    <w:rsid w:val="00FC18AA"/>
    <w:rsid w:val="00FC215C"/>
    <w:rsid w:val="00FC286A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2FEF1"/>
  <w15:docId w15:val="{1C4309C1-818F-4971-A9E7-36D6EA3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table" w:customStyle="1" w:styleId="TableGrid10">
    <w:name w:val="Table Grid1"/>
    <w:basedOn w:val="TableNormal"/>
    <w:next w:val="TableGrid"/>
    <w:uiPriority w:val="39"/>
    <w:rsid w:val="00E16F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SBodyText">
    <w:name w:val="GHSBody Text"/>
    <w:basedOn w:val="BodyText"/>
    <w:link w:val="GHSBodyTextChar"/>
    <w:rsid w:val="00C67BD2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00" w:line="240" w:lineRule="auto"/>
      <w:jc w:val="both"/>
    </w:pPr>
    <w:rPr>
      <w:rFonts w:eastAsia="Times New Roman"/>
      <w:sz w:val="22"/>
    </w:rPr>
  </w:style>
  <w:style w:type="character" w:customStyle="1" w:styleId="GHSBodyTextChar">
    <w:name w:val="GHSBody Text Char"/>
    <w:link w:val="GHSBodyText"/>
    <w:rsid w:val="00C67BD2"/>
    <w:rPr>
      <w:rFonts w:eastAsia="Times New Roman"/>
      <w:sz w:val="22"/>
      <w:lang w:eastAsia="en-US"/>
    </w:rPr>
  </w:style>
  <w:style w:type="paragraph" w:customStyle="1" w:styleId="Body">
    <w:name w:val="Body"/>
    <w:rsid w:val="00C67B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us-experts.org/" TargetMode="External"/><Relationship Id="rId2" Type="http://schemas.openxmlformats.org/officeDocument/2006/relationships/hyperlink" Target="http://www.unece.org/fileadmin/DAM/trans/doc/2017/dgac10c4/UN-SCEGHS-34-INF20e-UN-SCETDG-52-INF57e.pdf" TargetMode="External"/><Relationship Id="rId1" Type="http://schemas.openxmlformats.org/officeDocument/2006/relationships/hyperlink" Target="http://www.unece.org/fileadmin/DAM/trans/doc/2018/dgac10c4/ST-SG-AC.10-C.4-2018-7e-ST-SG-AC.10-C.3-2018-33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A2CC-7DC3-4D2A-A1E2-689D0EBE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14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6</cp:revision>
  <cp:lastPrinted>2018-06-18T09:23:00Z</cp:lastPrinted>
  <dcterms:created xsi:type="dcterms:W3CDTF">2018-06-18T09:19:00Z</dcterms:created>
  <dcterms:modified xsi:type="dcterms:W3CDTF">2018-06-18T12:49:00Z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