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351141" w14:paraId="699FFD94" w14:textId="77777777" w:rsidTr="002351A4">
        <w:trPr>
          <w:cantSplit/>
          <w:trHeight w:hRule="exact" w:val="851"/>
        </w:trPr>
        <w:tc>
          <w:tcPr>
            <w:tcW w:w="9639" w:type="dxa"/>
            <w:tcBorders>
              <w:bottom w:val="single" w:sz="4" w:space="0" w:color="auto"/>
            </w:tcBorders>
            <w:vAlign w:val="bottom"/>
          </w:tcPr>
          <w:p w14:paraId="0470775E" w14:textId="1E123926" w:rsidR="00EF1CE4" w:rsidRPr="002351A4" w:rsidRDefault="00EF1CE4" w:rsidP="00983A91">
            <w:pPr>
              <w:jc w:val="right"/>
              <w:rPr>
                <w:b/>
                <w:sz w:val="40"/>
                <w:szCs w:val="40"/>
                <w:lang w:val="de-DE"/>
              </w:rPr>
            </w:pPr>
            <w:r w:rsidRPr="002351A4">
              <w:rPr>
                <w:b/>
                <w:sz w:val="40"/>
                <w:szCs w:val="40"/>
                <w:lang w:val="de-DE"/>
              </w:rPr>
              <w:t>UN/SCETDG/</w:t>
            </w:r>
            <w:r w:rsidR="002B3467">
              <w:rPr>
                <w:b/>
                <w:sz w:val="40"/>
                <w:szCs w:val="40"/>
                <w:lang w:val="de-DE"/>
              </w:rPr>
              <w:t>53</w:t>
            </w:r>
            <w:r w:rsidRPr="002351A4">
              <w:rPr>
                <w:b/>
                <w:sz w:val="40"/>
                <w:szCs w:val="40"/>
                <w:lang w:val="de-DE"/>
              </w:rPr>
              <w:t>/INF.</w:t>
            </w:r>
            <w:r w:rsidR="006135B1">
              <w:rPr>
                <w:b/>
                <w:sz w:val="40"/>
                <w:szCs w:val="40"/>
                <w:lang w:val="de-DE"/>
              </w:rPr>
              <w:t>44</w:t>
            </w:r>
          </w:p>
        </w:tc>
      </w:tr>
      <w:tr w:rsidR="00EF1CE4" w:rsidRPr="007E344F" w14:paraId="1243C123" w14:textId="77777777" w:rsidTr="00643C19">
        <w:trPr>
          <w:cantSplit/>
          <w:trHeight w:hRule="exact" w:val="2990"/>
        </w:trPr>
        <w:tc>
          <w:tcPr>
            <w:tcW w:w="9639" w:type="dxa"/>
            <w:tcBorders>
              <w:top w:val="single" w:sz="4" w:space="0" w:color="auto"/>
            </w:tcBorders>
          </w:tcPr>
          <w:p w14:paraId="39D00BF4" w14:textId="77777777" w:rsidR="00EF1CE4" w:rsidRPr="007E344F" w:rsidRDefault="00EF1CE4" w:rsidP="002351A4">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7D676CC6" w14:textId="79B684B3" w:rsidR="00EF1CE4" w:rsidRPr="007E344F" w:rsidRDefault="00EF1CE4" w:rsidP="002351A4">
            <w:pPr>
              <w:tabs>
                <w:tab w:val="right" w:pos="9639"/>
              </w:tabs>
              <w:spacing w:before="120"/>
              <w:rPr>
                <w:b/>
              </w:rPr>
            </w:pPr>
            <w:r w:rsidRPr="007E344F">
              <w:rPr>
                <w:b/>
              </w:rPr>
              <w:t>Sub-Committee of Experts on the Transport of Dangerous Goods</w:t>
            </w:r>
            <w:r w:rsidRPr="007E344F">
              <w:rPr>
                <w:b/>
              </w:rPr>
              <w:tab/>
            </w:r>
            <w:r w:rsidR="006135B1">
              <w:rPr>
                <w:b/>
              </w:rPr>
              <w:t>18</w:t>
            </w:r>
            <w:r w:rsidR="002E3863">
              <w:rPr>
                <w:b/>
              </w:rPr>
              <w:t xml:space="preserve"> June</w:t>
            </w:r>
            <w:r w:rsidR="00351141" w:rsidRPr="00B63392">
              <w:rPr>
                <w:b/>
              </w:rPr>
              <w:t xml:space="preserve"> 2018</w:t>
            </w:r>
          </w:p>
          <w:p w14:paraId="03C4DFAB" w14:textId="77777777" w:rsidR="00EF1CE4" w:rsidRPr="007B2B1F" w:rsidRDefault="00EF1CE4" w:rsidP="002351A4">
            <w:pPr>
              <w:spacing w:before="120"/>
              <w:rPr>
                <w:b/>
              </w:rPr>
            </w:pPr>
            <w:bookmarkStart w:id="0" w:name="_Hlk499723475"/>
            <w:r>
              <w:rPr>
                <w:b/>
              </w:rPr>
              <w:t>Fifty-</w:t>
            </w:r>
            <w:r w:rsidR="00711345">
              <w:rPr>
                <w:b/>
              </w:rPr>
              <w:t>third</w:t>
            </w:r>
            <w:r w:rsidRPr="007B2B1F">
              <w:rPr>
                <w:b/>
              </w:rPr>
              <w:t xml:space="preserve"> session</w:t>
            </w:r>
            <w:bookmarkEnd w:id="0"/>
          </w:p>
          <w:p w14:paraId="17A5D0F9" w14:textId="4F4E9A00" w:rsidR="00721C71" w:rsidRDefault="00721C71" w:rsidP="00721C71">
            <w:pPr>
              <w:tabs>
                <w:tab w:val="left" w:pos="6361"/>
                <w:tab w:val="left" w:pos="6939"/>
              </w:tabs>
              <w:spacing w:before="40"/>
              <w:outlineLvl w:val="0"/>
            </w:pPr>
            <w:r w:rsidRPr="006500BA">
              <w:t>Geneva,</w:t>
            </w:r>
            <w:r>
              <w:t xml:space="preserve"> 25 June-4 July 2018</w:t>
            </w:r>
          </w:p>
          <w:p w14:paraId="591EEBAA" w14:textId="0B5218F9" w:rsidR="00EF1CE4" w:rsidRPr="00154226" w:rsidRDefault="00643C19" w:rsidP="00962357">
            <w:pPr>
              <w:spacing w:line="240" w:lineRule="exact"/>
              <w:rPr>
                <w:b/>
              </w:rPr>
            </w:pPr>
            <w:r>
              <w:t xml:space="preserve">Item </w:t>
            </w:r>
            <w:r w:rsidR="00FF3B4F">
              <w:t>6 (b)</w:t>
            </w:r>
            <w:r w:rsidR="00374FB8">
              <w:t xml:space="preserve"> </w:t>
            </w:r>
            <w:r w:rsidR="00EF1CE4" w:rsidRPr="00D63626">
              <w:t>of the provisional agenda</w:t>
            </w:r>
            <w:r w:rsidR="00EF1CE4">
              <w:br/>
            </w:r>
            <w:r w:rsidR="00FF3B4F" w:rsidRPr="00FF3B4F">
              <w:rPr>
                <w:b/>
                <w:bCs/>
              </w:rPr>
              <w:t xml:space="preserve">Miscellaneous proposals for amendments to the Model </w:t>
            </w:r>
            <w:r w:rsidR="00FF3B4F" w:rsidRPr="00FF3B4F">
              <w:rPr>
                <w:b/>
                <w:bCs/>
              </w:rPr>
              <w:br/>
            </w:r>
            <w:r w:rsidR="00FF3B4F" w:rsidRPr="00FF3B4F">
              <w:rPr>
                <w:b/>
                <w:bCs/>
              </w:rPr>
              <w:t>Regulations on the Transport of Dangerous Goods</w:t>
            </w:r>
            <w:r w:rsidR="00FF3B4F" w:rsidRPr="00FF3B4F">
              <w:rPr>
                <w:b/>
                <w:bCs/>
              </w:rPr>
              <w:t>:</w:t>
            </w:r>
            <w:r w:rsidR="00FF3B4F" w:rsidRPr="00FF3B4F">
              <w:rPr>
                <w:b/>
                <w:bCs/>
              </w:rPr>
              <w:br/>
            </w:r>
            <w:proofErr w:type="spellStart"/>
            <w:r w:rsidR="00FF3B4F">
              <w:rPr>
                <w:b/>
                <w:bCs/>
              </w:rPr>
              <w:t>p</w:t>
            </w:r>
            <w:r w:rsidR="00FF3B4F" w:rsidRPr="00FF3B4F">
              <w:rPr>
                <w:b/>
                <w:bCs/>
              </w:rPr>
              <w:t>ackagings</w:t>
            </w:r>
            <w:proofErr w:type="spellEnd"/>
          </w:p>
        </w:tc>
      </w:tr>
    </w:tbl>
    <w:p w14:paraId="7659FACA" w14:textId="6843D76B" w:rsidR="0001028B" w:rsidRPr="0001028B" w:rsidRDefault="00A27C4C" w:rsidP="00687B76">
      <w:pPr>
        <w:pStyle w:val="HChG"/>
        <w:spacing w:before="120"/>
      </w:pPr>
      <w:r>
        <w:tab/>
      </w:r>
      <w:r>
        <w:tab/>
      </w:r>
      <w:bookmarkStart w:id="1" w:name="_GoBack"/>
      <w:r w:rsidR="00983A91">
        <w:t xml:space="preserve">Comments on 2018/49: </w:t>
      </w:r>
      <w:r w:rsidR="002E3863">
        <w:t xml:space="preserve">Multiple marking of </w:t>
      </w:r>
      <w:proofErr w:type="spellStart"/>
      <w:r w:rsidR="002E3863">
        <w:t>packagings</w:t>
      </w:r>
      <w:proofErr w:type="spellEnd"/>
      <w:r w:rsidR="002E3863">
        <w:t xml:space="preserve">, including intermediate bulk containers (IBCs) and large </w:t>
      </w:r>
      <w:proofErr w:type="spellStart"/>
      <w:r w:rsidR="002E3863">
        <w:t>packagings</w:t>
      </w:r>
      <w:proofErr w:type="spellEnd"/>
      <w:r w:rsidR="002E3863">
        <w:t>, indicating conformity with more than one successfully tested design type (part II)</w:t>
      </w:r>
      <w:bookmarkEnd w:id="1"/>
    </w:p>
    <w:p w14:paraId="74F707EC" w14:textId="1B0BE981" w:rsidR="00351141" w:rsidRPr="00093FAC" w:rsidRDefault="00A27C4C" w:rsidP="002E3863">
      <w:pPr>
        <w:pStyle w:val="H1G"/>
        <w:spacing w:after="0" w:line="240" w:lineRule="auto"/>
      </w:pPr>
      <w:r>
        <w:tab/>
      </w:r>
      <w:r>
        <w:tab/>
      </w:r>
      <w:r w:rsidR="00351141" w:rsidRPr="00F51F72">
        <w:t xml:space="preserve">Transmitted by the </w:t>
      </w:r>
      <w:r w:rsidR="00983A91">
        <w:t>expert from the United Kingdom</w:t>
      </w:r>
      <w:r w:rsidR="00351141" w:rsidRPr="00F51F72">
        <w:t xml:space="preserve"> </w:t>
      </w:r>
    </w:p>
    <w:p w14:paraId="3902E1CB" w14:textId="3F5B2381" w:rsidR="00983A91" w:rsidRDefault="00527BCC" w:rsidP="006135B1">
      <w:pPr>
        <w:pStyle w:val="SingleTxtG"/>
        <w:tabs>
          <w:tab w:val="left" w:pos="1701"/>
        </w:tabs>
        <w:spacing w:before="240"/>
      </w:pPr>
      <w:r>
        <w:t>1.</w:t>
      </w:r>
      <w:r w:rsidR="00983A91">
        <w:tab/>
      </w:r>
      <w:r w:rsidR="00983A91" w:rsidRPr="00080B2A">
        <w:t xml:space="preserve">This </w:t>
      </w:r>
      <w:r w:rsidR="00983A91" w:rsidRPr="002E3863">
        <w:t>information paper is related to paragraph 7 onwards in ST/SG/AC.10/C.3/</w:t>
      </w:r>
      <w:r w:rsidR="00983A91" w:rsidRPr="006135B1">
        <w:t>2018</w:t>
      </w:r>
      <w:r w:rsidR="00983A91" w:rsidRPr="002E3863">
        <w:t xml:space="preserve">/49, submitted by CEFIC and DGAC. </w:t>
      </w:r>
      <w:proofErr w:type="gramStart"/>
      <w:r w:rsidR="00983A91" w:rsidRPr="002E3863">
        <w:t>In particular, it</w:t>
      </w:r>
      <w:proofErr w:type="gramEnd"/>
      <w:r w:rsidR="00983A91" w:rsidRPr="00080B2A">
        <w:rPr>
          <w:b/>
        </w:rPr>
        <w:t xml:space="preserve"> </w:t>
      </w:r>
      <w:r w:rsidR="00983A91" w:rsidRPr="00080B2A">
        <w:t>addresses the matter of approvals that could be given to two different design types such as packaging and large packaging, or packaging and IBC.</w:t>
      </w:r>
    </w:p>
    <w:p w14:paraId="25835493" w14:textId="6DCDB9B7" w:rsidR="00983A91" w:rsidRPr="006135B1" w:rsidRDefault="00983A91" w:rsidP="006135B1">
      <w:pPr>
        <w:pStyle w:val="SingleTxtG"/>
        <w:tabs>
          <w:tab w:val="left" w:pos="1701"/>
        </w:tabs>
        <w:rPr>
          <w:rStyle w:val="SingleTxtGChar"/>
        </w:rPr>
      </w:pPr>
      <w:r w:rsidRPr="006135B1">
        <w:rPr>
          <w:rStyle w:val="SingleTxtGChar"/>
        </w:rPr>
        <w:t xml:space="preserve">2. </w:t>
      </w:r>
      <w:r w:rsidRPr="006135B1">
        <w:rPr>
          <w:rStyle w:val="SingleTxtGChar"/>
        </w:rPr>
        <w:tab/>
        <w:t xml:space="preserve">The origins of this blurring between packaging and large packaging or packaging and IBC, can be traced back to an amendment that first appeared in the 18th edition of the </w:t>
      </w:r>
      <w:r w:rsidR="002E3863" w:rsidRPr="006135B1">
        <w:rPr>
          <w:rStyle w:val="SingleTxtGChar"/>
        </w:rPr>
        <w:t xml:space="preserve">Model </w:t>
      </w:r>
      <w:r w:rsidR="007438CE" w:rsidRPr="006135B1">
        <w:rPr>
          <w:rStyle w:val="SingleTxtGChar"/>
        </w:rPr>
        <w:t>Regulations</w:t>
      </w:r>
      <w:r w:rsidR="006135B1">
        <w:rPr>
          <w:rStyle w:val="SingleTxtGChar"/>
        </w:rPr>
        <w:t xml:space="preserve"> in Chapter 6.1, from a </w:t>
      </w:r>
      <w:r w:rsidRPr="006135B1">
        <w:rPr>
          <w:rStyle w:val="SingleTxtGChar"/>
        </w:rPr>
        <w:t>paper submitted by Germany (ST/SG/AC.10/C.3/2011/34). The issue raised at the time related to a box of 2300 x 800 x 300mm which had a capacity of 552 litres, but a gross mass of 25kg to 30kg. The box did not therefore meet the scope for testing as a packaging in Chapter 6.1, and because it was so light and was apparently not fitted with any means of mechanical handling it did not meet the definition of large packaging in 1.2.1. The alternative use of a W marked package was ruled out because it only relates to variances in the design in 6.6.4.</w:t>
      </w:r>
    </w:p>
    <w:p w14:paraId="397D72A4" w14:textId="77777777" w:rsidR="00983A91" w:rsidRPr="006135B1" w:rsidRDefault="00983A91" w:rsidP="006135B1">
      <w:pPr>
        <w:pStyle w:val="SingleTxtG"/>
        <w:tabs>
          <w:tab w:val="left" w:pos="1701"/>
        </w:tabs>
        <w:rPr>
          <w:rStyle w:val="SingleTxtGChar"/>
        </w:rPr>
      </w:pPr>
      <w:r w:rsidRPr="006135B1">
        <w:rPr>
          <w:rStyle w:val="SingleTxtGChar"/>
        </w:rPr>
        <w:t>3.</w:t>
      </w:r>
      <w:r w:rsidRPr="006135B1">
        <w:rPr>
          <w:rStyle w:val="SingleTxtGChar"/>
        </w:rPr>
        <w:tab/>
        <w:t>The amendment changed 6.1.1.1 (d) from “</w:t>
      </w:r>
      <w:proofErr w:type="spellStart"/>
      <w:r w:rsidRPr="006135B1">
        <w:rPr>
          <w:rStyle w:val="SingleTxtGChar"/>
        </w:rPr>
        <w:t>Packagings</w:t>
      </w:r>
      <w:proofErr w:type="spellEnd"/>
      <w:r w:rsidRPr="006135B1">
        <w:rPr>
          <w:rStyle w:val="SingleTxtGChar"/>
        </w:rPr>
        <w:t xml:space="preserve"> with a capacity exceeding 450 litres” (17th and earlier editions) which gave a clear demarcation to “</w:t>
      </w:r>
      <w:proofErr w:type="spellStart"/>
      <w:r w:rsidRPr="006135B1">
        <w:rPr>
          <w:rStyle w:val="SingleTxtGChar"/>
        </w:rPr>
        <w:t>Packagings</w:t>
      </w:r>
      <w:proofErr w:type="spellEnd"/>
      <w:r w:rsidRPr="006135B1">
        <w:rPr>
          <w:rStyle w:val="SingleTxtGChar"/>
        </w:rPr>
        <w:t xml:space="preserve"> for liquids, other than combination </w:t>
      </w:r>
      <w:proofErr w:type="spellStart"/>
      <w:r w:rsidRPr="006135B1">
        <w:rPr>
          <w:rStyle w:val="SingleTxtGChar"/>
        </w:rPr>
        <w:t>packagings</w:t>
      </w:r>
      <w:proofErr w:type="spellEnd"/>
      <w:r w:rsidRPr="006135B1">
        <w:rPr>
          <w:rStyle w:val="SingleTxtGChar"/>
        </w:rPr>
        <w:t xml:space="preserve">, with a capacity exceeding 450 litres.” The current issues </w:t>
      </w:r>
      <w:proofErr w:type="gramStart"/>
      <w:r w:rsidRPr="006135B1">
        <w:rPr>
          <w:rStyle w:val="SingleTxtGChar"/>
        </w:rPr>
        <w:t>seems</w:t>
      </w:r>
      <w:proofErr w:type="gramEnd"/>
      <w:r w:rsidRPr="006135B1">
        <w:rPr>
          <w:rStyle w:val="SingleTxtGChar"/>
        </w:rPr>
        <w:t xml:space="preserve"> to be a direct and unanticipated consequence of this amendment. It therefore follows that undoing this amendment would help to restore the division between </w:t>
      </w:r>
      <w:proofErr w:type="spellStart"/>
      <w:r w:rsidRPr="006135B1">
        <w:rPr>
          <w:rStyle w:val="SingleTxtGChar"/>
        </w:rPr>
        <w:t>packagings</w:t>
      </w:r>
      <w:proofErr w:type="spellEnd"/>
      <w:r w:rsidRPr="006135B1">
        <w:rPr>
          <w:rStyle w:val="SingleTxtGChar"/>
        </w:rPr>
        <w:t xml:space="preserve"> and large </w:t>
      </w:r>
      <w:proofErr w:type="spellStart"/>
      <w:r w:rsidRPr="006135B1">
        <w:rPr>
          <w:rStyle w:val="SingleTxtGChar"/>
        </w:rPr>
        <w:t>packagings</w:t>
      </w:r>
      <w:proofErr w:type="spellEnd"/>
      <w:r w:rsidRPr="006135B1">
        <w:rPr>
          <w:rStyle w:val="SingleTxtGChar"/>
        </w:rPr>
        <w:t xml:space="preserve">, and </w:t>
      </w:r>
      <w:proofErr w:type="spellStart"/>
      <w:r w:rsidRPr="006135B1">
        <w:rPr>
          <w:rStyle w:val="SingleTxtGChar"/>
        </w:rPr>
        <w:t>packagings</w:t>
      </w:r>
      <w:proofErr w:type="spellEnd"/>
      <w:r w:rsidRPr="006135B1">
        <w:rPr>
          <w:rStyle w:val="SingleTxtGChar"/>
        </w:rPr>
        <w:t xml:space="preserve"> and IBCs.</w:t>
      </w:r>
    </w:p>
    <w:p w14:paraId="4EBDED4E" w14:textId="77777777" w:rsidR="00983A91" w:rsidRDefault="00983A91" w:rsidP="00FF3B4F">
      <w:pPr>
        <w:pStyle w:val="SingleTxtG"/>
        <w:tabs>
          <w:tab w:val="left" w:pos="1701"/>
        </w:tabs>
      </w:pPr>
      <w:r>
        <w:t>4.</w:t>
      </w:r>
      <w:r>
        <w:tab/>
      </w:r>
      <w:r w:rsidRPr="00080B2A">
        <w:t xml:space="preserve">The expert from the United Kingdom has recently seen </w:t>
      </w:r>
      <w:proofErr w:type="gramStart"/>
      <w:r w:rsidRPr="00080B2A">
        <w:t>a number of</w:t>
      </w:r>
      <w:proofErr w:type="gramEnd"/>
      <w:r w:rsidRPr="00080B2A">
        <w:t xml:space="preserve"> approval certificates that have been issued as 4A</w:t>
      </w:r>
      <w:r w:rsidRPr="00080B2A">
        <w:rPr>
          <w:b/>
        </w:rPr>
        <w:t>,</w:t>
      </w:r>
      <w:r w:rsidRPr="00080B2A">
        <w:t xml:space="preserve"> where the </w:t>
      </w:r>
      <w:proofErr w:type="spellStart"/>
      <w:r w:rsidRPr="00080B2A">
        <w:t>packagings</w:t>
      </w:r>
      <w:proofErr w:type="spellEnd"/>
      <w:r w:rsidRPr="00080B2A">
        <w:t xml:space="preserve"> have volumes over 1000 litres</w:t>
      </w:r>
      <w:r w:rsidRPr="00080B2A">
        <w:rPr>
          <w:b/>
        </w:rPr>
        <w:t xml:space="preserve"> and</w:t>
      </w:r>
      <w:r w:rsidRPr="00080B2A">
        <w:t xml:space="preserve"> have pallet type fork lift bases</w:t>
      </w:r>
      <w:r w:rsidRPr="00080B2A">
        <w:rPr>
          <w:b/>
        </w:rPr>
        <w:t>,</w:t>
      </w:r>
      <w:r w:rsidRPr="00080B2A">
        <w:t xml:space="preserve"> but have contents restricted to 400kg net mass. We have been unable to obtain copies of the test reports to ascertain if these packages have been tested according to chapter 6.1 or chapter 6.6. The expert from the United Kingdom believes that the certifying body may have overlooked the definition of a large packaging in issuing the approval in these cases. Large packaging (b) “exceeds 400 kg net mass or 450 litres capacity but has a volume of not more than 3 m</w:t>
      </w:r>
      <w:r w:rsidRPr="00080B2A">
        <w:rPr>
          <w:vertAlign w:val="superscript"/>
        </w:rPr>
        <w:t>3”</w:t>
      </w:r>
      <w:r w:rsidRPr="00080B2A">
        <w:rPr>
          <w:b/>
          <w:vertAlign w:val="superscript"/>
        </w:rPr>
        <w:t>.</w:t>
      </w:r>
      <w:r w:rsidRPr="00080B2A">
        <w:rPr>
          <w:vertAlign w:val="superscript"/>
        </w:rPr>
        <w:t xml:space="preserve"> </w:t>
      </w:r>
      <w:r w:rsidRPr="00080B2A">
        <w:t xml:space="preserve">There are no caveats for liquids because a large packaging can only contain inner </w:t>
      </w:r>
      <w:proofErr w:type="spellStart"/>
      <w:r w:rsidRPr="00080B2A">
        <w:t>packagings</w:t>
      </w:r>
      <w:proofErr w:type="spellEnd"/>
      <w:r w:rsidRPr="00080B2A">
        <w:t xml:space="preserve"> or articles.</w:t>
      </w:r>
      <w:r>
        <w:t xml:space="preserve"> </w:t>
      </w:r>
    </w:p>
    <w:p w14:paraId="7826E945" w14:textId="77777777" w:rsidR="00983A91" w:rsidRDefault="00983A91" w:rsidP="006135B1">
      <w:pPr>
        <w:pStyle w:val="Header"/>
        <w:tabs>
          <w:tab w:val="clear" w:pos="4513"/>
          <w:tab w:val="clear" w:pos="9026"/>
        </w:tabs>
        <w:ind w:left="993" w:right="429"/>
        <w:jc w:val="both"/>
        <w:rPr>
          <w:szCs w:val="24"/>
        </w:rPr>
      </w:pPr>
    </w:p>
    <w:p w14:paraId="44AB70A2" w14:textId="0192941D" w:rsidR="0012551A" w:rsidRDefault="00983A91" w:rsidP="006135B1">
      <w:pPr>
        <w:pStyle w:val="SingleTxtG"/>
        <w:tabs>
          <w:tab w:val="left" w:pos="1701"/>
        </w:tabs>
      </w:pPr>
      <w:r>
        <w:lastRenderedPageBreak/>
        <w:t>5.</w:t>
      </w:r>
      <w:r>
        <w:tab/>
      </w:r>
      <w:r w:rsidRPr="00080B2A">
        <w:t>Based on this analysis</w:t>
      </w:r>
      <w:r w:rsidRPr="00080B2A">
        <w:rPr>
          <w:b/>
        </w:rPr>
        <w:t>,</w:t>
      </w:r>
      <w:r w:rsidRPr="00080B2A">
        <w:t xml:space="preserve"> the expert from the United Kingdom believes that if the current provisions are properly applied then there should be no instances where a packaging can also be approved as either a large packaging or an IBC</w:t>
      </w:r>
      <w:r w:rsidR="00FF3B4F">
        <w:t>. Dual marking of an IBC and a l</w:t>
      </w:r>
      <w:r w:rsidRPr="00080B2A">
        <w:t>arge packaging is a possibility where testing has been done for say solids (IBC) and again for articles (large packaging). It might be advantageous for the sake of clarity to reassert the division by returning the text in 6.1</w:t>
      </w:r>
      <w:r w:rsidR="00FF3B4F">
        <w:t>.1.1</w:t>
      </w:r>
      <w:r w:rsidRPr="00080B2A">
        <w:t xml:space="preserve"> (d) to its original form.</w:t>
      </w:r>
    </w:p>
    <w:p w14:paraId="53B3238F" w14:textId="4A670FE4" w:rsidR="006135B1" w:rsidRPr="006135B1" w:rsidRDefault="006135B1" w:rsidP="006135B1">
      <w:pPr>
        <w:pStyle w:val="Header"/>
        <w:tabs>
          <w:tab w:val="clear" w:pos="4513"/>
          <w:tab w:val="clear" w:pos="9026"/>
        </w:tabs>
        <w:spacing w:before="240" w:line="240" w:lineRule="atLeast"/>
        <w:ind w:left="1134" w:right="1134"/>
        <w:jc w:val="center"/>
        <w:rPr>
          <w:szCs w:val="24"/>
          <w:u w:val="single"/>
        </w:rPr>
      </w:pPr>
      <w:r>
        <w:rPr>
          <w:szCs w:val="24"/>
          <w:u w:val="single"/>
        </w:rPr>
        <w:tab/>
      </w:r>
      <w:r>
        <w:rPr>
          <w:szCs w:val="24"/>
          <w:u w:val="single"/>
        </w:rPr>
        <w:tab/>
      </w:r>
      <w:r>
        <w:rPr>
          <w:szCs w:val="24"/>
          <w:u w:val="single"/>
        </w:rPr>
        <w:tab/>
      </w:r>
    </w:p>
    <w:p w14:paraId="7995AAD0" w14:textId="3BD079A8" w:rsidR="006135B1" w:rsidRDefault="006135B1" w:rsidP="006135B1">
      <w:pPr>
        <w:pStyle w:val="Header"/>
        <w:tabs>
          <w:tab w:val="clear" w:pos="4513"/>
          <w:tab w:val="clear" w:pos="9026"/>
        </w:tabs>
        <w:ind w:left="993" w:right="429"/>
        <w:jc w:val="both"/>
        <w:rPr>
          <w:szCs w:val="24"/>
        </w:rPr>
      </w:pPr>
    </w:p>
    <w:p w14:paraId="47D7E325" w14:textId="7A07A753" w:rsidR="006135B1" w:rsidRDefault="006135B1" w:rsidP="006135B1">
      <w:pPr>
        <w:pStyle w:val="Header"/>
        <w:tabs>
          <w:tab w:val="clear" w:pos="4513"/>
          <w:tab w:val="clear" w:pos="9026"/>
        </w:tabs>
        <w:ind w:left="993" w:right="429"/>
        <w:jc w:val="both"/>
        <w:rPr>
          <w:szCs w:val="24"/>
        </w:rPr>
      </w:pPr>
    </w:p>
    <w:p w14:paraId="12AB1E0E" w14:textId="35B77341" w:rsidR="006135B1" w:rsidRDefault="006135B1" w:rsidP="006135B1">
      <w:pPr>
        <w:pStyle w:val="Header"/>
        <w:tabs>
          <w:tab w:val="clear" w:pos="4513"/>
          <w:tab w:val="clear" w:pos="9026"/>
        </w:tabs>
        <w:ind w:left="993" w:right="429"/>
        <w:jc w:val="both"/>
        <w:rPr>
          <w:szCs w:val="24"/>
        </w:rPr>
      </w:pPr>
    </w:p>
    <w:p w14:paraId="59CD64E5" w14:textId="77777777" w:rsidR="006135B1" w:rsidRPr="006271DE" w:rsidRDefault="006135B1" w:rsidP="006135B1">
      <w:pPr>
        <w:pStyle w:val="Header"/>
        <w:tabs>
          <w:tab w:val="clear" w:pos="4513"/>
          <w:tab w:val="clear" w:pos="9026"/>
        </w:tabs>
        <w:ind w:left="993" w:right="429"/>
        <w:jc w:val="both"/>
      </w:pPr>
    </w:p>
    <w:sectPr w:rsidR="006135B1" w:rsidRPr="006271DE" w:rsidSect="00AF6CCC">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B45F" w14:textId="77777777" w:rsidR="002E3863" w:rsidRDefault="002E3863" w:rsidP="00701F1F">
      <w:pPr>
        <w:spacing w:line="240" w:lineRule="auto"/>
      </w:pPr>
      <w:r>
        <w:separator/>
      </w:r>
    </w:p>
  </w:endnote>
  <w:endnote w:type="continuationSeparator" w:id="0">
    <w:p w14:paraId="6BFC0C65" w14:textId="77777777" w:rsidR="002E3863" w:rsidRDefault="002E3863" w:rsidP="00701F1F">
      <w:pPr>
        <w:spacing w:line="240" w:lineRule="auto"/>
      </w:pPr>
      <w:r>
        <w:continuationSeparator/>
      </w:r>
    </w:p>
  </w:endnote>
  <w:endnote w:type="continuationNotice" w:id="1">
    <w:p w14:paraId="7390E4CC" w14:textId="77777777" w:rsidR="002E3863" w:rsidRDefault="002E38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736426929"/>
      <w:docPartObj>
        <w:docPartGallery w:val="Page Numbers (Bottom of Page)"/>
        <w:docPartUnique/>
      </w:docPartObj>
    </w:sdtPr>
    <w:sdtEndPr>
      <w:rPr>
        <w:noProof/>
      </w:rPr>
    </w:sdtEndPr>
    <w:sdtContent>
      <w:p w14:paraId="7C8ED894" w14:textId="73310217" w:rsidR="002E3863" w:rsidRPr="00AF6CCC" w:rsidRDefault="002E3863">
        <w:pPr>
          <w:pStyle w:val="Footer"/>
          <w:rPr>
            <w:b/>
            <w:bCs/>
            <w:sz w:val="18"/>
            <w:szCs w:val="18"/>
          </w:rPr>
        </w:pPr>
        <w:r w:rsidRPr="00AF6CCC">
          <w:rPr>
            <w:b/>
            <w:bCs/>
            <w:sz w:val="18"/>
            <w:szCs w:val="18"/>
          </w:rPr>
          <w:fldChar w:fldCharType="begin"/>
        </w:r>
        <w:r w:rsidRPr="00AF6CCC">
          <w:rPr>
            <w:b/>
            <w:bCs/>
            <w:sz w:val="18"/>
            <w:szCs w:val="18"/>
          </w:rPr>
          <w:instrText xml:space="preserve"> PAGE   \* MERGEFORMAT </w:instrText>
        </w:r>
        <w:r w:rsidRPr="00AF6CCC">
          <w:rPr>
            <w:b/>
            <w:bCs/>
            <w:sz w:val="18"/>
            <w:szCs w:val="18"/>
          </w:rPr>
          <w:fldChar w:fldCharType="separate"/>
        </w:r>
        <w:r w:rsidR="00FF3B4F">
          <w:rPr>
            <w:b/>
            <w:bCs/>
            <w:noProof/>
            <w:sz w:val="18"/>
            <w:szCs w:val="18"/>
          </w:rPr>
          <w:t>2</w:t>
        </w:r>
        <w:r w:rsidRPr="00AF6CCC">
          <w:rPr>
            <w:b/>
            <w:bCs/>
            <w:noProof/>
            <w:sz w:val="18"/>
            <w:szCs w:val="18"/>
          </w:rPr>
          <w:fldChar w:fldCharType="end"/>
        </w:r>
      </w:p>
    </w:sdtContent>
  </w:sdt>
  <w:p w14:paraId="3D3E58ED" w14:textId="77777777" w:rsidR="002E3863" w:rsidRDefault="002E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DBC" w14:textId="3C176966" w:rsidR="002E3863" w:rsidRPr="00AF6CCC" w:rsidRDefault="002E3863" w:rsidP="00AF6CCC">
    <w:pPr>
      <w:pStyle w:val="Footer"/>
      <w:jc w:val="right"/>
      <w:rPr>
        <w:b/>
        <w:bCs/>
        <w:sz w:val="18"/>
        <w:szCs w:val="18"/>
      </w:rPr>
    </w:pPr>
    <w:r w:rsidRPr="00AF6CCC">
      <w:rPr>
        <w:b/>
        <w:bCs/>
        <w:sz w:val="18"/>
        <w:szCs w:val="18"/>
      </w:rPr>
      <w:t>3</w:t>
    </w:r>
  </w:p>
  <w:p w14:paraId="6DEBF053" w14:textId="77777777" w:rsidR="002E3863" w:rsidRDefault="002E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35F2" w14:textId="77777777" w:rsidR="002E3863" w:rsidRDefault="002E3863" w:rsidP="00701F1F">
      <w:pPr>
        <w:spacing w:line="240" w:lineRule="auto"/>
      </w:pPr>
      <w:r>
        <w:separator/>
      </w:r>
    </w:p>
  </w:footnote>
  <w:footnote w:type="continuationSeparator" w:id="0">
    <w:p w14:paraId="417FB12A" w14:textId="77777777" w:rsidR="002E3863" w:rsidRDefault="002E3863" w:rsidP="00701F1F">
      <w:pPr>
        <w:spacing w:line="240" w:lineRule="auto"/>
      </w:pPr>
      <w:r>
        <w:continuationSeparator/>
      </w:r>
    </w:p>
  </w:footnote>
  <w:footnote w:type="continuationNotice" w:id="1">
    <w:p w14:paraId="0ACB16C0" w14:textId="77777777" w:rsidR="002E3863" w:rsidRDefault="002E38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73A4" w14:textId="2908D211" w:rsidR="002E3863" w:rsidRDefault="006135B1" w:rsidP="00AF6CCC">
    <w:pPr>
      <w:pStyle w:val="Header"/>
      <w:pBdr>
        <w:bottom w:val="single" w:sz="4" w:space="1" w:color="auto"/>
      </w:pBdr>
    </w:pPr>
    <w:r>
      <w:rPr>
        <w:b/>
        <w:lang w:val="fr-CH"/>
      </w:rPr>
      <w:t>UN/SCETDG/53/INF.44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79AE" w14:textId="3F9CBCEC" w:rsidR="002E3863" w:rsidRPr="00701F1F" w:rsidRDefault="002E3863" w:rsidP="00AF6CCC">
    <w:pPr>
      <w:pStyle w:val="Header"/>
      <w:pBdr>
        <w:bottom w:val="single" w:sz="4" w:space="1" w:color="auto"/>
      </w:pBdr>
      <w:jc w:val="right"/>
      <w:rPr>
        <w:b/>
        <w:lang w:val="fr-CH"/>
      </w:rPr>
    </w:pPr>
    <w:r>
      <w:rPr>
        <w:b/>
        <w:lang w:val="fr-CH"/>
      </w:rPr>
      <w:t>UN/SCETDG/53/INF.11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695374"/>
    <w:multiLevelType w:val="hybridMultilevel"/>
    <w:tmpl w:val="5C860482"/>
    <w:lvl w:ilvl="0" w:tplc="E67008D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0C166317"/>
    <w:multiLevelType w:val="hybridMultilevel"/>
    <w:tmpl w:val="6476849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16BF4A11"/>
    <w:multiLevelType w:val="hybridMultilevel"/>
    <w:tmpl w:val="50BEEC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6F16AA"/>
    <w:multiLevelType w:val="hybridMultilevel"/>
    <w:tmpl w:val="58B45B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21DE713B"/>
    <w:multiLevelType w:val="hybridMultilevel"/>
    <w:tmpl w:val="8F0C34EA"/>
    <w:lvl w:ilvl="0" w:tplc="FA6A78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25335ECD"/>
    <w:multiLevelType w:val="hybridMultilevel"/>
    <w:tmpl w:val="45AC2F8A"/>
    <w:lvl w:ilvl="0" w:tplc="0ADE37B4">
      <w:start w:val="3"/>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7" w15:restartNumberingAfterBreak="0">
    <w:nsid w:val="29F37E68"/>
    <w:multiLevelType w:val="hybridMultilevel"/>
    <w:tmpl w:val="5B2C1CA8"/>
    <w:lvl w:ilvl="0" w:tplc="865C01D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2D6D7469"/>
    <w:multiLevelType w:val="hybridMultilevel"/>
    <w:tmpl w:val="50BEEC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F474AA"/>
    <w:multiLevelType w:val="hybridMultilevel"/>
    <w:tmpl w:val="C55E45EE"/>
    <w:lvl w:ilvl="0" w:tplc="14AEC50A">
      <w:numFmt w:val="bullet"/>
      <w:lvlText w:val="-"/>
      <w:lvlJc w:val="left"/>
      <w:pPr>
        <w:ind w:left="1854" w:hanging="360"/>
      </w:pPr>
      <w:rPr>
        <w:rFonts w:ascii="Times New Roman" w:eastAsia="Times New Roman" w:hAnsi="Times New Roman" w:cs="Times New Roman" w:hint="default"/>
        <w:color w:val="538135" w:themeColor="accent6" w:themeShade="BF"/>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CD2D73"/>
    <w:multiLevelType w:val="hybridMultilevel"/>
    <w:tmpl w:val="C916F382"/>
    <w:lvl w:ilvl="0" w:tplc="12BADB1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527E047A"/>
    <w:multiLevelType w:val="hybridMultilevel"/>
    <w:tmpl w:val="498265B0"/>
    <w:lvl w:ilvl="0" w:tplc="EF682B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DCD4153"/>
    <w:multiLevelType w:val="hybridMultilevel"/>
    <w:tmpl w:val="7ADCD1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6" w15:restartNumberingAfterBreak="0">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1"/>
  </w:num>
  <w:num w:numId="11">
    <w:abstractNumId w:val="13"/>
  </w:num>
  <w:num w:numId="12">
    <w:abstractNumId w:val="4"/>
  </w:num>
  <w:num w:numId="13">
    <w:abstractNumId w:val="1"/>
  </w:num>
  <w:num w:numId="14">
    <w:abstractNumId w:val="8"/>
  </w:num>
  <w:num w:numId="15">
    <w:abstractNumId w:val="3"/>
  </w:num>
  <w:num w:numId="16">
    <w:abstractNumId w:val="7"/>
  </w:num>
  <w:num w:numId="17">
    <w:abstractNumId w:val="9"/>
  </w:num>
  <w:num w:numId="18">
    <w:abstractNumId w:val="12"/>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4"/>
    <w:rsid w:val="0001028B"/>
    <w:rsid w:val="00035C16"/>
    <w:rsid w:val="000363D7"/>
    <w:rsid w:val="00097768"/>
    <w:rsid w:val="000B0850"/>
    <w:rsid w:val="000C536F"/>
    <w:rsid w:val="000D4E01"/>
    <w:rsid w:val="000E04EC"/>
    <w:rsid w:val="00122D33"/>
    <w:rsid w:val="0012551A"/>
    <w:rsid w:val="00126302"/>
    <w:rsid w:val="0015303A"/>
    <w:rsid w:val="00166019"/>
    <w:rsid w:val="001A617F"/>
    <w:rsid w:val="001F190D"/>
    <w:rsid w:val="001F5F30"/>
    <w:rsid w:val="0021442C"/>
    <w:rsid w:val="002351A4"/>
    <w:rsid w:val="002401AF"/>
    <w:rsid w:val="00287910"/>
    <w:rsid w:val="002B3467"/>
    <w:rsid w:val="002E3863"/>
    <w:rsid w:val="00351141"/>
    <w:rsid w:val="0036131D"/>
    <w:rsid w:val="00374FB8"/>
    <w:rsid w:val="00380F22"/>
    <w:rsid w:val="0039160D"/>
    <w:rsid w:val="003A1BA9"/>
    <w:rsid w:val="003A1C62"/>
    <w:rsid w:val="003A3807"/>
    <w:rsid w:val="003E0191"/>
    <w:rsid w:val="003F3FD3"/>
    <w:rsid w:val="00445568"/>
    <w:rsid w:val="00452F87"/>
    <w:rsid w:val="004741E0"/>
    <w:rsid w:val="00476E77"/>
    <w:rsid w:val="00485F44"/>
    <w:rsid w:val="00487326"/>
    <w:rsid w:val="004C4715"/>
    <w:rsid w:val="00527BCC"/>
    <w:rsid w:val="00545454"/>
    <w:rsid w:val="00571911"/>
    <w:rsid w:val="00571D70"/>
    <w:rsid w:val="005773EE"/>
    <w:rsid w:val="0058192F"/>
    <w:rsid w:val="00582129"/>
    <w:rsid w:val="00585E0F"/>
    <w:rsid w:val="00591D17"/>
    <w:rsid w:val="00593D67"/>
    <w:rsid w:val="00596E5B"/>
    <w:rsid w:val="005E1D71"/>
    <w:rsid w:val="005E5A1D"/>
    <w:rsid w:val="006135B1"/>
    <w:rsid w:val="006271DE"/>
    <w:rsid w:val="00643C19"/>
    <w:rsid w:val="0064401D"/>
    <w:rsid w:val="00681235"/>
    <w:rsid w:val="0068349B"/>
    <w:rsid w:val="00687B76"/>
    <w:rsid w:val="006B728F"/>
    <w:rsid w:val="006C72D4"/>
    <w:rsid w:val="006E0653"/>
    <w:rsid w:val="006E1F4A"/>
    <w:rsid w:val="00701F1F"/>
    <w:rsid w:val="00711345"/>
    <w:rsid w:val="00721C71"/>
    <w:rsid w:val="00732F27"/>
    <w:rsid w:val="007376C8"/>
    <w:rsid w:val="007438CE"/>
    <w:rsid w:val="007A10B2"/>
    <w:rsid w:val="007C0CDA"/>
    <w:rsid w:val="00841802"/>
    <w:rsid w:val="00851641"/>
    <w:rsid w:val="00875A67"/>
    <w:rsid w:val="008C08EA"/>
    <w:rsid w:val="008E72B5"/>
    <w:rsid w:val="008F5DFF"/>
    <w:rsid w:val="008F67AD"/>
    <w:rsid w:val="00962357"/>
    <w:rsid w:val="00962DE0"/>
    <w:rsid w:val="009729A5"/>
    <w:rsid w:val="00983A91"/>
    <w:rsid w:val="009944B6"/>
    <w:rsid w:val="009976A3"/>
    <w:rsid w:val="009B3CC0"/>
    <w:rsid w:val="009B44CA"/>
    <w:rsid w:val="009D676A"/>
    <w:rsid w:val="00A00C01"/>
    <w:rsid w:val="00A27C4C"/>
    <w:rsid w:val="00A31BE9"/>
    <w:rsid w:val="00A718F5"/>
    <w:rsid w:val="00AF6CCC"/>
    <w:rsid w:val="00B01732"/>
    <w:rsid w:val="00B03446"/>
    <w:rsid w:val="00B23193"/>
    <w:rsid w:val="00B63392"/>
    <w:rsid w:val="00B7240A"/>
    <w:rsid w:val="00B9061F"/>
    <w:rsid w:val="00B959B3"/>
    <w:rsid w:val="00BA496D"/>
    <w:rsid w:val="00BE76D1"/>
    <w:rsid w:val="00C82C49"/>
    <w:rsid w:val="00D27CF8"/>
    <w:rsid w:val="00D45025"/>
    <w:rsid w:val="00D54106"/>
    <w:rsid w:val="00D8145C"/>
    <w:rsid w:val="00DA43A6"/>
    <w:rsid w:val="00DC0E31"/>
    <w:rsid w:val="00DD3E52"/>
    <w:rsid w:val="00DD689E"/>
    <w:rsid w:val="00DE3351"/>
    <w:rsid w:val="00E44EEC"/>
    <w:rsid w:val="00E527ED"/>
    <w:rsid w:val="00E75FA6"/>
    <w:rsid w:val="00ED038B"/>
    <w:rsid w:val="00EE20EA"/>
    <w:rsid w:val="00EF1CE4"/>
    <w:rsid w:val="00EF5DAA"/>
    <w:rsid w:val="00F16DE7"/>
    <w:rsid w:val="00F2323F"/>
    <w:rsid w:val="00F53616"/>
    <w:rsid w:val="00FB0C86"/>
    <w:rsid w:val="00FB7FE2"/>
    <w:rsid w:val="00FC1EED"/>
    <w:rsid w:val="00FC331C"/>
    <w:rsid w:val="00FE2B2D"/>
    <w:rsid w:val="00FF1A4A"/>
    <w:rsid w:val="00FF3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444C"/>
  <w15:docId w15:val="{9BA5653D-9F3D-44DA-B758-BFE795A1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aliases w:val="6_G"/>
    <w:basedOn w:val="Normal"/>
    <w:link w:val="HeaderChar"/>
    <w:unhideWhenUsed/>
    <w:rsid w:val="00701F1F"/>
    <w:pPr>
      <w:tabs>
        <w:tab w:val="center" w:pos="4513"/>
        <w:tab w:val="right" w:pos="9026"/>
      </w:tabs>
      <w:spacing w:line="240" w:lineRule="auto"/>
    </w:pPr>
  </w:style>
  <w:style w:type="character" w:customStyle="1" w:styleId="HeaderChar">
    <w:name w:val="Header Char"/>
    <w:aliases w:val="6_G Char"/>
    <w:basedOn w:val="DefaultParagraphFont"/>
    <w:link w:val="Header"/>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styleId="NoSpacing">
    <w:name w:val="No Spacing"/>
    <w:uiPriority w:val="1"/>
    <w:qFormat/>
    <w:rsid w:val="0001028B"/>
    <w:pPr>
      <w:suppressAutoHyphens/>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39"/>
    <w:unhideWhenUsed/>
    <w:rsid w:val="0012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01AF"/>
    <w:rPr>
      <w:sz w:val="16"/>
      <w:szCs w:val="16"/>
    </w:rPr>
  </w:style>
  <w:style w:type="paragraph" w:styleId="CommentText">
    <w:name w:val="annotation text"/>
    <w:basedOn w:val="Normal"/>
    <w:link w:val="CommentTextChar"/>
    <w:uiPriority w:val="99"/>
    <w:unhideWhenUsed/>
    <w:rsid w:val="002401AF"/>
    <w:pPr>
      <w:spacing w:line="240" w:lineRule="auto"/>
    </w:pPr>
  </w:style>
  <w:style w:type="character" w:customStyle="1" w:styleId="CommentTextChar">
    <w:name w:val="Comment Text Char"/>
    <w:basedOn w:val="DefaultParagraphFont"/>
    <w:link w:val="CommentText"/>
    <w:uiPriority w:val="99"/>
    <w:rsid w:val="002401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01AF"/>
    <w:rPr>
      <w:b/>
      <w:bCs/>
    </w:rPr>
  </w:style>
  <w:style w:type="character" w:customStyle="1" w:styleId="CommentSubjectChar">
    <w:name w:val="Comment Subject Char"/>
    <w:basedOn w:val="CommentTextChar"/>
    <w:link w:val="CommentSubject"/>
    <w:uiPriority w:val="99"/>
    <w:semiHidden/>
    <w:rsid w:val="002401A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40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A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4</cp:revision>
  <cp:lastPrinted>2018-06-18T14:37:00Z</cp:lastPrinted>
  <dcterms:created xsi:type="dcterms:W3CDTF">2018-06-18T07:59:00Z</dcterms:created>
  <dcterms:modified xsi:type="dcterms:W3CDTF">2018-06-18T14:38:00Z</dcterms:modified>
</cp:coreProperties>
</file>