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967674" w14:paraId="03CA7DD4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4F777A" w14:textId="77777777" w:rsidR="00446DE4" w:rsidRPr="00967674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A742B7" w14:textId="77777777" w:rsidR="00446DE4" w:rsidRPr="00967674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B70D37" w14:textId="68978902" w:rsidR="00FC215C" w:rsidRPr="00967674" w:rsidRDefault="00FC215C" w:rsidP="00FC215C">
            <w:pPr>
              <w:jc w:val="right"/>
              <w:rPr>
                <w:b/>
                <w:sz w:val="40"/>
                <w:szCs w:val="40"/>
              </w:rPr>
            </w:pPr>
            <w:r w:rsidRPr="00967674">
              <w:rPr>
                <w:b/>
                <w:sz w:val="40"/>
                <w:szCs w:val="40"/>
              </w:rPr>
              <w:t>UN/SCETDG/</w:t>
            </w:r>
            <w:r w:rsidR="00CE74ED" w:rsidRPr="00967674">
              <w:rPr>
                <w:b/>
                <w:sz w:val="40"/>
                <w:szCs w:val="40"/>
              </w:rPr>
              <w:t>5</w:t>
            </w:r>
            <w:r w:rsidR="0003375D" w:rsidRPr="00967674">
              <w:rPr>
                <w:b/>
                <w:sz w:val="40"/>
                <w:szCs w:val="40"/>
              </w:rPr>
              <w:t>3</w:t>
            </w:r>
            <w:r w:rsidRPr="00967674">
              <w:rPr>
                <w:b/>
                <w:sz w:val="40"/>
                <w:szCs w:val="40"/>
              </w:rPr>
              <w:t>/INF.</w:t>
            </w:r>
            <w:r w:rsidR="00DA4B7F">
              <w:rPr>
                <w:b/>
                <w:sz w:val="40"/>
                <w:szCs w:val="40"/>
              </w:rPr>
              <w:t>18</w:t>
            </w:r>
          </w:p>
          <w:p w14:paraId="5D82F3A9" w14:textId="77777777" w:rsidR="000216CC" w:rsidRPr="00967674" w:rsidRDefault="000216CC" w:rsidP="001944F1">
            <w:pPr>
              <w:jc w:val="right"/>
              <w:rPr>
                <w:highlight w:val="yellow"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967674" w14:paraId="578C7ABA" w14:textId="77777777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4F930DFD" w14:textId="77958A1A" w:rsidR="00645A0B" w:rsidRPr="00967674" w:rsidRDefault="00645A0B" w:rsidP="003C623F">
            <w:pPr>
              <w:tabs>
                <w:tab w:val="right" w:pos="9214"/>
              </w:tabs>
            </w:pPr>
            <w:r w:rsidRPr="00967674">
              <w:rPr>
                <w:b/>
                <w:sz w:val="24"/>
                <w:szCs w:val="24"/>
              </w:rPr>
              <w:t>Committee of Experts on the Transport of Dangerous Goods</w:t>
            </w:r>
            <w:r w:rsidRPr="00967674">
              <w:rPr>
                <w:b/>
                <w:sz w:val="24"/>
                <w:szCs w:val="24"/>
              </w:rPr>
              <w:tab/>
            </w:r>
            <w:r w:rsidRPr="00967674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967674">
              <w:rPr>
                <w:b/>
                <w:sz w:val="24"/>
                <w:szCs w:val="24"/>
              </w:rPr>
              <w:br/>
              <w:t>and Labelling of Chemicals</w:t>
            </w:r>
            <w:r w:rsidRPr="00967674">
              <w:rPr>
                <w:b/>
              </w:rPr>
              <w:tab/>
            </w:r>
            <w:r w:rsidR="006620A2">
              <w:rPr>
                <w:b/>
              </w:rPr>
              <w:t>1 June</w:t>
            </w:r>
            <w:r w:rsidR="00CE74ED" w:rsidRPr="00967674">
              <w:rPr>
                <w:b/>
              </w:rPr>
              <w:t xml:space="preserve"> 2018</w:t>
            </w:r>
          </w:p>
        </w:tc>
      </w:tr>
      <w:tr w:rsidR="00645A0B" w:rsidRPr="00967674" w14:paraId="469535E0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34D06EA" w14:textId="77777777" w:rsidR="00645A0B" w:rsidRPr="00967674" w:rsidRDefault="00645A0B" w:rsidP="00165735">
            <w:pPr>
              <w:spacing w:before="120"/>
              <w:rPr>
                <w:b/>
              </w:rPr>
            </w:pPr>
            <w:r w:rsidRPr="00967674">
              <w:rPr>
                <w:b/>
              </w:rPr>
              <w:t xml:space="preserve">Sub-Committee of Experts on the </w:t>
            </w:r>
            <w:r w:rsidRPr="00967674"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D0F1493" w14:textId="77777777" w:rsidR="00645A0B" w:rsidRPr="00967674" w:rsidRDefault="00645A0B" w:rsidP="00165735">
            <w:pPr>
              <w:spacing w:before="120"/>
              <w:rPr>
                <w:b/>
              </w:rPr>
            </w:pPr>
          </w:p>
        </w:tc>
      </w:tr>
      <w:tr w:rsidR="00645A0B" w:rsidRPr="00967674" w14:paraId="20BD5CB8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540B08F" w14:textId="77777777" w:rsidR="00645A0B" w:rsidRPr="00967674" w:rsidRDefault="00CE74ED" w:rsidP="00F64C95">
            <w:pPr>
              <w:spacing w:before="120"/>
              <w:ind w:left="34" w:hanging="34"/>
              <w:rPr>
                <w:b/>
              </w:rPr>
            </w:pPr>
            <w:r w:rsidRPr="00967674">
              <w:rPr>
                <w:b/>
              </w:rPr>
              <w:t>Fifty-third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7DC24426" w14:textId="77777777" w:rsidR="00645A0B" w:rsidRPr="00967674" w:rsidRDefault="00645A0B" w:rsidP="00CE74ED">
            <w:pPr>
              <w:spacing w:before="120"/>
              <w:ind w:left="34" w:hanging="34"/>
              <w:rPr>
                <w:b/>
              </w:rPr>
            </w:pPr>
          </w:p>
        </w:tc>
      </w:tr>
      <w:tr w:rsidR="00645A0B" w:rsidRPr="00967674" w14:paraId="10114BD4" w14:textId="77777777" w:rsidTr="00165735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1B9ABC83" w14:textId="77777777" w:rsidR="00CE74ED" w:rsidRPr="00967674" w:rsidRDefault="00CE74ED" w:rsidP="00CE74ED">
            <w:pPr>
              <w:tabs>
                <w:tab w:val="left" w:pos="6361"/>
                <w:tab w:val="left" w:pos="6939"/>
              </w:tabs>
              <w:spacing w:before="40"/>
              <w:outlineLvl w:val="0"/>
              <w:rPr>
                <w:bCs/>
              </w:rPr>
            </w:pPr>
            <w:r w:rsidRPr="00967674">
              <w:t>Geneva, 25 June-4 July 2018</w:t>
            </w:r>
          </w:p>
          <w:p w14:paraId="1A3EB3E0" w14:textId="77777777" w:rsidR="00645A0B" w:rsidRPr="00967674" w:rsidRDefault="00A83451" w:rsidP="00EA48C4">
            <w:pPr>
              <w:spacing w:before="40"/>
              <w:ind w:left="34" w:hanging="34"/>
            </w:pPr>
            <w:r w:rsidRPr="00967674">
              <w:t xml:space="preserve">Item </w:t>
            </w:r>
            <w:r w:rsidR="001944F1" w:rsidRPr="00967674">
              <w:t>5</w:t>
            </w:r>
            <w:r w:rsidRPr="00967674">
              <w:t xml:space="preserve"> (</w:t>
            </w:r>
            <w:r w:rsidR="001944F1" w:rsidRPr="00967674">
              <w:t>b</w:t>
            </w:r>
            <w:r w:rsidRPr="00967674">
              <w:t>) of the provisional agenda</w:t>
            </w:r>
          </w:p>
          <w:p w14:paraId="72875A62" w14:textId="77777777" w:rsidR="00645A0B" w:rsidRPr="00967674" w:rsidRDefault="00894156" w:rsidP="00EA48C4">
            <w:pPr>
              <w:spacing w:before="40"/>
              <w:ind w:left="34" w:hanging="34"/>
              <w:rPr>
                <w:b/>
                <w:bCs/>
              </w:rPr>
            </w:pPr>
            <w:r w:rsidRPr="00967674">
              <w:rPr>
                <w:b/>
              </w:rPr>
              <w:t>Transport of gases: miscellaneous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4DA362C7" w14:textId="77777777" w:rsidR="00645A0B" w:rsidRPr="00967674" w:rsidRDefault="00645A0B" w:rsidP="000B6AD1">
            <w:pPr>
              <w:spacing w:before="40"/>
              <w:rPr>
                <w:b/>
                <w:bCs/>
              </w:rPr>
            </w:pPr>
          </w:p>
        </w:tc>
      </w:tr>
    </w:tbl>
    <w:p w14:paraId="0296CE33" w14:textId="2C4DCCF5" w:rsidR="00E45B25" w:rsidRPr="00967674" w:rsidRDefault="00E45B25" w:rsidP="00E45B25">
      <w:pPr>
        <w:pStyle w:val="HChG"/>
        <w:rPr>
          <w:lang w:val="en-GB"/>
        </w:rPr>
      </w:pPr>
      <w:r w:rsidRPr="00967674">
        <w:rPr>
          <w:lang w:val="en-GB"/>
        </w:rPr>
        <w:tab/>
      </w:r>
      <w:r w:rsidRPr="00967674">
        <w:rPr>
          <w:lang w:val="en-GB"/>
        </w:rPr>
        <w:tab/>
      </w:r>
      <w:bookmarkStart w:id="0" w:name="_GoBack"/>
      <w:r w:rsidR="00D90463">
        <w:rPr>
          <w:lang w:val="en-GB"/>
        </w:rPr>
        <w:t xml:space="preserve">Comments on </w:t>
      </w:r>
      <w:r w:rsidR="00270DFA" w:rsidRPr="00270DFA">
        <w:rPr>
          <w:lang w:val="en-GB"/>
        </w:rPr>
        <w:t>ST/SG/AC.10/C.3/2018/8</w:t>
      </w:r>
      <w:r w:rsidR="00FF2152" w:rsidRPr="00967674">
        <w:rPr>
          <w:lang w:val="en-GB"/>
        </w:rPr>
        <w:t xml:space="preserve"> (Canada)</w:t>
      </w:r>
      <w:r w:rsidR="00D90463">
        <w:rPr>
          <w:lang w:val="en-GB"/>
        </w:rPr>
        <w:t>:</w:t>
      </w:r>
      <w:r w:rsidR="00D90463">
        <w:rPr>
          <w:lang w:val="en-GB"/>
        </w:rPr>
        <w:br/>
      </w:r>
      <w:r w:rsidR="00270DFA">
        <w:t>Shells for UN acetylene cylinders</w:t>
      </w:r>
      <w:bookmarkEnd w:id="0"/>
    </w:p>
    <w:p w14:paraId="6E712742" w14:textId="77777777" w:rsidR="00E45B25" w:rsidRPr="00967674" w:rsidRDefault="00E45B25" w:rsidP="00E45B25">
      <w:pPr>
        <w:pStyle w:val="H1G"/>
        <w:jc w:val="both"/>
      </w:pPr>
      <w:r w:rsidRPr="00967674">
        <w:tab/>
      </w:r>
      <w:r w:rsidRPr="00967674">
        <w:tab/>
        <w:t>Transmitted by the International Organisation for Standardisation (ISO)</w:t>
      </w:r>
    </w:p>
    <w:p w14:paraId="05FBF9AE" w14:textId="77777777" w:rsidR="00E45B25" w:rsidRPr="00967674" w:rsidRDefault="00E45B25" w:rsidP="00E45B25">
      <w:pPr>
        <w:pStyle w:val="HChG"/>
        <w:outlineLvl w:val="0"/>
        <w:rPr>
          <w:lang w:val="en-GB"/>
        </w:rPr>
      </w:pPr>
      <w:r w:rsidRPr="00967674">
        <w:rPr>
          <w:lang w:val="en-GB"/>
        </w:rPr>
        <w:tab/>
      </w:r>
      <w:r w:rsidRPr="00967674">
        <w:rPr>
          <w:lang w:val="en-GB"/>
        </w:rPr>
        <w:tab/>
        <w:t>Introduction</w:t>
      </w:r>
    </w:p>
    <w:p w14:paraId="2EA64594" w14:textId="346133BE" w:rsidR="00E45B25" w:rsidRPr="00967674" w:rsidRDefault="00E45B25" w:rsidP="00E45B25">
      <w:pPr>
        <w:pStyle w:val="SingleTxtG"/>
        <w:rPr>
          <w:lang w:val="en-GB"/>
        </w:rPr>
      </w:pPr>
      <w:r w:rsidRPr="00967674">
        <w:rPr>
          <w:lang w:val="en-GB"/>
        </w:rPr>
        <w:t>1.</w:t>
      </w:r>
      <w:r w:rsidRPr="00967674">
        <w:rPr>
          <w:lang w:val="en-GB"/>
        </w:rPr>
        <w:tab/>
      </w:r>
      <w:r w:rsidR="003C623F" w:rsidRPr="00967674">
        <w:rPr>
          <w:lang w:val="en-GB"/>
        </w:rPr>
        <w:t>ISO supports the intention of paper 2018/8 to allow cylinder shells for UN acetylene cylinders to be constructed in accordance with the standards ISO 4706 for welded steel cylinders and ISO 7866 for</w:t>
      </w:r>
      <w:r w:rsidR="006620A2">
        <w:rPr>
          <w:lang w:val="en-GB"/>
        </w:rPr>
        <w:t xml:space="preserve"> seamless aluminium cylinders. </w:t>
      </w:r>
      <w:r w:rsidR="003C623F" w:rsidRPr="00967674">
        <w:rPr>
          <w:lang w:val="en-GB"/>
        </w:rPr>
        <w:t xml:space="preserve">However, </w:t>
      </w:r>
      <w:r w:rsidR="00F81E41" w:rsidRPr="00967674">
        <w:rPr>
          <w:lang w:val="en-GB"/>
        </w:rPr>
        <w:t xml:space="preserve">because of the way these standards are referenced in ISO 3807 the </w:t>
      </w:r>
      <w:r w:rsidR="003C623F" w:rsidRPr="00967674">
        <w:rPr>
          <w:lang w:val="en-GB"/>
        </w:rPr>
        <w:t>propos</w:t>
      </w:r>
      <w:r w:rsidR="00036474" w:rsidRPr="00967674">
        <w:rPr>
          <w:lang w:val="en-GB"/>
        </w:rPr>
        <w:t xml:space="preserve">al </w:t>
      </w:r>
      <w:r w:rsidR="00F81E41" w:rsidRPr="00967674">
        <w:rPr>
          <w:lang w:val="en-GB"/>
        </w:rPr>
        <w:t>given in paper 2018/8 allows other unspecified standards to be used.</w:t>
      </w:r>
      <w:r w:rsidR="00036474" w:rsidRPr="00967674">
        <w:rPr>
          <w:lang w:val="en-GB"/>
        </w:rPr>
        <w:t xml:space="preserve"> </w:t>
      </w:r>
      <w:r w:rsidR="004626AF">
        <w:rPr>
          <w:lang w:val="en-GB"/>
        </w:rPr>
        <w:t xml:space="preserve"> This paper proposes an amendment which achieves the Canada’s intention by specifying the required standards directly.</w:t>
      </w:r>
    </w:p>
    <w:p w14:paraId="1EC53F0E" w14:textId="60EF9D13" w:rsidR="00967674" w:rsidRPr="00967674" w:rsidRDefault="00E45B25" w:rsidP="00E45B25">
      <w:pPr>
        <w:pStyle w:val="SingleTxtG"/>
        <w:rPr>
          <w:lang w:val="en-GB"/>
        </w:rPr>
      </w:pPr>
      <w:r w:rsidRPr="00967674">
        <w:rPr>
          <w:lang w:val="en-GB"/>
        </w:rPr>
        <w:t>2.</w:t>
      </w:r>
      <w:r w:rsidRPr="00967674">
        <w:rPr>
          <w:lang w:val="en-GB"/>
        </w:rPr>
        <w:tab/>
      </w:r>
      <w:r w:rsidR="00967674" w:rsidRPr="00967674">
        <w:rPr>
          <w:lang w:val="en-GB"/>
        </w:rPr>
        <w:t xml:space="preserve">The </w:t>
      </w:r>
      <w:r w:rsidR="004B61C9">
        <w:rPr>
          <w:lang w:val="en-GB"/>
        </w:rPr>
        <w:t>entire text concerning cylinder shell construction in</w:t>
      </w:r>
      <w:r w:rsidR="006F255F">
        <w:rPr>
          <w:lang w:val="en-GB"/>
        </w:rPr>
        <w:t xml:space="preserve"> ISO 3807:201</w:t>
      </w:r>
      <w:r w:rsidR="00967674" w:rsidRPr="00967674">
        <w:rPr>
          <w:lang w:val="en-GB"/>
        </w:rPr>
        <w:t>3 is reproduced as follows</w:t>
      </w:r>
      <w:r w:rsidR="006F255F">
        <w:rPr>
          <w:lang w:val="en-GB"/>
        </w:rPr>
        <w:t>.</w:t>
      </w:r>
      <w:r w:rsidR="00967674" w:rsidRPr="00967674">
        <w:rPr>
          <w:lang w:val="en-GB"/>
        </w:rPr>
        <w:t xml:space="preserve"> </w:t>
      </w:r>
    </w:p>
    <w:p w14:paraId="64796067" w14:textId="7300ADB0" w:rsidR="00967674" w:rsidRPr="00F102B7" w:rsidRDefault="00967674" w:rsidP="004B61C9">
      <w:pPr>
        <w:pStyle w:val="p1"/>
        <w:spacing w:after="120"/>
        <w:ind w:left="1701" w:right="1701"/>
        <w:jc w:val="both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F102B7">
        <w:rPr>
          <w:rFonts w:asciiTheme="majorBidi" w:hAnsiTheme="majorBidi" w:cstheme="majorBidi"/>
          <w:b/>
          <w:sz w:val="20"/>
          <w:szCs w:val="20"/>
          <w:lang w:val="en-GB"/>
        </w:rPr>
        <w:t>“4.1 Cylinder shell</w:t>
      </w:r>
    </w:p>
    <w:p w14:paraId="4A816B0E" w14:textId="0D71CF2C" w:rsidR="00967674" w:rsidRPr="00F102B7" w:rsidRDefault="00967674" w:rsidP="004B61C9">
      <w:pPr>
        <w:pStyle w:val="p2"/>
        <w:spacing w:after="120"/>
        <w:ind w:left="1701" w:right="1701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F102B7">
        <w:rPr>
          <w:rFonts w:asciiTheme="majorBidi" w:hAnsiTheme="majorBidi" w:cstheme="majorBidi"/>
          <w:sz w:val="20"/>
          <w:szCs w:val="20"/>
          <w:lang w:val="en-GB"/>
        </w:rPr>
        <w:t>The acetylene cylinder shell shall conform to the requirements of the relevant International Standard for design and construction of the cylinders, e.g.</w:t>
      </w:r>
    </w:p>
    <w:p w14:paraId="61F4E375" w14:textId="6749F243" w:rsidR="00967674" w:rsidRPr="00F102B7" w:rsidRDefault="00967674" w:rsidP="006620A2">
      <w:pPr>
        <w:pStyle w:val="p2"/>
        <w:numPr>
          <w:ilvl w:val="0"/>
          <w:numId w:val="50"/>
        </w:numPr>
        <w:spacing w:after="120"/>
        <w:ind w:right="1701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F102B7">
        <w:rPr>
          <w:rFonts w:asciiTheme="majorBidi" w:hAnsiTheme="majorBidi" w:cstheme="majorBidi"/>
          <w:sz w:val="20"/>
          <w:szCs w:val="20"/>
          <w:lang w:val="en-GB"/>
        </w:rPr>
        <w:t>for seamless steel, ISO 9809-1, ISO 9809-3;</w:t>
      </w:r>
    </w:p>
    <w:p w14:paraId="0AC6E483" w14:textId="3D106461" w:rsidR="00967674" w:rsidRPr="00F102B7" w:rsidRDefault="00967674" w:rsidP="00075DC5">
      <w:pPr>
        <w:pStyle w:val="p2"/>
        <w:numPr>
          <w:ilvl w:val="0"/>
          <w:numId w:val="50"/>
        </w:numPr>
        <w:spacing w:after="120"/>
        <w:ind w:right="1701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F102B7">
        <w:rPr>
          <w:rFonts w:asciiTheme="majorBidi" w:hAnsiTheme="majorBidi" w:cstheme="majorBidi"/>
          <w:sz w:val="20"/>
          <w:szCs w:val="20"/>
          <w:lang w:val="en-GB"/>
        </w:rPr>
        <w:t>for welded steel, ISO 4706;</w:t>
      </w:r>
    </w:p>
    <w:p w14:paraId="0B392360" w14:textId="4E6BFE6B" w:rsidR="00967674" w:rsidRPr="00F102B7" w:rsidRDefault="00967674" w:rsidP="00075DC5">
      <w:pPr>
        <w:pStyle w:val="p2"/>
        <w:numPr>
          <w:ilvl w:val="0"/>
          <w:numId w:val="50"/>
        </w:numPr>
        <w:spacing w:after="120"/>
        <w:ind w:right="1701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F102B7">
        <w:rPr>
          <w:rFonts w:asciiTheme="majorBidi" w:hAnsiTheme="majorBidi" w:cstheme="majorBidi"/>
          <w:sz w:val="20"/>
          <w:szCs w:val="20"/>
          <w:lang w:val="en-GB"/>
        </w:rPr>
        <w:t>for seamless aluminium alloy, ISO 7866.</w:t>
      </w:r>
    </w:p>
    <w:p w14:paraId="6369C51B" w14:textId="77777777" w:rsidR="004B61C9" w:rsidRPr="00F102B7" w:rsidRDefault="00967674" w:rsidP="00F102B7">
      <w:pPr>
        <w:pStyle w:val="p3"/>
        <w:tabs>
          <w:tab w:val="left" w:pos="2552"/>
        </w:tabs>
        <w:spacing w:after="120"/>
        <w:ind w:left="1701" w:right="1701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F102B7">
        <w:rPr>
          <w:rFonts w:asciiTheme="majorBidi" w:hAnsiTheme="majorBidi" w:cstheme="majorBidi"/>
          <w:sz w:val="20"/>
          <w:szCs w:val="20"/>
          <w:lang w:val="en-GB"/>
        </w:rPr>
        <w:t xml:space="preserve">NOTE </w:t>
      </w:r>
      <w:r w:rsidR="006F255F" w:rsidRPr="00F102B7">
        <w:rPr>
          <w:rFonts w:asciiTheme="majorBidi" w:hAnsiTheme="majorBidi" w:cstheme="majorBidi"/>
          <w:sz w:val="20"/>
          <w:szCs w:val="20"/>
          <w:lang w:val="en-GB"/>
        </w:rPr>
        <w:tab/>
      </w:r>
      <w:r w:rsidRPr="00F102B7">
        <w:rPr>
          <w:rFonts w:asciiTheme="majorBidi" w:hAnsiTheme="majorBidi" w:cstheme="majorBidi"/>
          <w:sz w:val="20"/>
          <w:szCs w:val="20"/>
          <w:lang w:val="en-GB"/>
        </w:rPr>
        <w:t>Other standards for the design and construction of cylinders are in preparation and appropriate standards should be conformed to when published.</w:t>
      </w:r>
    </w:p>
    <w:p w14:paraId="6728E175" w14:textId="77777777" w:rsidR="004B61C9" w:rsidRPr="00F102B7" w:rsidRDefault="004B61C9" w:rsidP="004B61C9">
      <w:pPr>
        <w:suppressAutoHyphens w:val="0"/>
        <w:spacing w:after="120" w:line="240" w:lineRule="auto"/>
        <w:ind w:left="1701" w:right="1701"/>
        <w:jc w:val="both"/>
        <w:rPr>
          <w:rFonts w:asciiTheme="majorBidi" w:hAnsiTheme="majorBidi" w:cstheme="majorBidi"/>
          <w:lang w:val="en-US"/>
        </w:rPr>
      </w:pPr>
      <w:r w:rsidRPr="00F102B7">
        <w:rPr>
          <w:rFonts w:asciiTheme="majorBidi" w:hAnsiTheme="majorBidi" w:cstheme="majorBidi"/>
          <w:lang w:val="en-US"/>
        </w:rPr>
        <w:t xml:space="preserve">The minimum test pressure for acetylene cylinders without fusible plugs shall be 60 </w:t>
      </w:r>
      <w:proofErr w:type="gramStart"/>
      <w:r w:rsidRPr="00F102B7">
        <w:rPr>
          <w:rFonts w:asciiTheme="majorBidi" w:hAnsiTheme="majorBidi" w:cstheme="majorBidi"/>
          <w:lang w:val="en-US"/>
        </w:rPr>
        <w:t>bar</w:t>
      </w:r>
      <w:proofErr w:type="gramEnd"/>
      <w:r w:rsidRPr="00F102B7">
        <w:rPr>
          <w:rFonts w:asciiTheme="majorBidi" w:hAnsiTheme="majorBidi" w:cstheme="majorBidi"/>
          <w:lang w:val="en-US"/>
        </w:rPr>
        <w:t>.</w:t>
      </w:r>
    </w:p>
    <w:p w14:paraId="14CEE889" w14:textId="05387562" w:rsidR="00967674" w:rsidRPr="00F102B7" w:rsidRDefault="004B61C9" w:rsidP="004B61C9">
      <w:pPr>
        <w:suppressAutoHyphens w:val="0"/>
        <w:spacing w:after="120" w:line="240" w:lineRule="auto"/>
        <w:ind w:left="1701" w:right="1701"/>
        <w:jc w:val="both"/>
        <w:rPr>
          <w:rFonts w:asciiTheme="majorBidi" w:hAnsiTheme="majorBidi" w:cstheme="majorBidi"/>
        </w:rPr>
      </w:pPr>
      <w:r w:rsidRPr="00F102B7">
        <w:rPr>
          <w:rFonts w:asciiTheme="majorBidi" w:hAnsiTheme="majorBidi" w:cstheme="majorBidi"/>
          <w:lang w:val="en-US"/>
        </w:rPr>
        <w:t xml:space="preserve">The minimum test pressure for acetylene cylinders with fusible plugs shall be 52 </w:t>
      </w:r>
      <w:proofErr w:type="gramStart"/>
      <w:r w:rsidRPr="00F102B7">
        <w:rPr>
          <w:rFonts w:asciiTheme="majorBidi" w:hAnsiTheme="majorBidi" w:cstheme="majorBidi"/>
          <w:lang w:val="en-US"/>
        </w:rPr>
        <w:t>bar</w:t>
      </w:r>
      <w:proofErr w:type="gramEnd"/>
      <w:r w:rsidRPr="00F102B7">
        <w:rPr>
          <w:rFonts w:asciiTheme="majorBidi" w:hAnsiTheme="majorBidi" w:cstheme="majorBidi"/>
          <w:lang w:val="en-US"/>
        </w:rPr>
        <w:t>.</w:t>
      </w:r>
      <w:r w:rsidR="00967674" w:rsidRPr="00F102B7">
        <w:rPr>
          <w:rFonts w:asciiTheme="majorBidi" w:hAnsiTheme="majorBidi" w:cstheme="majorBidi"/>
        </w:rPr>
        <w:t>”</w:t>
      </w:r>
    </w:p>
    <w:p w14:paraId="0508F3A2" w14:textId="3CA3BFD3" w:rsidR="00E45B25" w:rsidRPr="00967674" w:rsidRDefault="00E45B25" w:rsidP="00CA22E8">
      <w:pPr>
        <w:pStyle w:val="SingleTxtG"/>
        <w:rPr>
          <w:lang w:val="en-GB"/>
        </w:rPr>
      </w:pPr>
      <w:r w:rsidRPr="00F102B7">
        <w:rPr>
          <w:rFonts w:asciiTheme="majorBidi" w:hAnsiTheme="majorBidi" w:cstheme="majorBidi"/>
          <w:lang w:val="en-GB"/>
        </w:rPr>
        <w:t>3.</w:t>
      </w:r>
      <w:r w:rsidRPr="00F102B7">
        <w:rPr>
          <w:rFonts w:asciiTheme="majorBidi" w:hAnsiTheme="majorBidi" w:cstheme="majorBidi"/>
          <w:lang w:val="en-GB"/>
        </w:rPr>
        <w:tab/>
      </w:r>
      <w:proofErr w:type="gramStart"/>
      <w:r w:rsidR="006F255F" w:rsidRPr="00F102B7">
        <w:rPr>
          <w:rFonts w:asciiTheme="majorBidi" w:hAnsiTheme="majorBidi" w:cstheme="majorBidi"/>
          <w:lang w:val="en-GB"/>
        </w:rPr>
        <w:t xml:space="preserve">It can be seen that </w:t>
      </w:r>
      <w:r w:rsidR="00270DFA" w:rsidRPr="00F102B7">
        <w:rPr>
          <w:rFonts w:asciiTheme="majorBidi" w:hAnsiTheme="majorBidi" w:cstheme="majorBidi"/>
          <w:lang w:val="en-GB"/>
        </w:rPr>
        <w:t>the</w:t>
      </w:r>
      <w:proofErr w:type="gramEnd"/>
      <w:r w:rsidR="00270DFA" w:rsidRPr="00F102B7">
        <w:rPr>
          <w:rFonts w:asciiTheme="majorBidi" w:hAnsiTheme="majorBidi" w:cstheme="majorBidi"/>
          <w:lang w:val="en-GB"/>
        </w:rPr>
        <w:t xml:space="preserve"> two standards </w:t>
      </w:r>
      <w:r w:rsidR="006F255F" w:rsidRPr="00F102B7">
        <w:rPr>
          <w:rFonts w:asciiTheme="majorBidi" w:hAnsiTheme="majorBidi" w:cstheme="majorBidi"/>
          <w:lang w:val="en-GB"/>
        </w:rPr>
        <w:t>ISO 4706 and ISO 7866 are only given as</w:t>
      </w:r>
      <w:r w:rsidR="006F255F">
        <w:rPr>
          <w:lang w:val="en-GB"/>
        </w:rPr>
        <w:t xml:space="preserve"> examples and the note explains t</w:t>
      </w:r>
      <w:r w:rsidR="00C6691C">
        <w:rPr>
          <w:lang w:val="en-GB"/>
        </w:rPr>
        <w:t>hat other standards can be used</w:t>
      </w:r>
      <w:r w:rsidRPr="00967674">
        <w:rPr>
          <w:lang w:val="en-GB"/>
        </w:rPr>
        <w:t>.</w:t>
      </w:r>
      <w:r w:rsidR="00C6691C">
        <w:rPr>
          <w:lang w:val="en-GB"/>
        </w:rPr>
        <w:t xml:space="preserve">  </w:t>
      </w:r>
      <w:r w:rsidR="00696356">
        <w:rPr>
          <w:lang w:val="en-GB"/>
        </w:rPr>
        <w:t xml:space="preserve">The use of these </w:t>
      </w:r>
      <w:r w:rsidR="00270DFA">
        <w:rPr>
          <w:lang w:val="en-GB"/>
        </w:rPr>
        <w:t xml:space="preserve">two </w:t>
      </w:r>
      <w:r w:rsidR="00696356">
        <w:rPr>
          <w:lang w:val="en-GB"/>
        </w:rPr>
        <w:t xml:space="preserve">standards is not a requirement of </w:t>
      </w:r>
      <w:r w:rsidR="00691AAC">
        <w:rPr>
          <w:lang w:val="en-GB"/>
        </w:rPr>
        <w:t>conformity to ISO 3807, so specifying this standard in 6.2.2.</w:t>
      </w:r>
      <w:r w:rsidR="0079608C">
        <w:rPr>
          <w:lang w:val="en-GB"/>
        </w:rPr>
        <w:t xml:space="preserve">1.3, </w:t>
      </w:r>
      <w:r w:rsidR="004626AF">
        <w:rPr>
          <w:lang w:val="en-GB"/>
        </w:rPr>
        <w:t xml:space="preserve">does not definitively require the use of the standards </w:t>
      </w:r>
      <w:r w:rsidR="001B13C0">
        <w:rPr>
          <w:lang w:val="en-GB"/>
        </w:rPr>
        <w:t xml:space="preserve">which </w:t>
      </w:r>
      <w:r w:rsidR="00C832B2">
        <w:rPr>
          <w:lang w:val="en-GB"/>
        </w:rPr>
        <w:t>paper 2018/8</w:t>
      </w:r>
      <w:r w:rsidR="004626AF">
        <w:rPr>
          <w:lang w:val="en-GB"/>
        </w:rPr>
        <w:t xml:space="preserve"> is </w:t>
      </w:r>
      <w:r w:rsidR="004626AF">
        <w:rPr>
          <w:lang w:val="en-GB"/>
        </w:rPr>
        <w:lastRenderedPageBreak/>
        <w:t xml:space="preserve">requesting. </w:t>
      </w:r>
      <w:r w:rsidR="0079608C">
        <w:rPr>
          <w:lang w:val="en-GB"/>
        </w:rPr>
        <w:t xml:space="preserve"> </w:t>
      </w:r>
      <w:r w:rsidR="00C6691C">
        <w:rPr>
          <w:lang w:val="en-GB"/>
        </w:rPr>
        <w:t xml:space="preserve">Although the authors of the standard may have intended </w:t>
      </w:r>
      <w:r w:rsidR="00B50098">
        <w:rPr>
          <w:lang w:val="en-GB"/>
        </w:rPr>
        <w:t xml:space="preserve">by using the words “International Standard” </w:t>
      </w:r>
      <w:r w:rsidR="00C6691C">
        <w:rPr>
          <w:lang w:val="en-GB"/>
        </w:rPr>
        <w:t xml:space="preserve">that only ISO standards were to be </w:t>
      </w:r>
      <w:r w:rsidR="00B50098">
        <w:rPr>
          <w:lang w:val="en-GB"/>
        </w:rPr>
        <w:t xml:space="preserve">used, readers may well understand that any standard used in more than one country would be suitable.  </w:t>
      </w:r>
      <w:r w:rsidR="00C832B2">
        <w:rPr>
          <w:lang w:val="en-GB"/>
        </w:rPr>
        <w:t xml:space="preserve">If only </w:t>
      </w:r>
      <w:r w:rsidR="00DA4296">
        <w:rPr>
          <w:lang w:val="en-GB"/>
        </w:rPr>
        <w:t xml:space="preserve">published </w:t>
      </w:r>
      <w:r w:rsidR="001B13C0">
        <w:rPr>
          <w:lang w:val="en-GB"/>
        </w:rPr>
        <w:t xml:space="preserve">ISO standards are </w:t>
      </w:r>
      <w:r w:rsidR="00DA4296">
        <w:rPr>
          <w:lang w:val="en-GB"/>
        </w:rPr>
        <w:t>taken into consideration</w:t>
      </w:r>
      <w:r w:rsidR="001B13C0">
        <w:rPr>
          <w:lang w:val="en-GB"/>
        </w:rPr>
        <w:t xml:space="preserve">, </w:t>
      </w:r>
      <w:r w:rsidR="00CA22E8">
        <w:rPr>
          <w:lang w:val="en-GB"/>
        </w:rPr>
        <w:t xml:space="preserve">there are </w:t>
      </w:r>
      <w:r w:rsidR="00DA4296">
        <w:rPr>
          <w:lang w:val="en-GB"/>
        </w:rPr>
        <w:t xml:space="preserve">already cylinder </w:t>
      </w:r>
      <w:r w:rsidR="00CA22E8">
        <w:rPr>
          <w:lang w:val="en-GB"/>
        </w:rPr>
        <w:t xml:space="preserve">standards for seamless </w:t>
      </w:r>
      <w:r w:rsidR="00DA4296">
        <w:rPr>
          <w:lang w:val="en-GB"/>
        </w:rPr>
        <w:t>stainless st</w:t>
      </w:r>
      <w:r w:rsidR="00CA22E8">
        <w:rPr>
          <w:lang w:val="en-GB"/>
        </w:rPr>
        <w:t xml:space="preserve">eel, welded stainless steel and welded aluminium </w:t>
      </w:r>
      <w:r w:rsidR="00DA4296">
        <w:rPr>
          <w:lang w:val="en-GB"/>
        </w:rPr>
        <w:t>which could possibly be used.</w:t>
      </w:r>
    </w:p>
    <w:p w14:paraId="437740CE" w14:textId="521DAE3B" w:rsidR="00E45B25" w:rsidRDefault="00E45B25" w:rsidP="00E45B25">
      <w:pPr>
        <w:pStyle w:val="SingleTxtG"/>
        <w:rPr>
          <w:lang w:val="en-GB"/>
        </w:rPr>
      </w:pPr>
      <w:r w:rsidRPr="00967674">
        <w:rPr>
          <w:lang w:val="en-GB"/>
        </w:rPr>
        <w:t>4.</w:t>
      </w:r>
      <w:r w:rsidRPr="00967674">
        <w:rPr>
          <w:lang w:val="en-GB"/>
        </w:rPr>
        <w:tab/>
      </w:r>
      <w:r w:rsidR="004626AF">
        <w:rPr>
          <w:lang w:val="en-GB"/>
        </w:rPr>
        <w:t xml:space="preserve">It is ISO’s opinion that the intention of section 6.2.2 is to require all aspects of pressure receptacle construction to be fully specified </w:t>
      </w:r>
      <w:r w:rsidR="00DA4296">
        <w:rPr>
          <w:lang w:val="en-GB"/>
        </w:rPr>
        <w:t>so that the maximum transparency and harmonisation is achieved.  Therefore, direct referencing of the standards should be used.</w:t>
      </w:r>
    </w:p>
    <w:p w14:paraId="1B2725EB" w14:textId="4EC45E82" w:rsidR="00DA4296" w:rsidRPr="00967674" w:rsidRDefault="00DA4296" w:rsidP="00E45B25">
      <w:pPr>
        <w:pStyle w:val="SingleTxtG"/>
        <w:rPr>
          <w:lang w:val="en-GB"/>
        </w:rPr>
      </w:pPr>
      <w:r>
        <w:rPr>
          <w:lang w:val="en-GB"/>
        </w:rPr>
        <w:t>5.</w:t>
      </w:r>
      <w:r>
        <w:rPr>
          <w:lang w:val="en-GB"/>
        </w:rPr>
        <w:tab/>
        <w:t xml:space="preserve">A second disadvantage of the referencing of </w:t>
      </w:r>
      <w:r w:rsidR="004B61C9">
        <w:rPr>
          <w:lang w:val="en-GB"/>
        </w:rPr>
        <w:t>ISO 3807 in a table devoted to the construction of cylinder shells is that it is a potential cause of confusion.  This standard, as we have seen, has minimal requirements for cylinder construction; it is a standard about the installation and testing of the porous material.</w:t>
      </w:r>
    </w:p>
    <w:p w14:paraId="50FDE618" w14:textId="77777777" w:rsidR="00E45B25" w:rsidRPr="00967674" w:rsidRDefault="00E45B25" w:rsidP="00E45B25">
      <w:pPr>
        <w:pStyle w:val="HChG"/>
        <w:ind w:left="2268"/>
        <w:outlineLvl w:val="0"/>
        <w:rPr>
          <w:lang w:val="en-GB"/>
        </w:rPr>
      </w:pPr>
      <w:r w:rsidRPr="00967674">
        <w:rPr>
          <w:lang w:val="en-GB"/>
        </w:rPr>
        <w:t>Proposal</w:t>
      </w:r>
    </w:p>
    <w:p w14:paraId="3C2C2195" w14:textId="5A379E10" w:rsidR="00791999" w:rsidRDefault="00791999" w:rsidP="00791999">
      <w:pPr>
        <w:pStyle w:val="SingleTxtG"/>
      </w:pPr>
      <w:r>
        <w:t>6.</w:t>
      </w:r>
      <w:r>
        <w:tab/>
      </w:r>
      <w:r w:rsidR="00270DFA">
        <w:t>Direct referencing of ISO 4706 and ISO 7866 is proposed by a</w:t>
      </w:r>
      <w:r>
        <w:t>mend</w:t>
      </w:r>
      <w:r w:rsidR="00270DFA">
        <w:t>ing</w:t>
      </w:r>
      <w:r>
        <w:t xml:space="preserve"> the </w:t>
      </w:r>
      <w:r w:rsidR="00270DFA">
        <w:t xml:space="preserve">first table in </w:t>
      </w:r>
      <w:r>
        <w:t>6.2.2.1.3 as shown. New text is underlined.</w:t>
      </w:r>
    </w:p>
    <w:p w14:paraId="329DC100" w14:textId="77777777" w:rsidR="00791999" w:rsidRPr="00E06AF8" w:rsidRDefault="00791999" w:rsidP="00791999">
      <w:pPr>
        <w:spacing w:after="120"/>
        <w:ind w:left="1134" w:firstLine="567"/>
        <w:rPr>
          <w:iCs/>
        </w:rPr>
      </w:pPr>
      <w:r w:rsidRPr="00E06AF8">
        <w:rPr>
          <w:iCs/>
        </w:rPr>
        <w:t>For the cylinder shell: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4"/>
        <w:gridCol w:w="4084"/>
        <w:gridCol w:w="1659"/>
      </w:tblGrid>
      <w:tr w:rsidR="00915FB6" w:rsidRPr="00915FB6" w14:paraId="28A940F4" w14:textId="77777777" w:rsidTr="00915FB6">
        <w:trPr>
          <w:trHeight w:val="262"/>
          <w:jc w:val="center"/>
        </w:trPr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1FAF5" w14:textId="77777777" w:rsidR="00791999" w:rsidRPr="00915FB6" w:rsidRDefault="00791999" w:rsidP="00915FB6">
            <w:pPr>
              <w:jc w:val="center"/>
              <w:rPr>
                <w:b/>
                <w:iCs/>
              </w:rPr>
            </w:pPr>
            <w:r w:rsidRPr="00915FB6">
              <w:rPr>
                <w:b/>
                <w:iCs/>
              </w:rPr>
              <w:t>Reference</w:t>
            </w:r>
          </w:p>
        </w:tc>
        <w:tc>
          <w:tcPr>
            <w:tcW w:w="4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580AB" w14:textId="77777777" w:rsidR="00791999" w:rsidRPr="00915FB6" w:rsidRDefault="00791999" w:rsidP="00915FB6">
            <w:pPr>
              <w:jc w:val="center"/>
              <w:rPr>
                <w:b/>
                <w:iCs/>
              </w:rPr>
            </w:pPr>
            <w:r w:rsidRPr="00915FB6">
              <w:rPr>
                <w:b/>
                <w:iCs/>
              </w:rPr>
              <w:t>Title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5D6AB" w14:textId="77777777" w:rsidR="00791999" w:rsidRPr="00915FB6" w:rsidRDefault="00791999" w:rsidP="00915FB6">
            <w:pPr>
              <w:jc w:val="center"/>
              <w:rPr>
                <w:b/>
                <w:iCs/>
              </w:rPr>
            </w:pPr>
            <w:r w:rsidRPr="00915FB6">
              <w:rPr>
                <w:b/>
                <w:iCs/>
              </w:rPr>
              <w:t>Applicable for manufacture</w:t>
            </w:r>
          </w:p>
        </w:tc>
      </w:tr>
      <w:tr w:rsidR="00915FB6" w:rsidRPr="00E8430E" w14:paraId="2328DCD0" w14:textId="77777777" w:rsidTr="00915FB6">
        <w:trPr>
          <w:trHeight w:val="246"/>
          <w:jc w:val="center"/>
        </w:trPr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D9A86" w14:textId="77777777" w:rsidR="00791999" w:rsidRPr="00E8430E" w:rsidRDefault="00791999" w:rsidP="00645B70">
            <w:pPr>
              <w:rPr>
                <w:iCs/>
              </w:rPr>
            </w:pPr>
            <w:r w:rsidRPr="00E8430E">
              <w:rPr>
                <w:iCs/>
              </w:rPr>
              <w:t>ISO 9809-1:1999</w:t>
            </w:r>
          </w:p>
        </w:tc>
        <w:tc>
          <w:tcPr>
            <w:tcW w:w="40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DBDE6" w14:textId="77777777" w:rsidR="00791999" w:rsidRPr="00E8430E" w:rsidRDefault="00791999" w:rsidP="00645B70">
            <w:pPr>
              <w:pStyle w:val="NoSpacing"/>
              <w:rPr>
                <w:sz w:val="20"/>
                <w:szCs w:val="20"/>
              </w:rPr>
            </w:pPr>
            <w:r w:rsidRPr="00E8430E">
              <w:rPr>
                <w:sz w:val="20"/>
                <w:szCs w:val="20"/>
              </w:rPr>
              <w:t xml:space="preserve">Gas cylinders -- Refillable seamless steel gas cylinders -- Design, construction and testing -- Part 1: Quenched and tempered steel cylinders with tensile strength less than 1 100 </w:t>
            </w:r>
            <w:proofErr w:type="spellStart"/>
            <w:r w:rsidRPr="00E8430E">
              <w:rPr>
                <w:sz w:val="20"/>
                <w:szCs w:val="20"/>
              </w:rPr>
              <w:t>MPa</w:t>
            </w:r>
            <w:proofErr w:type="spellEnd"/>
          </w:p>
          <w:p w14:paraId="0D23FB34" w14:textId="59F28934" w:rsidR="00791999" w:rsidRPr="00AB76C3" w:rsidRDefault="00C676DC" w:rsidP="00C676DC">
            <w:pPr>
              <w:spacing w:before="120"/>
              <w:rPr>
                <w:i/>
                <w:iCs/>
                <w:lang w:val="en-US"/>
              </w:rPr>
            </w:pPr>
            <w:r w:rsidRPr="00C676DC">
              <w:rPr>
                <w:b/>
                <w:i/>
                <w:iCs/>
                <w:lang w:val="en-US"/>
              </w:rPr>
              <w:t>NOTE:</w:t>
            </w:r>
            <w:r w:rsidR="00791999" w:rsidRPr="00AB76C3">
              <w:rPr>
                <w:i/>
                <w:iCs/>
                <w:lang w:val="en-US"/>
              </w:rPr>
              <w:t xml:space="preserve"> The note concerning the F factor in section 7.3 of this standard shall not be applied for UN cylinders.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8AFB1" w14:textId="77777777" w:rsidR="00791999" w:rsidRPr="00E8430E" w:rsidRDefault="00791999" w:rsidP="00645B70">
            <w:pPr>
              <w:rPr>
                <w:iCs/>
              </w:rPr>
            </w:pPr>
            <w:r w:rsidRPr="00E8430E">
              <w:rPr>
                <w:iCs/>
              </w:rPr>
              <w:t>Until 31 December 2018</w:t>
            </w:r>
          </w:p>
        </w:tc>
      </w:tr>
      <w:tr w:rsidR="00915FB6" w:rsidRPr="00791999" w14:paraId="6DDE76FF" w14:textId="77777777" w:rsidTr="00915FB6">
        <w:trPr>
          <w:trHeight w:val="246"/>
          <w:jc w:val="center"/>
        </w:trPr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BE449" w14:textId="77777777" w:rsidR="00791999" w:rsidRPr="00791999" w:rsidRDefault="00791999" w:rsidP="00645B70">
            <w:pPr>
              <w:rPr>
                <w:iCs/>
              </w:rPr>
            </w:pPr>
            <w:r w:rsidRPr="00791999">
              <w:rPr>
                <w:iCs/>
              </w:rPr>
              <w:t>ISO 9809-1:2010</w:t>
            </w:r>
          </w:p>
        </w:tc>
        <w:tc>
          <w:tcPr>
            <w:tcW w:w="40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C4B8" w14:textId="468C3B79" w:rsidR="00791999" w:rsidRPr="00791999" w:rsidRDefault="00C676DC" w:rsidP="00645B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 cylinders –</w:t>
            </w:r>
            <w:r w:rsidR="00791999" w:rsidRPr="00791999">
              <w:rPr>
                <w:sz w:val="20"/>
                <w:szCs w:val="20"/>
              </w:rPr>
              <w:t xml:space="preserve"> Refillabl</w:t>
            </w:r>
            <w:r>
              <w:rPr>
                <w:sz w:val="20"/>
                <w:szCs w:val="20"/>
              </w:rPr>
              <w:t>e seamless steel gas cylinders –</w:t>
            </w:r>
            <w:r w:rsidR="00791999" w:rsidRPr="00791999">
              <w:rPr>
                <w:sz w:val="20"/>
                <w:szCs w:val="20"/>
              </w:rPr>
              <w:t xml:space="preserve"> De</w:t>
            </w:r>
            <w:r>
              <w:rPr>
                <w:sz w:val="20"/>
                <w:szCs w:val="20"/>
              </w:rPr>
              <w:t xml:space="preserve">sign, construction and testing </w:t>
            </w:r>
            <w:r>
              <w:rPr>
                <w:sz w:val="20"/>
                <w:szCs w:val="20"/>
              </w:rPr>
              <w:softHyphen/>
            </w:r>
            <w:r w:rsidR="00791999" w:rsidRPr="00791999">
              <w:rPr>
                <w:sz w:val="20"/>
                <w:szCs w:val="20"/>
              </w:rPr>
              <w:t xml:space="preserve"> Part 1: Quenched and tempered steel cylinders with tensile strength less than 1 100 </w:t>
            </w:r>
            <w:proofErr w:type="spellStart"/>
            <w:r w:rsidR="00791999" w:rsidRPr="00791999">
              <w:rPr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4BEF4" w14:textId="77777777" w:rsidR="00791999" w:rsidRPr="00791999" w:rsidRDefault="00791999" w:rsidP="00645B70">
            <w:pPr>
              <w:rPr>
                <w:iCs/>
              </w:rPr>
            </w:pPr>
            <w:r w:rsidRPr="00791999">
              <w:rPr>
                <w:iCs/>
              </w:rPr>
              <w:t>Until further notice</w:t>
            </w:r>
          </w:p>
        </w:tc>
      </w:tr>
      <w:tr w:rsidR="00915FB6" w:rsidRPr="00E8430E" w14:paraId="55FF3B1C" w14:textId="77777777" w:rsidTr="00915FB6">
        <w:trPr>
          <w:trHeight w:val="262"/>
          <w:jc w:val="center"/>
        </w:trPr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8051C" w14:textId="77777777" w:rsidR="00791999" w:rsidRPr="00E8430E" w:rsidRDefault="00791999" w:rsidP="00645B70">
            <w:pPr>
              <w:rPr>
                <w:iCs/>
              </w:rPr>
            </w:pPr>
            <w:r w:rsidRPr="00E8430E">
              <w:rPr>
                <w:iCs/>
              </w:rPr>
              <w:t>ISO 9809-3:2000</w:t>
            </w:r>
          </w:p>
        </w:tc>
        <w:tc>
          <w:tcPr>
            <w:tcW w:w="40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8A903" w14:textId="2E375409" w:rsidR="00791999" w:rsidRPr="00E8430E" w:rsidRDefault="00C676DC" w:rsidP="00645B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 cylinders –</w:t>
            </w:r>
            <w:r w:rsidR="00791999" w:rsidRPr="00E8430E">
              <w:rPr>
                <w:sz w:val="20"/>
                <w:szCs w:val="20"/>
              </w:rPr>
              <w:t xml:space="preserve"> Refillable</w:t>
            </w:r>
            <w:r>
              <w:rPr>
                <w:sz w:val="20"/>
                <w:szCs w:val="20"/>
              </w:rPr>
              <w:t xml:space="preserve"> seamless steel gas cylinders –</w:t>
            </w:r>
            <w:r w:rsidR="00791999" w:rsidRPr="00E8430E">
              <w:rPr>
                <w:sz w:val="20"/>
                <w:szCs w:val="20"/>
              </w:rPr>
              <w:t xml:space="preserve"> Des</w:t>
            </w:r>
            <w:r>
              <w:rPr>
                <w:sz w:val="20"/>
                <w:szCs w:val="20"/>
              </w:rPr>
              <w:t xml:space="preserve">ign, construction and testing </w:t>
            </w:r>
            <w:r>
              <w:rPr>
                <w:sz w:val="20"/>
                <w:szCs w:val="20"/>
              </w:rPr>
              <w:softHyphen/>
            </w:r>
            <w:r w:rsidR="00791999" w:rsidRPr="00E8430E">
              <w:rPr>
                <w:sz w:val="20"/>
                <w:szCs w:val="20"/>
              </w:rPr>
              <w:t xml:space="preserve"> Part 3: Normalized steel cylinders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8A783" w14:textId="77777777" w:rsidR="00791999" w:rsidRPr="00E8430E" w:rsidRDefault="00791999" w:rsidP="00645B70">
            <w:pPr>
              <w:rPr>
                <w:iCs/>
              </w:rPr>
            </w:pPr>
            <w:r w:rsidRPr="00E8430E">
              <w:rPr>
                <w:iCs/>
              </w:rPr>
              <w:t>Until 31 December 2018</w:t>
            </w:r>
          </w:p>
        </w:tc>
      </w:tr>
      <w:tr w:rsidR="00915FB6" w:rsidRPr="00791999" w14:paraId="78412258" w14:textId="77777777" w:rsidTr="00915FB6">
        <w:trPr>
          <w:trHeight w:val="246"/>
          <w:jc w:val="center"/>
        </w:trPr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B77F0" w14:textId="77777777" w:rsidR="00791999" w:rsidRPr="00791999" w:rsidRDefault="00791999" w:rsidP="00645B70">
            <w:pPr>
              <w:rPr>
                <w:iCs/>
              </w:rPr>
            </w:pPr>
            <w:r w:rsidRPr="00791999">
              <w:rPr>
                <w:iCs/>
              </w:rPr>
              <w:t>ISO 9809-3:2010</w:t>
            </w:r>
          </w:p>
        </w:tc>
        <w:tc>
          <w:tcPr>
            <w:tcW w:w="40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51910" w14:textId="7F90725F" w:rsidR="00791999" w:rsidRPr="00791999" w:rsidRDefault="00C676DC" w:rsidP="00645B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 cylinders –</w:t>
            </w:r>
            <w:r w:rsidR="00791999" w:rsidRPr="00791999">
              <w:rPr>
                <w:sz w:val="20"/>
                <w:szCs w:val="20"/>
              </w:rPr>
              <w:t xml:space="preserve"> Refillable seamless steel </w:t>
            </w:r>
            <w:r>
              <w:rPr>
                <w:sz w:val="20"/>
                <w:szCs w:val="20"/>
              </w:rPr>
              <w:t>gas cylinders –</w:t>
            </w:r>
            <w:r w:rsidR="00791999" w:rsidRPr="00791999">
              <w:rPr>
                <w:sz w:val="20"/>
                <w:szCs w:val="20"/>
              </w:rPr>
              <w:t xml:space="preserve"> De</w:t>
            </w:r>
            <w:r>
              <w:rPr>
                <w:sz w:val="20"/>
                <w:szCs w:val="20"/>
              </w:rPr>
              <w:t>sign, construction and testing –</w:t>
            </w:r>
            <w:r w:rsidR="00791999" w:rsidRPr="00791999">
              <w:rPr>
                <w:sz w:val="20"/>
                <w:szCs w:val="20"/>
              </w:rPr>
              <w:t xml:space="preserve"> Part 3: Normalized steel cylinders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F63B6" w14:textId="77777777" w:rsidR="00791999" w:rsidRPr="00791999" w:rsidRDefault="00791999" w:rsidP="00645B70">
            <w:pPr>
              <w:rPr>
                <w:iCs/>
              </w:rPr>
            </w:pPr>
            <w:r w:rsidRPr="00791999">
              <w:rPr>
                <w:iCs/>
              </w:rPr>
              <w:t>Until further notice</w:t>
            </w:r>
          </w:p>
        </w:tc>
      </w:tr>
      <w:tr w:rsidR="00915FB6" w:rsidRPr="00E8430E" w14:paraId="1AE43376" w14:textId="77777777" w:rsidTr="00915FB6">
        <w:trPr>
          <w:trHeight w:val="262"/>
          <w:jc w:val="center"/>
        </w:trPr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F7304" w14:textId="1E0D146E" w:rsidR="00791999" w:rsidRPr="00E8430E" w:rsidRDefault="00791999" w:rsidP="00791999">
            <w:pPr>
              <w:rPr>
                <w:iCs/>
                <w:u w:val="single"/>
              </w:rPr>
            </w:pPr>
            <w:r w:rsidRPr="00E8430E">
              <w:rPr>
                <w:iCs/>
                <w:u w:val="single"/>
              </w:rPr>
              <w:t xml:space="preserve">ISO </w:t>
            </w:r>
            <w:r>
              <w:rPr>
                <w:iCs/>
                <w:u w:val="single"/>
              </w:rPr>
              <w:t>4706:2008</w:t>
            </w:r>
          </w:p>
        </w:tc>
        <w:tc>
          <w:tcPr>
            <w:tcW w:w="40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C53C5" w14:textId="72D08E8B" w:rsidR="00791999" w:rsidRPr="00E8430E" w:rsidRDefault="00791999" w:rsidP="00791999">
            <w:pPr>
              <w:pStyle w:val="NoSpacing"/>
              <w:rPr>
                <w:sz w:val="20"/>
                <w:szCs w:val="20"/>
                <w:u w:val="single"/>
              </w:rPr>
            </w:pPr>
            <w:r w:rsidRPr="00E8430E">
              <w:rPr>
                <w:sz w:val="20"/>
                <w:szCs w:val="20"/>
                <w:u w:val="single"/>
              </w:rPr>
              <w:t xml:space="preserve">Gas cylinders </w:t>
            </w:r>
            <w:r>
              <w:rPr>
                <w:sz w:val="20"/>
                <w:szCs w:val="20"/>
                <w:u w:val="single"/>
              </w:rPr>
              <w:t>–</w:t>
            </w:r>
            <w:r w:rsidRPr="00E8430E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Refillable welded steel </w:t>
            </w:r>
            <w:r w:rsidRPr="00E8430E">
              <w:rPr>
                <w:sz w:val="20"/>
                <w:szCs w:val="20"/>
                <w:u w:val="single"/>
              </w:rPr>
              <w:t xml:space="preserve">cylinders </w:t>
            </w:r>
            <w:r>
              <w:rPr>
                <w:sz w:val="20"/>
                <w:szCs w:val="20"/>
                <w:u w:val="single"/>
              </w:rPr>
              <w:t>–</w:t>
            </w:r>
            <w:r w:rsidRPr="00E8430E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Test pressure 60 bar and below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67505" w14:textId="77777777" w:rsidR="00791999" w:rsidRPr="00E8430E" w:rsidRDefault="00791999" w:rsidP="00645B70">
            <w:pPr>
              <w:rPr>
                <w:iCs/>
                <w:u w:val="single"/>
              </w:rPr>
            </w:pPr>
            <w:r w:rsidRPr="00E8430E">
              <w:rPr>
                <w:iCs/>
                <w:u w:val="single"/>
              </w:rPr>
              <w:t>Until further notice</w:t>
            </w:r>
          </w:p>
        </w:tc>
      </w:tr>
      <w:tr w:rsidR="00915FB6" w:rsidRPr="00E8430E" w14:paraId="5A1A9D07" w14:textId="77777777" w:rsidTr="00915FB6">
        <w:trPr>
          <w:trHeight w:val="262"/>
          <w:jc w:val="center"/>
        </w:trPr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89C74" w14:textId="4A07002A" w:rsidR="00791999" w:rsidRPr="00E8430E" w:rsidRDefault="00791999" w:rsidP="00791999">
            <w:pPr>
              <w:rPr>
                <w:iCs/>
                <w:u w:val="single"/>
              </w:rPr>
            </w:pPr>
            <w:r>
              <w:rPr>
                <w:iCs/>
                <w:u w:val="single"/>
              </w:rPr>
              <w:t>ISO 7866:2012 + Cor 1:2014</w:t>
            </w:r>
          </w:p>
        </w:tc>
        <w:tc>
          <w:tcPr>
            <w:tcW w:w="4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C8255" w14:textId="77777777" w:rsidR="00791999" w:rsidRDefault="00791999" w:rsidP="00791999">
            <w:pPr>
              <w:pStyle w:val="NoSpacing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Gas cylinders – Refillable seamless aluminum alloy gas cylinders – Design, construction and testing</w:t>
            </w:r>
          </w:p>
          <w:p w14:paraId="0076EB5B" w14:textId="1E26CBE3" w:rsidR="00791999" w:rsidRPr="00791999" w:rsidRDefault="00791999" w:rsidP="00791999">
            <w:pPr>
              <w:pStyle w:val="NoSpacing"/>
              <w:rPr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NOTE:</w:t>
            </w:r>
            <w:r>
              <w:rPr>
                <w:i/>
                <w:sz w:val="20"/>
                <w:szCs w:val="20"/>
                <w:u w:val="single"/>
              </w:rPr>
              <w:t xml:space="preserve"> Aluminum alloy 6351A or equivalent shall not be used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FB409" w14:textId="19786458" w:rsidR="00791999" w:rsidRPr="00E8430E" w:rsidRDefault="00791999" w:rsidP="00645B70">
            <w:pPr>
              <w:rPr>
                <w:iCs/>
                <w:u w:val="single"/>
              </w:rPr>
            </w:pPr>
            <w:r>
              <w:rPr>
                <w:iCs/>
                <w:u w:val="single"/>
              </w:rPr>
              <w:t>Until further notice</w:t>
            </w:r>
          </w:p>
        </w:tc>
      </w:tr>
    </w:tbl>
    <w:p w14:paraId="3F96E5E6" w14:textId="77777777" w:rsidR="00791999" w:rsidRPr="00E8430E" w:rsidRDefault="00791999" w:rsidP="00791999">
      <w:pPr>
        <w:rPr>
          <w:rFonts w:eastAsiaTheme="minorHAnsi"/>
          <w:iCs/>
        </w:rPr>
      </w:pPr>
    </w:p>
    <w:p w14:paraId="1AFE6C98" w14:textId="2F62B621" w:rsidR="00791999" w:rsidRPr="00C676DC" w:rsidRDefault="00C676DC" w:rsidP="00C676DC">
      <w:pPr>
        <w:pStyle w:val="SingleTxtG"/>
      </w:pPr>
      <w:r w:rsidRPr="00C676DC">
        <w:t>7.</w:t>
      </w:r>
      <w:r w:rsidRPr="00C676DC">
        <w:tab/>
        <w:t>The remainder of 6.2.2.1.3 is unchanged.</w:t>
      </w:r>
    </w:p>
    <w:p w14:paraId="0DC4C47E" w14:textId="78F1E3AE" w:rsidR="00A83451" w:rsidRPr="00967674" w:rsidRDefault="00140F48" w:rsidP="00140F48">
      <w:pPr>
        <w:pStyle w:val="SingleTxtG"/>
        <w:spacing w:before="240" w:after="0"/>
        <w:jc w:val="center"/>
        <w:rPr>
          <w:u w:val="single"/>
          <w:lang w:val="en-GB"/>
        </w:rPr>
      </w:pPr>
      <w:r w:rsidRPr="00967674">
        <w:rPr>
          <w:u w:val="single"/>
          <w:lang w:val="en-GB"/>
        </w:rPr>
        <w:tab/>
      </w:r>
      <w:r w:rsidRPr="00967674">
        <w:rPr>
          <w:u w:val="single"/>
          <w:lang w:val="en-GB"/>
        </w:rPr>
        <w:tab/>
      </w:r>
      <w:r w:rsidR="00C676DC">
        <w:rPr>
          <w:u w:val="single"/>
          <w:lang w:val="en-GB"/>
        </w:rPr>
        <w:tab/>
      </w:r>
      <w:r w:rsidR="00C676DC">
        <w:rPr>
          <w:u w:val="single"/>
          <w:lang w:val="en-GB"/>
        </w:rPr>
        <w:tab/>
      </w:r>
    </w:p>
    <w:sectPr w:rsidR="00A83451" w:rsidRPr="00967674" w:rsidSect="00392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type w:val="oddPage"/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B22CA" w14:textId="77777777" w:rsidR="00840A41" w:rsidRDefault="00840A41"/>
  </w:endnote>
  <w:endnote w:type="continuationSeparator" w:id="0">
    <w:p w14:paraId="395EA378" w14:textId="77777777" w:rsidR="00840A41" w:rsidRDefault="00840A41"/>
  </w:endnote>
  <w:endnote w:type="continuationNotice" w:id="1">
    <w:p w14:paraId="0DAE05DB" w14:textId="77777777" w:rsidR="00840A41" w:rsidRDefault="00840A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40103" w14:textId="03137B90" w:rsidR="00EC1F27" w:rsidRPr="00F257D1" w:rsidRDefault="00EC1F27" w:rsidP="00F257D1">
    <w:pPr>
      <w:pStyle w:val="Footer"/>
      <w:jc w:val="right"/>
      <w:rPr>
        <w:rStyle w:val="PageNumber"/>
        <w:noProof/>
        <w:sz w:val="20"/>
        <w:szCs w:val="22"/>
      </w:rPr>
    </w:pPr>
    <w:r w:rsidRPr="0059131E">
      <w:rPr>
        <w:rStyle w:val="PageNumber"/>
        <w:noProof/>
        <w:sz w:val="20"/>
        <w:szCs w:val="22"/>
      </w:rPr>
      <w:fldChar w:fldCharType="begin"/>
    </w:r>
    <w:r w:rsidRPr="0059131E">
      <w:rPr>
        <w:rStyle w:val="PageNumber"/>
        <w:noProof/>
        <w:sz w:val="20"/>
        <w:szCs w:val="22"/>
      </w:rPr>
      <w:instrText xml:space="preserve"> PAGE  \* MERGEFORMAT </w:instrText>
    </w:r>
    <w:r w:rsidRPr="0059131E">
      <w:rPr>
        <w:rStyle w:val="PageNumber"/>
        <w:noProof/>
        <w:sz w:val="20"/>
        <w:szCs w:val="22"/>
      </w:rPr>
      <w:fldChar w:fldCharType="separate"/>
    </w:r>
    <w:r w:rsidR="00D90463">
      <w:rPr>
        <w:rStyle w:val="PageNumber"/>
        <w:noProof/>
        <w:sz w:val="20"/>
        <w:szCs w:val="22"/>
      </w:rPr>
      <w:t>2</w:t>
    </w:r>
    <w:r w:rsidRPr="0059131E">
      <w:rPr>
        <w:rStyle w:val="PageNumber"/>
        <w:noProof/>
        <w:sz w:val="20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59FC8" w14:textId="723CD892" w:rsidR="00EC1F27" w:rsidRPr="000216CC" w:rsidRDefault="00EC1F27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F102B7">
      <w:rPr>
        <w:b/>
        <w:noProof/>
        <w:sz w:val="18"/>
      </w:rPr>
      <w:t>3</w:t>
    </w:r>
    <w:r w:rsidRPr="000216C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A28C9" w14:textId="77777777" w:rsidR="00840A41" w:rsidRPr="000B175B" w:rsidRDefault="00840A4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148B657" w14:textId="77777777" w:rsidR="00840A41" w:rsidRPr="00FC68B7" w:rsidRDefault="00840A4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69239BE" w14:textId="77777777" w:rsidR="00840A41" w:rsidRDefault="00840A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82A21" w14:textId="07D88222" w:rsidR="00EC1F27" w:rsidRPr="00B5392B" w:rsidRDefault="00EC1F27">
    <w:pPr>
      <w:pStyle w:val="Header"/>
      <w:rPr>
        <w:lang w:val="nl-NL"/>
      </w:rPr>
    </w:pPr>
    <w:r w:rsidRPr="00460B22">
      <w:rPr>
        <w:lang w:val="nl-NL"/>
      </w:rPr>
      <w:t>UN/SCETDG/53/INF.</w:t>
    </w:r>
    <w:r w:rsidR="00F102B7">
      <w:rPr>
        <w:lang w:val="nl-NL"/>
      </w:rPr>
      <w:t>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8D8AB" w14:textId="3B82C2FC" w:rsidR="00EC1F27" w:rsidRPr="000216CC" w:rsidRDefault="00EC1F27" w:rsidP="000216CC">
    <w:pPr>
      <w:pStyle w:val="Header"/>
      <w:jc w:val="right"/>
    </w:pPr>
    <w:r w:rsidRPr="0059131E">
      <w:t>UN/SCETDG/</w:t>
    </w:r>
    <w:r w:rsidR="0059131E" w:rsidRPr="0059131E">
      <w:t>53</w:t>
    </w:r>
    <w:r w:rsidRPr="0059131E">
      <w:t>/INF.</w:t>
    </w:r>
    <w:r w:rsidR="00915FB6"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4DC62" w14:textId="1FCFE443" w:rsidR="00294934" w:rsidRDefault="00294934" w:rsidP="00532F7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BCA679A"/>
    <w:multiLevelType w:val="hybridMultilevel"/>
    <w:tmpl w:val="BBE01270"/>
    <w:lvl w:ilvl="0" w:tplc="865C0680">
      <w:start w:val="3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F379BD"/>
    <w:multiLevelType w:val="multilevel"/>
    <w:tmpl w:val="6C183D9C"/>
    <w:lvl w:ilvl="0">
      <w:start w:val="3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4" w15:restartNumberingAfterBreak="0">
    <w:nsid w:val="1ADF1AEC"/>
    <w:multiLevelType w:val="hybridMultilevel"/>
    <w:tmpl w:val="1DF82FAA"/>
    <w:lvl w:ilvl="0" w:tplc="DB108080">
      <w:numFmt w:val="bullet"/>
      <w:lvlText w:val="-"/>
      <w:lvlJc w:val="left"/>
      <w:pPr>
        <w:ind w:left="2061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1BE26225"/>
    <w:multiLevelType w:val="multilevel"/>
    <w:tmpl w:val="6C183D9C"/>
    <w:lvl w:ilvl="0">
      <w:start w:val="3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6" w15:restartNumberingAfterBreak="0">
    <w:nsid w:val="1CC43870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7" w15:restartNumberingAfterBreak="0">
    <w:nsid w:val="232F6A1A"/>
    <w:multiLevelType w:val="multilevel"/>
    <w:tmpl w:val="6C183D9C"/>
    <w:lvl w:ilvl="0">
      <w:start w:val="3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8" w15:restartNumberingAfterBreak="0">
    <w:nsid w:val="29A97FC3"/>
    <w:multiLevelType w:val="hybridMultilevel"/>
    <w:tmpl w:val="357E7DF2"/>
    <w:lvl w:ilvl="0" w:tplc="94E0F3F2">
      <w:start w:val="2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2AF07140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0" w15:restartNumberingAfterBreak="0">
    <w:nsid w:val="2B313B8E"/>
    <w:multiLevelType w:val="hybridMultilevel"/>
    <w:tmpl w:val="6F069C56"/>
    <w:lvl w:ilvl="0" w:tplc="83CA540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6F02E9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2" w15:restartNumberingAfterBreak="0">
    <w:nsid w:val="31BF1D2A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3" w15:restartNumberingAfterBreak="0">
    <w:nsid w:val="32CD1697"/>
    <w:multiLevelType w:val="hybridMultilevel"/>
    <w:tmpl w:val="7556DE2C"/>
    <w:lvl w:ilvl="0" w:tplc="59BC16EA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4" w15:restartNumberingAfterBreak="0">
    <w:nsid w:val="3794553B"/>
    <w:multiLevelType w:val="hybridMultilevel"/>
    <w:tmpl w:val="5ABC5058"/>
    <w:lvl w:ilvl="0" w:tplc="60D0703E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5" w15:restartNumberingAfterBreak="0">
    <w:nsid w:val="38927D67"/>
    <w:multiLevelType w:val="hybridMultilevel"/>
    <w:tmpl w:val="F14238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C802F1"/>
    <w:multiLevelType w:val="multilevel"/>
    <w:tmpl w:val="6C183D9C"/>
    <w:lvl w:ilvl="0">
      <w:start w:val="3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7" w15:restartNumberingAfterBreak="0">
    <w:nsid w:val="3A7E3A14"/>
    <w:multiLevelType w:val="multilevel"/>
    <w:tmpl w:val="998645F6"/>
    <w:lvl w:ilvl="0">
      <w:start w:val="3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3C281287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9" w15:restartNumberingAfterBreak="0">
    <w:nsid w:val="45BD287E"/>
    <w:multiLevelType w:val="hybridMultilevel"/>
    <w:tmpl w:val="09FEB9C0"/>
    <w:lvl w:ilvl="0" w:tplc="A6D6CAF8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7914D04"/>
    <w:multiLevelType w:val="hybridMultilevel"/>
    <w:tmpl w:val="C4B4B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A54060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2" w15:restartNumberingAfterBreak="0">
    <w:nsid w:val="4E710EA8"/>
    <w:multiLevelType w:val="hybridMultilevel"/>
    <w:tmpl w:val="2A9AB0EA"/>
    <w:lvl w:ilvl="0" w:tplc="FF8AD5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DB314A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4" w15:restartNumberingAfterBreak="0">
    <w:nsid w:val="57D55C48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5" w15:restartNumberingAfterBreak="0">
    <w:nsid w:val="58AC0ED7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6" w15:restartNumberingAfterBreak="0">
    <w:nsid w:val="5B424C9D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7" w15:restartNumberingAfterBreak="0">
    <w:nsid w:val="5BBB53C3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8" w15:restartNumberingAfterBreak="0">
    <w:nsid w:val="5BD95769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F17679"/>
    <w:multiLevelType w:val="hybridMultilevel"/>
    <w:tmpl w:val="CD98C9F4"/>
    <w:lvl w:ilvl="0" w:tplc="CF801DF6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42" w15:restartNumberingAfterBreak="0">
    <w:nsid w:val="67C66A82"/>
    <w:multiLevelType w:val="hybridMultilevel"/>
    <w:tmpl w:val="F4AC23E8"/>
    <w:lvl w:ilvl="0" w:tplc="4972FA2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0029FC"/>
    <w:multiLevelType w:val="multilevel"/>
    <w:tmpl w:val="6C183D9C"/>
    <w:lvl w:ilvl="0">
      <w:start w:val="3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5" w15:restartNumberingAfterBreak="0">
    <w:nsid w:val="7A084E32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6" w15:restartNumberingAfterBreak="0">
    <w:nsid w:val="7AD34A7B"/>
    <w:multiLevelType w:val="multilevel"/>
    <w:tmpl w:val="297C0080"/>
    <w:lvl w:ilvl="0">
      <w:start w:val="26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i w:val="0"/>
      </w:rPr>
    </w:lvl>
    <w:lvl w:ilvl="3">
      <w:start w:val="5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47" w15:restartNumberingAfterBreak="0">
    <w:nsid w:val="7D0A3C7A"/>
    <w:multiLevelType w:val="multilevel"/>
    <w:tmpl w:val="6C183D9C"/>
    <w:lvl w:ilvl="0">
      <w:start w:val="3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8" w15:restartNumberingAfterBreak="0">
    <w:nsid w:val="7D1A2D2F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9" w15:restartNumberingAfterBreak="0">
    <w:nsid w:val="7E4E4312"/>
    <w:multiLevelType w:val="hybridMultilevel"/>
    <w:tmpl w:val="487E862C"/>
    <w:lvl w:ilvl="0" w:tplc="70CCBF6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9"/>
  </w:num>
  <w:num w:numId="12">
    <w:abstractNumId w:val="12"/>
  </w:num>
  <w:num w:numId="13">
    <w:abstractNumId w:val="10"/>
  </w:num>
  <w:num w:numId="14">
    <w:abstractNumId w:val="40"/>
  </w:num>
  <w:num w:numId="15">
    <w:abstractNumId w:val="43"/>
  </w:num>
  <w:num w:numId="16">
    <w:abstractNumId w:val="25"/>
  </w:num>
  <w:num w:numId="17">
    <w:abstractNumId w:val="32"/>
  </w:num>
  <w:num w:numId="18">
    <w:abstractNumId w:val="42"/>
  </w:num>
  <w:num w:numId="19">
    <w:abstractNumId w:val="24"/>
  </w:num>
  <w:num w:numId="20">
    <w:abstractNumId w:val="41"/>
  </w:num>
  <w:num w:numId="21">
    <w:abstractNumId w:val="23"/>
  </w:num>
  <w:num w:numId="22">
    <w:abstractNumId w:val="30"/>
  </w:num>
  <w:num w:numId="23">
    <w:abstractNumId w:val="49"/>
  </w:num>
  <w:num w:numId="24">
    <w:abstractNumId w:val="20"/>
  </w:num>
  <w:num w:numId="25">
    <w:abstractNumId w:val="29"/>
  </w:num>
  <w:num w:numId="26">
    <w:abstractNumId w:val="18"/>
  </w:num>
  <w:num w:numId="27">
    <w:abstractNumId w:val="46"/>
  </w:num>
  <w:num w:numId="28">
    <w:abstractNumId w:val="17"/>
  </w:num>
  <w:num w:numId="29">
    <w:abstractNumId w:val="47"/>
  </w:num>
  <w:num w:numId="30">
    <w:abstractNumId w:val="44"/>
  </w:num>
  <w:num w:numId="31">
    <w:abstractNumId w:val="22"/>
  </w:num>
  <w:num w:numId="32">
    <w:abstractNumId w:val="35"/>
  </w:num>
  <w:num w:numId="33">
    <w:abstractNumId w:val="33"/>
  </w:num>
  <w:num w:numId="34">
    <w:abstractNumId w:val="28"/>
  </w:num>
  <w:num w:numId="35">
    <w:abstractNumId w:val="21"/>
  </w:num>
  <w:num w:numId="36">
    <w:abstractNumId w:val="36"/>
  </w:num>
  <w:num w:numId="37">
    <w:abstractNumId w:val="48"/>
  </w:num>
  <w:num w:numId="38">
    <w:abstractNumId w:val="13"/>
  </w:num>
  <w:num w:numId="39">
    <w:abstractNumId w:val="15"/>
  </w:num>
  <w:num w:numId="40">
    <w:abstractNumId w:val="26"/>
  </w:num>
  <w:num w:numId="41">
    <w:abstractNumId w:val="37"/>
  </w:num>
  <w:num w:numId="42">
    <w:abstractNumId w:val="19"/>
  </w:num>
  <w:num w:numId="43">
    <w:abstractNumId w:val="34"/>
  </w:num>
  <w:num w:numId="44">
    <w:abstractNumId w:val="45"/>
  </w:num>
  <w:num w:numId="45">
    <w:abstractNumId w:val="38"/>
  </w:num>
  <w:num w:numId="46">
    <w:abstractNumId w:val="16"/>
  </w:num>
  <w:num w:numId="47">
    <w:abstractNumId w:val="31"/>
  </w:num>
  <w:num w:numId="48">
    <w:abstractNumId w:val="11"/>
  </w:num>
  <w:num w:numId="49">
    <w:abstractNumId w:val="27"/>
  </w:num>
  <w:num w:numId="50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CH" w:vendorID="64" w:dllVersion="0" w:nlCheck="1" w:checkStyle="0"/>
  <w:activeWritingStyle w:appName="MSWord" w:lang="nl-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CC"/>
    <w:rsid w:val="000019B8"/>
    <w:rsid w:val="00006FAE"/>
    <w:rsid w:val="000133C5"/>
    <w:rsid w:val="00017D24"/>
    <w:rsid w:val="000216CC"/>
    <w:rsid w:val="0003061F"/>
    <w:rsid w:val="0003375D"/>
    <w:rsid w:val="00036474"/>
    <w:rsid w:val="00043180"/>
    <w:rsid w:val="000504CE"/>
    <w:rsid w:val="00050922"/>
    <w:rsid w:val="00050F6B"/>
    <w:rsid w:val="00053492"/>
    <w:rsid w:val="0005710C"/>
    <w:rsid w:val="00064402"/>
    <w:rsid w:val="00067E6D"/>
    <w:rsid w:val="00072C8C"/>
    <w:rsid w:val="00073129"/>
    <w:rsid w:val="00075DC5"/>
    <w:rsid w:val="00075F99"/>
    <w:rsid w:val="00076A0A"/>
    <w:rsid w:val="00082CE1"/>
    <w:rsid w:val="00083598"/>
    <w:rsid w:val="00084632"/>
    <w:rsid w:val="00091046"/>
    <w:rsid w:val="00091419"/>
    <w:rsid w:val="00091CB3"/>
    <w:rsid w:val="000931C0"/>
    <w:rsid w:val="000A2236"/>
    <w:rsid w:val="000A35F2"/>
    <w:rsid w:val="000A3A48"/>
    <w:rsid w:val="000A4C38"/>
    <w:rsid w:val="000B175B"/>
    <w:rsid w:val="000B3A0F"/>
    <w:rsid w:val="000B4919"/>
    <w:rsid w:val="000B6AD1"/>
    <w:rsid w:val="000B7AF2"/>
    <w:rsid w:val="000C1ED8"/>
    <w:rsid w:val="000C5D4B"/>
    <w:rsid w:val="000C717F"/>
    <w:rsid w:val="000D0B8F"/>
    <w:rsid w:val="000D22D0"/>
    <w:rsid w:val="000D481F"/>
    <w:rsid w:val="000D6D97"/>
    <w:rsid w:val="000D7830"/>
    <w:rsid w:val="000E0415"/>
    <w:rsid w:val="000F0347"/>
    <w:rsid w:val="000F52D6"/>
    <w:rsid w:val="000F6A20"/>
    <w:rsid w:val="001016E7"/>
    <w:rsid w:val="0010461A"/>
    <w:rsid w:val="00115303"/>
    <w:rsid w:val="00117787"/>
    <w:rsid w:val="00117D0D"/>
    <w:rsid w:val="00121EB7"/>
    <w:rsid w:val="00124307"/>
    <w:rsid w:val="00131B10"/>
    <w:rsid w:val="00131D42"/>
    <w:rsid w:val="00133C50"/>
    <w:rsid w:val="001406F4"/>
    <w:rsid w:val="00140F48"/>
    <w:rsid w:val="001633FB"/>
    <w:rsid w:val="00163A1B"/>
    <w:rsid w:val="00165735"/>
    <w:rsid w:val="00167786"/>
    <w:rsid w:val="00181019"/>
    <w:rsid w:val="0018168F"/>
    <w:rsid w:val="001835BF"/>
    <w:rsid w:val="00184B86"/>
    <w:rsid w:val="001944F1"/>
    <w:rsid w:val="001A02A4"/>
    <w:rsid w:val="001B13C0"/>
    <w:rsid w:val="001B35EE"/>
    <w:rsid w:val="001B4B04"/>
    <w:rsid w:val="001B6B72"/>
    <w:rsid w:val="001C429D"/>
    <w:rsid w:val="001C6663"/>
    <w:rsid w:val="001C7895"/>
    <w:rsid w:val="001D26DF"/>
    <w:rsid w:val="001D2FDC"/>
    <w:rsid w:val="001D3123"/>
    <w:rsid w:val="001D3A88"/>
    <w:rsid w:val="001D49F7"/>
    <w:rsid w:val="001D4B2D"/>
    <w:rsid w:val="001D4E70"/>
    <w:rsid w:val="001E797C"/>
    <w:rsid w:val="00211B12"/>
    <w:rsid w:val="00211E0B"/>
    <w:rsid w:val="0021481D"/>
    <w:rsid w:val="00221589"/>
    <w:rsid w:val="00221AC2"/>
    <w:rsid w:val="00224CD9"/>
    <w:rsid w:val="002309A7"/>
    <w:rsid w:val="00235381"/>
    <w:rsid w:val="00237785"/>
    <w:rsid w:val="00241178"/>
    <w:rsid w:val="00241466"/>
    <w:rsid w:val="002440E7"/>
    <w:rsid w:val="00247570"/>
    <w:rsid w:val="00257C1E"/>
    <w:rsid w:val="00261B71"/>
    <w:rsid w:val="002621F5"/>
    <w:rsid w:val="002708B5"/>
    <w:rsid w:val="00270DFA"/>
    <w:rsid w:val="002725CA"/>
    <w:rsid w:val="00273A92"/>
    <w:rsid w:val="00277896"/>
    <w:rsid w:val="00280EB7"/>
    <w:rsid w:val="00294934"/>
    <w:rsid w:val="00295C28"/>
    <w:rsid w:val="002976CF"/>
    <w:rsid w:val="002A0BD2"/>
    <w:rsid w:val="002A5B17"/>
    <w:rsid w:val="002B067A"/>
    <w:rsid w:val="002B1514"/>
    <w:rsid w:val="002B1CDA"/>
    <w:rsid w:val="002C7F25"/>
    <w:rsid w:val="002D5A85"/>
    <w:rsid w:val="002D5C7D"/>
    <w:rsid w:val="002E35BB"/>
    <w:rsid w:val="002F68FD"/>
    <w:rsid w:val="003107FA"/>
    <w:rsid w:val="00313AC2"/>
    <w:rsid w:val="00315D73"/>
    <w:rsid w:val="00316FF9"/>
    <w:rsid w:val="00317E2F"/>
    <w:rsid w:val="00321716"/>
    <w:rsid w:val="003229D8"/>
    <w:rsid w:val="00327D0A"/>
    <w:rsid w:val="003379AF"/>
    <w:rsid w:val="003517C3"/>
    <w:rsid w:val="00355502"/>
    <w:rsid w:val="00356BC7"/>
    <w:rsid w:val="00357A20"/>
    <w:rsid w:val="00362531"/>
    <w:rsid w:val="00372F06"/>
    <w:rsid w:val="00391647"/>
    <w:rsid w:val="0039260F"/>
    <w:rsid w:val="0039277A"/>
    <w:rsid w:val="00396F6A"/>
    <w:rsid w:val="003972E0"/>
    <w:rsid w:val="003A1EC2"/>
    <w:rsid w:val="003A52D7"/>
    <w:rsid w:val="003A5A16"/>
    <w:rsid w:val="003C0657"/>
    <w:rsid w:val="003C18C9"/>
    <w:rsid w:val="003C2CC4"/>
    <w:rsid w:val="003C623F"/>
    <w:rsid w:val="003C655D"/>
    <w:rsid w:val="003D4B23"/>
    <w:rsid w:val="003F23A4"/>
    <w:rsid w:val="003F5B52"/>
    <w:rsid w:val="00403EC6"/>
    <w:rsid w:val="00406CD4"/>
    <w:rsid w:val="00430086"/>
    <w:rsid w:val="00430918"/>
    <w:rsid w:val="004325CB"/>
    <w:rsid w:val="0043406C"/>
    <w:rsid w:val="00437F3F"/>
    <w:rsid w:val="00440B5A"/>
    <w:rsid w:val="00446DE4"/>
    <w:rsid w:val="004526E8"/>
    <w:rsid w:val="00452D10"/>
    <w:rsid w:val="00454036"/>
    <w:rsid w:val="004562AA"/>
    <w:rsid w:val="00460B22"/>
    <w:rsid w:val="004626AF"/>
    <w:rsid w:val="0046443A"/>
    <w:rsid w:val="004653B3"/>
    <w:rsid w:val="004654C4"/>
    <w:rsid w:val="0046668F"/>
    <w:rsid w:val="0046773D"/>
    <w:rsid w:val="0046788D"/>
    <w:rsid w:val="0048304D"/>
    <w:rsid w:val="00484A9B"/>
    <w:rsid w:val="00492AF9"/>
    <w:rsid w:val="00494C77"/>
    <w:rsid w:val="00497711"/>
    <w:rsid w:val="004A25C4"/>
    <w:rsid w:val="004B2C9D"/>
    <w:rsid w:val="004B5939"/>
    <w:rsid w:val="004B61C9"/>
    <w:rsid w:val="004B73D6"/>
    <w:rsid w:val="004C39D0"/>
    <w:rsid w:val="004C4F1A"/>
    <w:rsid w:val="004C6D6D"/>
    <w:rsid w:val="004E0C5D"/>
    <w:rsid w:val="004F4240"/>
    <w:rsid w:val="004F77CD"/>
    <w:rsid w:val="00507CF1"/>
    <w:rsid w:val="00522177"/>
    <w:rsid w:val="00527910"/>
    <w:rsid w:val="00532F73"/>
    <w:rsid w:val="005420F2"/>
    <w:rsid w:val="00542505"/>
    <w:rsid w:val="005475D4"/>
    <w:rsid w:val="00555CDB"/>
    <w:rsid w:val="00561B6D"/>
    <w:rsid w:val="00562D45"/>
    <w:rsid w:val="0056615B"/>
    <w:rsid w:val="00567DFB"/>
    <w:rsid w:val="00571DAA"/>
    <w:rsid w:val="00572210"/>
    <w:rsid w:val="0058129D"/>
    <w:rsid w:val="00590144"/>
    <w:rsid w:val="0059131E"/>
    <w:rsid w:val="0059682C"/>
    <w:rsid w:val="005A64DD"/>
    <w:rsid w:val="005B09F0"/>
    <w:rsid w:val="005B0CED"/>
    <w:rsid w:val="005B3DB3"/>
    <w:rsid w:val="005B528A"/>
    <w:rsid w:val="005C4CB5"/>
    <w:rsid w:val="005D0C6C"/>
    <w:rsid w:val="005D1BB4"/>
    <w:rsid w:val="005E5946"/>
    <w:rsid w:val="005F3A39"/>
    <w:rsid w:val="005F5C2F"/>
    <w:rsid w:val="005F7BB1"/>
    <w:rsid w:val="00602490"/>
    <w:rsid w:val="00603E3C"/>
    <w:rsid w:val="00611FC4"/>
    <w:rsid w:val="00612812"/>
    <w:rsid w:val="006176FB"/>
    <w:rsid w:val="00626B06"/>
    <w:rsid w:val="006279AC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620A2"/>
    <w:rsid w:val="00662121"/>
    <w:rsid w:val="00662E09"/>
    <w:rsid w:val="00670CF0"/>
    <w:rsid w:val="00675F87"/>
    <w:rsid w:val="00690CD6"/>
    <w:rsid w:val="00691AAC"/>
    <w:rsid w:val="00696356"/>
    <w:rsid w:val="006A3932"/>
    <w:rsid w:val="006A63E3"/>
    <w:rsid w:val="006A7392"/>
    <w:rsid w:val="006B1C55"/>
    <w:rsid w:val="006C0D34"/>
    <w:rsid w:val="006C251B"/>
    <w:rsid w:val="006C2F7E"/>
    <w:rsid w:val="006D3560"/>
    <w:rsid w:val="006E3B65"/>
    <w:rsid w:val="006E564B"/>
    <w:rsid w:val="006F255F"/>
    <w:rsid w:val="007025C0"/>
    <w:rsid w:val="00707F04"/>
    <w:rsid w:val="00711637"/>
    <w:rsid w:val="00714F4F"/>
    <w:rsid w:val="0072632A"/>
    <w:rsid w:val="00736E6A"/>
    <w:rsid w:val="00741F59"/>
    <w:rsid w:val="0074697D"/>
    <w:rsid w:val="00755EBE"/>
    <w:rsid w:val="00761619"/>
    <w:rsid w:val="0076177C"/>
    <w:rsid w:val="00763C33"/>
    <w:rsid w:val="00764269"/>
    <w:rsid w:val="00766322"/>
    <w:rsid w:val="00770BCD"/>
    <w:rsid w:val="00771904"/>
    <w:rsid w:val="00773353"/>
    <w:rsid w:val="00774129"/>
    <w:rsid w:val="00774E8F"/>
    <w:rsid w:val="00774EAA"/>
    <w:rsid w:val="0078123B"/>
    <w:rsid w:val="00781B57"/>
    <w:rsid w:val="00786434"/>
    <w:rsid w:val="00790791"/>
    <w:rsid w:val="00791999"/>
    <w:rsid w:val="0079608C"/>
    <w:rsid w:val="00796F36"/>
    <w:rsid w:val="007A2CDB"/>
    <w:rsid w:val="007A62EC"/>
    <w:rsid w:val="007B1A7E"/>
    <w:rsid w:val="007B2BA8"/>
    <w:rsid w:val="007B6BA5"/>
    <w:rsid w:val="007C2C0D"/>
    <w:rsid w:val="007C3162"/>
    <w:rsid w:val="007C3390"/>
    <w:rsid w:val="007C4F4B"/>
    <w:rsid w:val="007C644D"/>
    <w:rsid w:val="007D7BC6"/>
    <w:rsid w:val="007E4BD3"/>
    <w:rsid w:val="007E5D7C"/>
    <w:rsid w:val="007F2A54"/>
    <w:rsid w:val="007F5104"/>
    <w:rsid w:val="007F6611"/>
    <w:rsid w:val="00800024"/>
    <w:rsid w:val="008037A2"/>
    <w:rsid w:val="00816582"/>
    <w:rsid w:val="008175E9"/>
    <w:rsid w:val="00820A2D"/>
    <w:rsid w:val="008242D7"/>
    <w:rsid w:val="00826C09"/>
    <w:rsid w:val="0083043E"/>
    <w:rsid w:val="0083069A"/>
    <w:rsid w:val="00832A1D"/>
    <w:rsid w:val="00834479"/>
    <w:rsid w:val="00840A41"/>
    <w:rsid w:val="00843AB2"/>
    <w:rsid w:val="00846809"/>
    <w:rsid w:val="00857789"/>
    <w:rsid w:val="0086107D"/>
    <w:rsid w:val="00864251"/>
    <w:rsid w:val="00871FD5"/>
    <w:rsid w:val="00881213"/>
    <w:rsid w:val="008830CC"/>
    <w:rsid w:val="00894156"/>
    <w:rsid w:val="008979B1"/>
    <w:rsid w:val="008A0B75"/>
    <w:rsid w:val="008A1542"/>
    <w:rsid w:val="008A6B25"/>
    <w:rsid w:val="008A6C4F"/>
    <w:rsid w:val="008A7679"/>
    <w:rsid w:val="008A7AB3"/>
    <w:rsid w:val="008B65FB"/>
    <w:rsid w:val="008C3B3C"/>
    <w:rsid w:val="008C4283"/>
    <w:rsid w:val="008C74C3"/>
    <w:rsid w:val="008C7BF7"/>
    <w:rsid w:val="008D134F"/>
    <w:rsid w:val="008D3C75"/>
    <w:rsid w:val="008D6942"/>
    <w:rsid w:val="008E0E46"/>
    <w:rsid w:val="008E1DAE"/>
    <w:rsid w:val="008E295A"/>
    <w:rsid w:val="008F2D9A"/>
    <w:rsid w:val="008F44B8"/>
    <w:rsid w:val="008F504A"/>
    <w:rsid w:val="00904EBC"/>
    <w:rsid w:val="00915FB6"/>
    <w:rsid w:val="00923019"/>
    <w:rsid w:val="00924B63"/>
    <w:rsid w:val="009363B6"/>
    <w:rsid w:val="00940F46"/>
    <w:rsid w:val="00941ECC"/>
    <w:rsid w:val="00945A5D"/>
    <w:rsid w:val="00946A0D"/>
    <w:rsid w:val="00955109"/>
    <w:rsid w:val="00963B67"/>
    <w:rsid w:val="00963CBA"/>
    <w:rsid w:val="00964682"/>
    <w:rsid w:val="00967674"/>
    <w:rsid w:val="009701ED"/>
    <w:rsid w:val="00984471"/>
    <w:rsid w:val="00985F37"/>
    <w:rsid w:val="009879EA"/>
    <w:rsid w:val="009908A5"/>
    <w:rsid w:val="0099124E"/>
    <w:rsid w:val="00991261"/>
    <w:rsid w:val="009953D5"/>
    <w:rsid w:val="009A1D29"/>
    <w:rsid w:val="009C6394"/>
    <w:rsid w:val="009D0E2A"/>
    <w:rsid w:val="009D0F0E"/>
    <w:rsid w:val="009D1AAE"/>
    <w:rsid w:val="009D634E"/>
    <w:rsid w:val="009E1560"/>
    <w:rsid w:val="009F0F06"/>
    <w:rsid w:val="009F25EB"/>
    <w:rsid w:val="009F4FC5"/>
    <w:rsid w:val="00A1427D"/>
    <w:rsid w:val="00A235F1"/>
    <w:rsid w:val="00A34B00"/>
    <w:rsid w:val="00A3777A"/>
    <w:rsid w:val="00A50077"/>
    <w:rsid w:val="00A54CA8"/>
    <w:rsid w:val="00A60196"/>
    <w:rsid w:val="00A611EB"/>
    <w:rsid w:val="00A6199C"/>
    <w:rsid w:val="00A622AF"/>
    <w:rsid w:val="00A65F4A"/>
    <w:rsid w:val="00A66636"/>
    <w:rsid w:val="00A72F22"/>
    <w:rsid w:val="00A744D7"/>
    <w:rsid w:val="00A748A6"/>
    <w:rsid w:val="00A74A46"/>
    <w:rsid w:val="00A75EC9"/>
    <w:rsid w:val="00A810D4"/>
    <w:rsid w:val="00A83451"/>
    <w:rsid w:val="00A83538"/>
    <w:rsid w:val="00A8523D"/>
    <w:rsid w:val="00A879A4"/>
    <w:rsid w:val="00AA1D9A"/>
    <w:rsid w:val="00AA32EB"/>
    <w:rsid w:val="00AB382F"/>
    <w:rsid w:val="00AB4CF1"/>
    <w:rsid w:val="00AD34EE"/>
    <w:rsid w:val="00AD7C88"/>
    <w:rsid w:val="00AE45DE"/>
    <w:rsid w:val="00AF0878"/>
    <w:rsid w:val="00AF2F9D"/>
    <w:rsid w:val="00AF6710"/>
    <w:rsid w:val="00B013E6"/>
    <w:rsid w:val="00B04D66"/>
    <w:rsid w:val="00B10C19"/>
    <w:rsid w:val="00B1157C"/>
    <w:rsid w:val="00B1501F"/>
    <w:rsid w:val="00B26710"/>
    <w:rsid w:val="00B26B3C"/>
    <w:rsid w:val="00B30179"/>
    <w:rsid w:val="00B304E1"/>
    <w:rsid w:val="00B3317B"/>
    <w:rsid w:val="00B41384"/>
    <w:rsid w:val="00B4398E"/>
    <w:rsid w:val="00B50098"/>
    <w:rsid w:val="00B5392B"/>
    <w:rsid w:val="00B71E2B"/>
    <w:rsid w:val="00B73DA8"/>
    <w:rsid w:val="00B74F7C"/>
    <w:rsid w:val="00B75E05"/>
    <w:rsid w:val="00B81E12"/>
    <w:rsid w:val="00B84AAC"/>
    <w:rsid w:val="00B90F54"/>
    <w:rsid w:val="00B91CC3"/>
    <w:rsid w:val="00B92A0C"/>
    <w:rsid w:val="00B93068"/>
    <w:rsid w:val="00BB176D"/>
    <w:rsid w:val="00BB3B28"/>
    <w:rsid w:val="00BC74E9"/>
    <w:rsid w:val="00BD2077"/>
    <w:rsid w:val="00BE1FF8"/>
    <w:rsid w:val="00BE50CA"/>
    <w:rsid w:val="00BE618E"/>
    <w:rsid w:val="00C0263F"/>
    <w:rsid w:val="00C03B44"/>
    <w:rsid w:val="00C05987"/>
    <w:rsid w:val="00C10822"/>
    <w:rsid w:val="00C13A85"/>
    <w:rsid w:val="00C218A4"/>
    <w:rsid w:val="00C31519"/>
    <w:rsid w:val="00C36D37"/>
    <w:rsid w:val="00C463DD"/>
    <w:rsid w:val="00C46D5B"/>
    <w:rsid w:val="00C537D5"/>
    <w:rsid w:val="00C62F76"/>
    <w:rsid w:val="00C6691C"/>
    <w:rsid w:val="00C66D78"/>
    <w:rsid w:val="00C676DC"/>
    <w:rsid w:val="00C745C3"/>
    <w:rsid w:val="00C81212"/>
    <w:rsid w:val="00C832B2"/>
    <w:rsid w:val="00C84FF1"/>
    <w:rsid w:val="00C91180"/>
    <w:rsid w:val="00C93C11"/>
    <w:rsid w:val="00C971F6"/>
    <w:rsid w:val="00CA049C"/>
    <w:rsid w:val="00CA22E8"/>
    <w:rsid w:val="00CA381C"/>
    <w:rsid w:val="00CA74D3"/>
    <w:rsid w:val="00CB2158"/>
    <w:rsid w:val="00CB6380"/>
    <w:rsid w:val="00CC4CA6"/>
    <w:rsid w:val="00CD0009"/>
    <w:rsid w:val="00CD2CE2"/>
    <w:rsid w:val="00CD30EE"/>
    <w:rsid w:val="00CD3225"/>
    <w:rsid w:val="00CD35E8"/>
    <w:rsid w:val="00CE4083"/>
    <w:rsid w:val="00CE46BA"/>
    <w:rsid w:val="00CE4A8F"/>
    <w:rsid w:val="00CE74ED"/>
    <w:rsid w:val="00CF4FE1"/>
    <w:rsid w:val="00CF6F32"/>
    <w:rsid w:val="00CF778D"/>
    <w:rsid w:val="00D0631B"/>
    <w:rsid w:val="00D06C3A"/>
    <w:rsid w:val="00D164BA"/>
    <w:rsid w:val="00D2031B"/>
    <w:rsid w:val="00D25E8C"/>
    <w:rsid w:val="00D25FE2"/>
    <w:rsid w:val="00D27E89"/>
    <w:rsid w:val="00D37E80"/>
    <w:rsid w:val="00D43252"/>
    <w:rsid w:val="00D46231"/>
    <w:rsid w:val="00D477C4"/>
    <w:rsid w:val="00D5409C"/>
    <w:rsid w:val="00D57C13"/>
    <w:rsid w:val="00D57FD9"/>
    <w:rsid w:val="00D610C1"/>
    <w:rsid w:val="00D658FA"/>
    <w:rsid w:val="00D730E3"/>
    <w:rsid w:val="00D753D8"/>
    <w:rsid w:val="00D90463"/>
    <w:rsid w:val="00D9274F"/>
    <w:rsid w:val="00D96248"/>
    <w:rsid w:val="00D96CC5"/>
    <w:rsid w:val="00D978C6"/>
    <w:rsid w:val="00D97B77"/>
    <w:rsid w:val="00DA4296"/>
    <w:rsid w:val="00DA4B7F"/>
    <w:rsid w:val="00DA6620"/>
    <w:rsid w:val="00DA67AD"/>
    <w:rsid w:val="00DD42A0"/>
    <w:rsid w:val="00DE236F"/>
    <w:rsid w:val="00DE3ECB"/>
    <w:rsid w:val="00DE4785"/>
    <w:rsid w:val="00DE7267"/>
    <w:rsid w:val="00DF0A4D"/>
    <w:rsid w:val="00DF3039"/>
    <w:rsid w:val="00DF3A04"/>
    <w:rsid w:val="00DF4518"/>
    <w:rsid w:val="00DF69A6"/>
    <w:rsid w:val="00E130AB"/>
    <w:rsid w:val="00E1679E"/>
    <w:rsid w:val="00E239A0"/>
    <w:rsid w:val="00E34E58"/>
    <w:rsid w:val="00E36838"/>
    <w:rsid w:val="00E36C10"/>
    <w:rsid w:val="00E40B76"/>
    <w:rsid w:val="00E42461"/>
    <w:rsid w:val="00E4443D"/>
    <w:rsid w:val="00E45B25"/>
    <w:rsid w:val="00E52EB0"/>
    <w:rsid w:val="00E54352"/>
    <w:rsid w:val="00E5644E"/>
    <w:rsid w:val="00E5691C"/>
    <w:rsid w:val="00E60903"/>
    <w:rsid w:val="00E631BA"/>
    <w:rsid w:val="00E63481"/>
    <w:rsid w:val="00E63DE8"/>
    <w:rsid w:val="00E6613A"/>
    <w:rsid w:val="00E7260F"/>
    <w:rsid w:val="00E730D8"/>
    <w:rsid w:val="00E81230"/>
    <w:rsid w:val="00E8535A"/>
    <w:rsid w:val="00E864BE"/>
    <w:rsid w:val="00E90647"/>
    <w:rsid w:val="00E96630"/>
    <w:rsid w:val="00EA0364"/>
    <w:rsid w:val="00EA48C4"/>
    <w:rsid w:val="00EA772F"/>
    <w:rsid w:val="00EB2AE3"/>
    <w:rsid w:val="00EB4C06"/>
    <w:rsid w:val="00EB51D5"/>
    <w:rsid w:val="00EB65EF"/>
    <w:rsid w:val="00EB6832"/>
    <w:rsid w:val="00EB71BA"/>
    <w:rsid w:val="00EB798F"/>
    <w:rsid w:val="00EC14E9"/>
    <w:rsid w:val="00EC1F27"/>
    <w:rsid w:val="00EC271A"/>
    <w:rsid w:val="00EC6BFD"/>
    <w:rsid w:val="00EC755A"/>
    <w:rsid w:val="00ED3508"/>
    <w:rsid w:val="00ED3F6F"/>
    <w:rsid w:val="00ED7A2A"/>
    <w:rsid w:val="00EE4D59"/>
    <w:rsid w:val="00EE4FA9"/>
    <w:rsid w:val="00EE73C3"/>
    <w:rsid w:val="00EF1D7F"/>
    <w:rsid w:val="00EF4AAC"/>
    <w:rsid w:val="00F01C57"/>
    <w:rsid w:val="00F03FA2"/>
    <w:rsid w:val="00F05283"/>
    <w:rsid w:val="00F07537"/>
    <w:rsid w:val="00F07E12"/>
    <w:rsid w:val="00F102B7"/>
    <w:rsid w:val="00F1200D"/>
    <w:rsid w:val="00F257D1"/>
    <w:rsid w:val="00F30A8A"/>
    <w:rsid w:val="00F34267"/>
    <w:rsid w:val="00F3574D"/>
    <w:rsid w:val="00F40295"/>
    <w:rsid w:val="00F40E75"/>
    <w:rsid w:val="00F412D3"/>
    <w:rsid w:val="00F444E3"/>
    <w:rsid w:val="00F5087E"/>
    <w:rsid w:val="00F51BAB"/>
    <w:rsid w:val="00F535BE"/>
    <w:rsid w:val="00F54674"/>
    <w:rsid w:val="00F64C95"/>
    <w:rsid w:val="00F75E96"/>
    <w:rsid w:val="00F81E41"/>
    <w:rsid w:val="00FA00A0"/>
    <w:rsid w:val="00FA3FB7"/>
    <w:rsid w:val="00FB5A37"/>
    <w:rsid w:val="00FB7793"/>
    <w:rsid w:val="00FC18AA"/>
    <w:rsid w:val="00FC215C"/>
    <w:rsid w:val="00FC68B7"/>
    <w:rsid w:val="00FD3C5D"/>
    <w:rsid w:val="00FD3E70"/>
    <w:rsid w:val="00FD6B2B"/>
    <w:rsid w:val="00FE3EEA"/>
    <w:rsid w:val="00FF03BB"/>
    <w:rsid w:val="00FF071A"/>
    <w:rsid w:val="00FF2152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357175"/>
  <w15:docId w15:val="{003AA85F-5C3C-4185-A8C3-F213E366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semiHidden/>
    <w:rsid w:val="00EC1F27"/>
    <w:rPr>
      <w:lang w:eastAsia="en-US"/>
    </w:rPr>
  </w:style>
  <w:style w:type="character" w:customStyle="1" w:styleId="HeaderChar">
    <w:name w:val="Header Char"/>
    <w:aliases w:val="6_G Char"/>
    <w:link w:val="Header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semiHidden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paragraph" w:styleId="DocumentMap">
    <w:name w:val="Document Map"/>
    <w:basedOn w:val="Normal"/>
    <w:link w:val="DocumentMapChar"/>
    <w:semiHidden/>
    <w:unhideWhenUsed/>
    <w:rsid w:val="00294934"/>
    <w:pPr>
      <w:spacing w:line="240" w:lineRule="auto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294934"/>
    <w:rPr>
      <w:sz w:val="24"/>
      <w:szCs w:val="24"/>
      <w:lang w:val="en-GB"/>
    </w:rPr>
  </w:style>
  <w:style w:type="paragraph" w:customStyle="1" w:styleId="p1">
    <w:name w:val="p1"/>
    <w:basedOn w:val="Normal"/>
    <w:rsid w:val="00967674"/>
    <w:pPr>
      <w:suppressAutoHyphens w:val="0"/>
      <w:spacing w:line="240" w:lineRule="auto"/>
    </w:pPr>
    <w:rPr>
      <w:rFonts w:ascii="Times" w:hAnsi="Times"/>
      <w:sz w:val="18"/>
      <w:szCs w:val="18"/>
      <w:lang w:val="en-US"/>
    </w:rPr>
  </w:style>
  <w:style w:type="paragraph" w:customStyle="1" w:styleId="p2">
    <w:name w:val="p2"/>
    <w:basedOn w:val="Normal"/>
    <w:rsid w:val="00967674"/>
    <w:pPr>
      <w:suppressAutoHyphens w:val="0"/>
      <w:spacing w:line="240" w:lineRule="auto"/>
    </w:pPr>
    <w:rPr>
      <w:rFonts w:ascii="Helvetica" w:hAnsi="Helvetica"/>
      <w:sz w:val="17"/>
      <w:szCs w:val="17"/>
      <w:lang w:val="en-US"/>
    </w:rPr>
  </w:style>
  <w:style w:type="paragraph" w:customStyle="1" w:styleId="p3">
    <w:name w:val="p3"/>
    <w:basedOn w:val="Normal"/>
    <w:rsid w:val="00967674"/>
    <w:pPr>
      <w:suppressAutoHyphens w:val="0"/>
      <w:spacing w:line="240" w:lineRule="auto"/>
    </w:pPr>
    <w:rPr>
      <w:rFonts w:ascii="Helvetica" w:hAnsi="Helvetica"/>
      <w:sz w:val="15"/>
      <w:szCs w:val="15"/>
      <w:lang w:val="en-US"/>
    </w:rPr>
  </w:style>
  <w:style w:type="paragraph" w:styleId="NoSpacing">
    <w:name w:val="No Spacing"/>
    <w:uiPriority w:val="1"/>
    <w:qFormat/>
    <w:rsid w:val="00791999"/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1551A-EE9B-4579-AEA9-A8490B17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</Template>
  <TotalTime>9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6</cp:revision>
  <cp:lastPrinted>2018-06-01T13:12:00Z</cp:lastPrinted>
  <dcterms:created xsi:type="dcterms:W3CDTF">2018-06-01T12:16:00Z</dcterms:created>
  <dcterms:modified xsi:type="dcterms:W3CDTF">2018-06-01T13:16:00Z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