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64541A" w14:paraId="3B8F07DC" w14:textId="77777777" w:rsidTr="000216CC">
        <w:trPr>
          <w:trHeight w:val="851"/>
        </w:trPr>
        <w:tc>
          <w:tcPr>
            <w:tcW w:w="1259" w:type="dxa"/>
            <w:tcBorders>
              <w:top w:val="nil"/>
              <w:left w:val="nil"/>
              <w:bottom w:val="single" w:sz="4" w:space="0" w:color="auto"/>
              <w:right w:val="nil"/>
            </w:tcBorders>
            <w:shd w:val="clear" w:color="auto" w:fill="auto"/>
          </w:tcPr>
          <w:p w14:paraId="1E323097" w14:textId="77777777" w:rsidR="00446DE4" w:rsidRPr="0064541A"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067EC9BB" w14:textId="77777777" w:rsidR="00446DE4" w:rsidRPr="0064541A" w:rsidRDefault="00446DE4" w:rsidP="000216CC">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14:paraId="490DB93D" w14:textId="732A82C1" w:rsidR="00FC215C" w:rsidRPr="0064541A" w:rsidRDefault="00FC215C" w:rsidP="00FC215C">
            <w:pPr>
              <w:jc w:val="right"/>
              <w:rPr>
                <w:b/>
                <w:sz w:val="40"/>
                <w:szCs w:val="40"/>
                <w:lang w:val="en-US"/>
              </w:rPr>
            </w:pPr>
            <w:r w:rsidRPr="0064541A">
              <w:rPr>
                <w:b/>
                <w:sz w:val="40"/>
                <w:szCs w:val="40"/>
                <w:lang w:val="en-US"/>
              </w:rPr>
              <w:t>UN/SCETDG/</w:t>
            </w:r>
            <w:r w:rsidR="00733FA4" w:rsidRPr="0064541A">
              <w:rPr>
                <w:b/>
                <w:sz w:val="40"/>
                <w:szCs w:val="40"/>
                <w:lang w:val="en-US"/>
              </w:rPr>
              <w:t>5</w:t>
            </w:r>
            <w:r w:rsidR="006522C0">
              <w:rPr>
                <w:b/>
                <w:sz w:val="40"/>
                <w:szCs w:val="40"/>
                <w:lang w:val="en-US"/>
              </w:rPr>
              <w:t>3</w:t>
            </w:r>
            <w:r w:rsidRPr="0064541A">
              <w:rPr>
                <w:b/>
                <w:sz w:val="40"/>
                <w:szCs w:val="40"/>
                <w:lang w:val="en-US"/>
              </w:rPr>
              <w:t>/INF.</w:t>
            </w:r>
            <w:r w:rsidR="0091598C">
              <w:rPr>
                <w:b/>
                <w:sz w:val="40"/>
                <w:szCs w:val="40"/>
                <w:lang w:val="en-US"/>
              </w:rPr>
              <w:t>17</w:t>
            </w:r>
          </w:p>
          <w:p w14:paraId="2E883CBE" w14:textId="77777777" w:rsidR="000216CC" w:rsidRPr="0064541A" w:rsidRDefault="000216CC" w:rsidP="00497711">
            <w:pPr>
              <w:jc w:val="right"/>
              <w:rPr>
                <w:highlight w:val="yellow"/>
                <w:lang w:val="en-US"/>
              </w:rPr>
            </w:pPr>
          </w:p>
        </w:tc>
      </w:tr>
    </w:tbl>
    <w:tbl>
      <w:tblPr>
        <w:tblW w:w="9645" w:type="dxa"/>
        <w:tblInd w:w="108" w:type="dxa"/>
        <w:tblLayout w:type="fixed"/>
        <w:tblLook w:val="04A0" w:firstRow="1" w:lastRow="0" w:firstColumn="1" w:lastColumn="0" w:noHBand="0" w:noVBand="1"/>
      </w:tblPr>
      <w:tblGrid>
        <w:gridCol w:w="9645"/>
      </w:tblGrid>
      <w:tr w:rsidR="00645A0B" w:rsidRPr="0064541A" w14:paraId="5C6EF4F5" w14:textId="77777777" w:rsidTr="00165735">
        <w:tc>
          <w:tcPr>
            <w:tcW w:w="9645" w:type="dxa"/>
            <w:tcMar>
              <w:top w:w="142" w:type="dxa"/>
              <w:left w:w="108" w:type="dxa"/>
              <w:bottom w:w="142" w:type="dxa"/>
              <w:right w:w="108" w:type="dxa"/>
            </w:tcMar>
          </w:tcPr>
          <w:p w14:paraId="792D5DA8" w14:textId="59CBB97F" w:rsidR="00645A0B" w:rsidRPr="0064541A" w:rsidRDefault="00645A0B" w:rsidP="006522C0">
            <w:pPr>
              <w:tabs>
                <w:tab w:val="right" w:pos="9214"/>
              </w:tabs>
              <w:rPr>
                <w:lang w:val="en-US"/>
              </w:rPr>
            </w:pPr>
            <w:r w:rsidRPr="0064541A">
              <w:rPr>
                <w:b/>
                <w:sz w:val="24"/>
                <w:szCs w:val="24"/>
                <w:lang w:val="en-US"/>
              </w:rPr>
              <w:t>Committee of Experts on the Transport of Dangerous Goods</w:t>
            </w:r>
            <w:r w:rsidRPr="0064541A">
              <w:rPr>
                <w:b/>
                <w:sz w:val="24"/>
                <w:szCs w:val="24"/>
                <w:lang w:val="en-US"/>
              </w:rPr>
              <w:tab/>
            </w:r>
            <w:r w:rsidRPr="0064541A">
              <w:rPr>
                <w:b/>
                <w:sz w:val="24"/>
                <w:szCs w:val="24"/>
                <w:lang w:val="en-US"/>
              </w:rPr>
              <w:br/>
              <w:t>and on the Globally Harmonized System of Classification</w:t>
            </w:r>
            <w:r w:rsidRPr="0064541A">
              <w:rPr>
                <w:b/>
                <w:sz w:val="24"/>
                <w:szCs w:val="24"/>
                <w:lang w:val="en-US"/>
              </w:rPr>
              <w:br/>
              <w:t>and Labelling of Chemicals</w:t>
            </w:r>
            <w:r w:rsidRPr="0064541A">
              <w:rPr>
                <w:b/>
                <w:lang w:val="en-US"/>
              </w:rPr>
              <w:tab/>
            </w:r>
            <w:r w:rsidR="0091598C">
              <w:rPr>
                <w:b/>
                <w:lang w:val="en-US"/>
              </w:rPr>
              <w:t>1</w:t>
            </w:r>
            <w:r w:rsidR="0090305A" w:rsidRPr="0064541A">
              <w:rPr>
                <w:b/>
                <w:lang w:val="en-US"/>
              </w:rPr>
              <w:t xml:space="preserve"> </w:t>
            </w:r>
            <w:r w:rsidR="00B45E02">
              <w:rPr>
                <w:b/>
                <w:lang w:val="en-US"/>
              </w:rPr>
              <w:t>June</w:t>
            </w:r>
            <w:r w:rsidR="000E23BE" w:rsidRPr="0064541A">
              <w:rPr>
                <w:b/>
                <w:lang w:val="en-US"/>
              </w:rPr>
              <w:t xml:space="preserve"> 201</w:t>
            </w:r>
            <w:r w:rsidR="006522C0">
              <w:rPr>
                <w:b/>
                <w:lang w:val="en-US"/>
              </w:rPr>
              <w:t>8</w:t>
            </w:r>
          </w:p>
        </w:tc>
      </w:tr>
      <w:tr w:rsidR="00DF4533" w:rsidRPr="0064541A" w14:paraId="7C51974A" w14:textId="77777777" w:rsidTr="003C79AF">
        <w:trPr>
          <w:trHeight w:val="1379"/>
        </w:trPr>
        <w:tc>
          <w:tcPr>
            <w:tcW w:w="9645" w:type="dxa"/>
            <w:tcMar>
              <w:top w:w="57" w:type="dxa"/>
              <w:left w:w="108" w:type="dxa"/>
              <w:bottom w:w="0" w:type="dxa"/>
              <w:right w:w="108" w:type="dxa"/>
            </w:tcMar>
            <w:vAlign w:val="center"/>
          </w:tcPr>
          <w:p w14:paraId="27B84FD2" w14:textId="4CF40456" w:rsidR="00DF4533" w:rsidRPr="00850F40" w:rsidRDefault="00DF4533" w:rsidP="003C79AF">
            <w:pPr>
              <w:spacing w:before="120" w:after="240"/>
              <w:rPr>
                <w:b/>
                <w:lang w:val="en-US"/>
              </w:rPr>
            </w:pPr>
            <w:r w:rsidRPr="00850F40">
              <w:rPr>
                <w:b/>
                <w:lang w:val="en-US"/>
              </w:rPr>
              <w:t xml:space="preserve">Sub-Committee of Experts on the Transport of Dangerous Goods </w:t>
            </w:r>
          </w:p>
          <w:p w14:paraId="64DAE595" w14:textId="2281AA71" w:rsidR="00DF4533" w:rsidRPr="00850F40" w:rsidRDefault="00DF4533" w:rsidP="003C79AF">
            <w:pPr>
              <w:ind w:left="34" w:hanging="34"/>
              <w:rPr>
                <w:b/>
                <w:lang w:val="en-US"/>
              </w:rPr>
            </w:pPr>
            <w:r w:rsidRPr="00850F40">
              <w:rPr>
                <w:b/>
                <w:lang w:val="en-US"/>
              </w:rPr>
              <w:t>Fifty-</w:t>
            </w:r>
            <w:r w:rsidR="006522C0">
              <w:rPr>
                <w:b/>
                <w:lang w:val="en-US"/>
              </w:rPr>
              <w:t>third</w:t>
            </w:r>
            <w:r w:rsidRPr="00850F40">
              <w:rPr>
                <w:b/>
                <w:lang w:val="en-US"/>
              </w:rPr>
              <w:t xml:space="preserve"> session</w:t>
            </w:r>
          </w:p>
          <w:p w14:paraId="3CA66B1B" w14:textId="3904E62A" w:rsidR="00DF4533" w:rsidRPr="00850F40" w:rsidRDefault="00F203A8" w:rsidP="003C79AF">
            <w:pPr>
              <w:tabs>
                <w:tab w:val="left" w:pos="-10"/>
                <w:tab w:val="left" w:pos="6361"/>
                <w:tab w:val="left" w:pos="6939"/>
              </w:tabs>
              <w:ind w:left="34" w:hanging="34"/>
              <w:outlineLvl w:val="0"/>
              <w:rPr>
                <w:bCs/>
                <w:lang w:val="en-US"/>
              </w:rPr>
            </w:pPr>
            <w:r w:rsidRPr="00850F40">
              <w:rPr>
                <w:bCs/>
                <w:lang w:val="en-US"/>
              </w:rPr>
              <w:t xml:space="preserve">Geneva, </w:t>
            </w:r>
            <w:r w:rsidR="006522C0">
              <w:t>25 June-4 July 2018</w:t>
            </w:r>
          </w:p>
          <w:p w14:paraId="5767CCD0" w14:textId="6644D296" w:rsidR="00DF4533" w:rsidRPr="00850F40" w:rsidRDefault="00DF4533" w:rsidP="003C79AF">
            <w:pPr>
              <w:tabs>
                <w:tab w:val="left" w:pos="-10"/>
              </w:tabs>
              <w:ind w:left="34" w:hanging="34"/>
              <w:rPr>
                <w:lang w:val="en-US"/>
              </w:rPr>
            </w:pPr>
            <w:r w:rsidRPr="00850F40">
              <w:rPr>
                <w:lang w:val="en-US"/>
              </w:rPr>
              <w:t xml:space="preserve">Item </w:t>
            </w:r>
            <w:r w:rsidR="004F7E10" w:rsidRPr="00850F40">
              <w:rPr>
                <w:lang w:val="en-US"/>
              </w:rPr>
              <w:t>2</w:t>
            </w:r>
            <w:r w:rsidR="00850F40" w:rsidRPr="00850F40">
              <w:rPr>
                <w:lang w:val="en-US"/>
              </w:rPr>
              <w:t xml:space="preserve"> (j)</w:t>
            </w:r>
            <w:r w:rsidRPr="00850F40">
              <w:rPr>
                <w:lang w:val="en-US"/>
              </w:rPr>
              <w:t xml:space="preserve"> of the provisional agenda</w:t>
            </w:r>
          </w:p>
          <w:p w14:paraId="442937E1" w14:textId="7C857A64" w:rsidR="00DF4533" w:rsidRPr="0064541A" w:rsidRDefault="0090305A" w:rsidP="00850F40">
            <w:pPr>
              <w:spacing w:after="120"/>
              <w:rPr>
                <w:b/>
                <w:lang w:val="en-US"/>
              </w:rPr>
            </w:pPr>
            <w:r w:rsidRPr="00850F40">
              <w:rPr>
                <w:b/>
                <w:lang w:val="en-US"/>
              </w:rPr>
              <w:t>Explosives and related matters</w:t>
            </w:r>
            <w:r w:rsidR="00850F40">
              <w:rPr>
                <w:b/>
                <w:lang w:val="en-US"/>
              </w:rPr>
              <w:t>: miscellaneous</w:t>
            </w:r>
          </w:p>
        </w:tc>
      </w:tr>
    </w:tbl>
    <w:p w14:paraId="6125E8F1" w14:textId="77777777" w:rsidR="0090305A" w:rsidRPr="0064541A" w:rsidRDefault="00DF4533" w:rsidP="0090305A">
      <w:pPr>
        <w:pStyle w:val="HChG"/>
        <w:rPr>
          <w:lang w:val="en-US"/>
        </w:rPr>
      </w:pPr>
      <w:r w:rsidRPr="0064541A">
        <w:rPr>
          <w:lang w:val="en-US"/>
        </w:rPr>
        <w:tab/>
      </w:r>
      <w:r w:rsidRPr="0064541A">
        <w:rPr>
          <w:lang w:val="en-US"/>
        </w:rPr>
        <w:tab/>
      </w:r>
      <w:bookmarkStart w:id="0" w:name="_GoBack"/>
      <w:r w:rsidR="0090305A" w:rsidRPr="0064541A">
        <w:rPr>
          <w:lang w:val="en-US"/>
        </w:rPr>
        <w:t>Transport of energetic samples for further testing</w:t>
      </w:r>
      <w:bookmarkEnd w:id="0"/>
    </w:p>
    <w:p w14:paraId="06665785" w14:textId="77777777" w:rsidR="0090305A" w:rsidRPr="0064541A" w:rsidRDefault="0090305A" w:rsidP="0090305A">
      <w:pPr>
        <w:pStyle w:val="H1G"/>
        <w:rPr>
          <w:lang w:val="en-US"/>
        </w:rPr>
      </w:pPr>
      <w:r w:rsidRPr="0064541A">
        <w:rPr>
          <w:lang w:val="en-US"/>
        </w:rPr>
        <w:tab/>
      </w:r>
      <w:r w:rsidRPr="0064541A">
        <w:rPr>
          <w:lang w:val="en-US"/>
        </w:rPr>
        <w:tab/>
        <w:t>Transmitted by the European Chemical Industry Council (CEFIC)</w:t>
      </w:r>
    </w:p>
    <w:p w14:paraId="4D16572F" w14:textId="77777777" w:rsidR="0090305A" w:rsidRPr="0064541A" w:rsidRDefault="0090305A" w:rsidP="0090305A">
      <w:pPr>
        <w:pStyle w:val="HChG"/>
        <w:rPr>
          <w:lang w:val="en-US"/>
        </w:rPr>
      </w:pPr>
      <w:r w:rsidRPr="0064541A">
        <w:rPr>
          <w:lang w:val="en-US"/>
        </w:rPr>
        <w:tab/>
      </w:r>
      <w:r w:rsidRPr="0064541A">
        <w:rPr>
          <w:lang w:val="en-US"/>
        </w:rPr>
        <w:tab/>
        <w:t>Introduction</w:t>
      </w:r>
    </w:p>
    <w:p w14:paraId="521E3027" w14:textId="16C7BD34" w:rsidR="0090305A" w:rsidRPr="00155A4B" w:rsidRDefault="0090305A" w:rsidP="003A3E9C">
      <w:pPr>
        <w:pStyle w:val="SingleTxtG"/>
        <w:numPr>
          <w:ilvl w:val="0"/>
          <w:numId w:val="16"/>
        </w:numPr>
        <w:tabs>
          <w:tab w:val="left" w:pos="1701"/>
        </w:tabs>
        <w:ind w:left="1134" w:firstLine="0"/>
        <w:rPr>
          <w:lang w:val="en-US"/>
        </w:rPr>
      </w:pPr>
      <w:r w:rsidRPr="00155A4B">
        <w:rPr>
          <w:lang w:val="en-US"/>
        </w:rPr>
        <w:t xml:space="preserve">Research and development </w:t>
      </w:r>
      <w:r w:rsidR="00F468F9">
        <w:rPr>
          <w:lang w:val="en-US"/>
        </w:rPr>
        <w:t xml:space="preserve">groups </w:t>
      </w:r>
      <w:r w:rsidRPr="00155A4B">
        <w:rPr>
          <w:lang w:val="en-US"/>
        </w:rPr>
        <w:t>in industry, public institutes</w:t>
      </w:r>
      <w:r w:rsidR="00E46745" w:rsidRPr="00155A4B">
        <w:rPr>
          <w:lang w:val="en-US"/>
        </w:rPr>
        <w:t>,</w:t>
      </w:r>
      <w:r w:rsidRPr="00155A4B">
        <w:rPr>
          <w:lang w:val="en-US"/>
        </w:rPr>
        <w:t xml:space="preserve"> and universities frequently need to transport substances for the purpose of testing</w:t>
      </w:r>
      <w:r w:rsidR="00155A4B" w:rsidRPr="00155A4B">
        <w:rPr>
          <w:lang w:val="en-US"/>
        </w:rPr>
        <w:t xml:space="preserve">. </w:t>
      </w:r>
      <w:r w:rsidRPr="00155A4B">
        <w:rPr>
          <w:lang w:val="en-US"/>
        </w:rPr>
        <w:t>The</w:t>
      </w:r>
      <w:r w:rsidR="00DF2D91" w:rsidRPr="00155A4B">
        <w:rPr>
          <w:lang w:val="en-US"/>
        </w:rPr>
        <w:t>se</w:t>
      </w:r>
      <w:r w:rsidRPr="00155A4B">
        <w:rPr>
          <w:lang w:val="en-US"/>
        </w:rPr>
        <w:t xml:space="preserve"> substances usually consist of organic molecules</w:t>
      </w:r>
      <w:r w:rsidR="0064541A" w:rsidRPr="00155A4B">
        <w:rPr>
          <w:lang w:val="en-US"/>
        </w:rPr>
        <w:t>,</w:t>
      </w:r>
      <w:r w:rsidRPr="00155A4B">
        <w:rPr>
          <w:lang w:val="en-US"/>
        </w:rPr>
        <w:t xml:space="preserve"> which are active ingredients, building blocks or intermediates for pharmaceutical or agricultural chemicals.</w:t>
      </w:r>
    </w:p>
    <w:p w14:paraId="6B2A3C87" w14:textId="7E5AE07F" w:rsidR="0090305A" w:rsidRPr="0064541A" w:rsidRDefault="00155A4B" w:rsidP="003A3E9C">
      <w:pPr>
        <w:pStyle w:val="SingleTxtG"/>
        <w:numPr>
          <w:ilvl w:val="0"/>
          <w:numId w:val="16"/>
        </w:numPr>
        <w:tabs>
          <w:tab w:val="left" w:pos="1701"/>
        </w:tabs>
        <w:ind w:left="1134" w:firstLine="0"/>
        <w:rPr>
          <w:lang w:val="en-US"/>
        </w:rPr>
      </w:pPr>
      <w:r w:rsidRPr="00AC236C">
        <w:rPr>
          <w:lang w:val="en-US"/>
        </w:rPr>
        <w:t>Although not designed to be explosives of Class 1, many of these substances carry functional groups listed in tables A6.1 and/or A6.3 in Annex 6 (Screening Procedures) of the Manual of Tests and Criteria, indicating potential explosive or self-reactive properties.</w:t>
      </w:r>
      <w:r>
        <w:rPr>
          <w:lang w:val="en-US"/>
        </w:rPr>
        <w:t xml:space="preserve"> </w:t>
      </w:r>
    </w:p>
    <w:p w14:paraId="7BE127BC" w14:textId="77777777" w:rsidR="0090305A" w:rsidRPr="0064541A" w:rsidRDefault="0090305A" w:rsidP="003A3E9C">
      <w:pPr>
        <w:pStyle w:val="SingleTxtG"/>
        <w:numPr>
          <w:ilvl w:val="0"/>
          <w:numId w:val="16"/>
        </w:numPr>
        <w:tabs>
          <w:tab w:val="left" w:pos="1701"/>
        </w:tabs>
        <w:ind w:left="1134" w:firstLine="0"/>
        <w:rPr>
          <w:lang w:val="en-US"/>
        </w:rPr>
      </w:pPr>
      <w:r w:rsidRPr="0064541A">
        <w:rPr>
          <w:lang w:val="en-US"/>
        </w:rPr>
        <w:t>Whereas the transport of samples of self-reactive substances and organic peroxides is permitted under the provisions of 2.4.2.3.2.4 (b) and 2.5.3.2.5.1, respectively, substances considered to meet the criteria for Class 1 are prohibited for transport by 2.0.4.2 (b).</w:t>
      </w:r>
    </w:p>
    <w:p w14:paraId="07BE5D6C" w14:textId="36877313" w:rsidR="0090305A" w:rsidRPr="0064541A" w:rsidRDefault="0090305A" w:rsidP="003A3E9C">
      <w:pPr>
        <w:pStyle w:val="SingleTxtG"/>
        <w:numPr>
          <w:ilvl w:val="0"/>
          <w:numId w:val="16"/>
        </w:numPr>
        <w:tabs>
          <w:tab w:val="left" w:pos="1701"/>
        </w:tabs>
        <w:ind w:left="1134" w:firstLine="0"/>
        <w:rPr>
          <w:lang w:val="en-US"/>
        </w:rPr>
      </w:pPr>
      <w:r w:rsidRPr="0064541A">
        <w:rPr>
          <w:lang w:val="en-US"/>
        </w:rPr>
        <w:t xml:space="preserve">However, </w:t>
      </w:r>
      <w:r w:rsidR="00F468F9">
        <w:rPr>
          <w:lang w:val="en-US"/>
        </w:rPr>
        <w:t xml:space="preserve">in the </w:t>
      </w:r>
      <w:r w:rsidRPr="0064541A">
        <w:rPr>
          <w:lang w:val="en-US"/>
        </w:rPr>
        <w:t>early stage</w:t>
      </w:r>
      <w:r w:rsidR="00F468F9">
        <w:rPr>
          <w:lang w:val="en-US"/>
        </w:rPr>
        <w:t>s</w:t>
      </w:r>
      <w:r w:rsidRPr="0064541A">
        <w:rPr>
          <w:lang w:val="en-US"/>
        </w:rPr>
        <w:t xml:space="preserve"> of development, test data are </w:t>
      </w:r>
      <w:r w:rsidR="00313CC6" w:rsidRPr="0064541A">
        <w:rPr>
          <w:lang w:val="en-US"/>
        </w:rPr>
        <w:t xml:space="preserve">usually </w:t>
      </w:r>
      <w:r w:rsidRPr="0064541A">
        <w:rPr>
          <w:lang w:val="en-US"/>
        </w:rPr>
        <w:t>not available to distinguish candidates for Class 1 and self-reactive substance of Division 4.1. Thus, there is a need to find a proper solution for the transport of energetic samples for the purpose of testing in small amounts, to define appropriate criteria for classification in cases of limited test data, and to specify the required packaging.</w:t>
      </w:r>
    </w:p>
    <w:p w14:paraId="2D12B11B" w14:textId="5DB50BCB" w:rsidR="0090305A" w:rsidRPr="0064541A" w:rsidRDefault="0090305A" w:rsidP="003A3E9C">
      <w:pPr>
        <w:pStyle w:val="SingleTxtG"/>
        <w:numPr>
          <w:ilvl w:val="0"/>
          <w:numId w:val="16"/>
        </w:numPr>
        <w:tabs>
          <w:tab w:val="left" w:pos="1701"/>
        </w:tabs>
        <w:ind w:left="1134" w:firstLine="0"/>
        <w:rPr>
          <w:lang w:val="en-US"/>
        </w:rPr>
      </w:pPr>
      <w:r w:rsidRPr="0064541A">
        <w:rPr>
          <w:lang w:val="en-US"/>
        </w:rPr>
        <w:t>CEFIC</w:t>
      </w:r>
      <w:r w:rsidR="00313CC6" w:rsidRPr="0064541A">
        <w:rPr>
          <w:lang w:val="en-US"/>
        </w:rPr>
        <w:t>’s proposal ST/SG/AC.10/C.3/2016/61</w:t>
      </w:r>
      <w:r w:rsidRPr="0064541A">
        <w:rPr>
          <w:lang w:val="en-US"/>
        </w:rPr>
        <w:t xml:space="preserve"> </w:t>
      </w:r>
      <w:r w:rsidR="00313CC6" w:rsidRPr="0064541A">
        <w:rPr>
          <w:lang w:val="en-US"/>
        </w:rPr>
        <w:t>was adopted</w:t>
      </w:r>
      <w:r w:rsidR="0064541A" w:rsidRPr="0064541A">
        <w:rPr>
          <w:lang w:val="en-US"/>
        </w:rPr>
        <w:t xml:space="preserve"> </w:t>
      </w:r>
      <w:r w:rsidR="0064541A">
        <w:rPr>
          <w:lang w:val="en-US"/>
        </w:rPr>
        <w:t>i</w:t>
      </w:r>
      <w:r w:rsidR="0064541A" w:rsidRPr="0064541A">
        <w:rPr>
          <w:lang w:val="en-US"/>
        </w:rPr>
        <w:t>n the last biennium</w:t>
      </w:r>
      <w:r w:rsidR="00313CC6" w:rsidRPr="0064541A">
        <w:rPr>
          <w:lang w:val="en-US"/>
        </w:rPr>
        <w:t xml:space="preserve">. The new provisions in section 2.0.4.3 allow for the transport of small amounts of samples (up to 1 g </w:t>
      </w:r>
      <w:r w:rsidR="00F468F9">
        <w:rPr>
          <w:lang w:val="en-US"/>
        </w:rPr>
        <w:t>or</w:t>
      </w:r>
      <w:r w:rsidR="00313CC6" w:rsidRPr="0064541A">
        <w:rPr>
          <w:lang w:val="en-US"/>
        </w:rPr>
        <w:t xml:space="preserve"> 1 ml) as self-reactive substances</w:t>
      </w:r>
      <w:r w:rsidR="00E34031" w:rsidRPr="0064541A">
        <w:rPr>
          <w:lang w:val="en-US"/>
        </w:rPr>
        <w:t xml:space="preserve"> type C</w:t>
      </w:r>
      <w:r w:rsidR="00313CC6" w:rsidRPr="0064541A">
        <w:rPr>
          <w:lang w:val="en-US"/>
        </w:rPr>
        <w:t xml:space="preserve"> under certain restrictions in a very specific</w:t>
      </w:r>
      <w:r w:rsidR="00E34031" w:rsidRPr="0064541A">
        <w:rPr>
          <w:lang w:val="en-US"/>
        </w:rPr>
        <w:t xml:space="preserve"> package.</w:t>
      </w:r>
      <w:r w:rsidRPr="0064541A">
        <w:rPr>
          <w:lang w:val="en-US"/>
        </w:rPr>
        <w:t xml:space="preserve"> </w:t>
      </w:r>
    </w:p>
    <w:p w14:paraId="41212D7A" w14:textId="77777777" w:rsidR="00E34031" w:rsidRPr="0064541A" w:rsidRDefault="00E34031" w:rsidP="003A3E9C">
      <w:pPr>
        <w:pStyle w:val="SingleTxtG"/>
        <w:numPr>
          <w:ilvl w:val="0"/>
          <w:numId w:val="16"/>
        </w:numPr>
        <w:tabs>
          <w:tab w:val="left" w:pos="1701"/>
        </w:tabs>
        <w:ind w:left="1134" w:firstLine="0"/>
        <w:rPr>
          <w:lang w:val="en-US"/>
        </w:rPr>
      </w:pPr>
      <w:r w:rsidRPr="0064541A">
        <w:rPr>
          <w:lang w:val="en-US"/>
        </w:rPr>
        <w:t>As a next step</w:t>
      </w:r>
      <w:r w:rsidR="006627FE" w:rsidRPr="0064541A">
        <w:rPr>
          <w:lang w:val="en-US"/>
        </w:rPr>
        <w:t xml:space="preserve"> towards a comprehensive solution</w:t>
      </w:r>
      <w:r w:rsidRPr="0064541A">
        <w:rPr>
          <w:lang w:val="en-US"/>
        </w:rPr>
        <w:t xml:space="preserve">, CEFIC gave an informal presentation in the Explosives Working Group </w:t>
      </w:r>
      <w:r w:rsidR="006627FE" w:rsidRPr="0064541A">
        <w:rPr>
          <w:lang w:val="en-US"/>
        </w:rPr>
        <w:t xml:space="preserve">meeting </w:t>
      </w:r>
      <w:r w:rsidRPr="0064541A">
        <w:rPr>
          <w:lang w:val="en-US"/>
        </w:rPr>
        <w:t xml:space="preserve">during the summer 2017 session of the TDG Subcommittee, introducing their concept </w:t>
      </w:r>
      <w:r w:rsidR="0064541A">
        <w:rPr>
          <w:lang w:val="en-US"/>
        </w:rPr>
        <w:t xml:space="preserve">on </w:t>
      </w:r>
      <w:r w:rsidRPr="0064541A">
        <w:rPr>
          <w:lang w:val="en-US"/>
        </w:rPr>
        <w:t xml:space="preserve">how to proceed for samples in </w:t>
      </w:r>
      <w:r w:rsidR="00FA2C63" w:rsidRPr="0064541A">
        <w:rPr>
          <w:lang w:val="en-US"/>
        </w:rPr>
        <w:t xml:space="preserve">larger </w:t>
      </w:r>
      <w:r w:rsidRPr="0064541A">
        <w:rPr>
          <w:lang w:val="en-US"/>
        </w:rPr>
        <w:t xml:space="preserve">amounts. There was general support for the ideas brought forward, and CEFIC was encouraged to submit a flow </w:t>
      </w:r>
      <w:r w:rsidR="00D75619" w:rsidRPr="0064541A">
        <w:rPr>
          <w:lang w:val="en-US"/>
        </w:rPr>
        <w:t>c</w:t>
      </w:r>
      <w:r w:rsidRPr="0064541A">
        <w:rPr>
          <w:lang w:val="en-US"/>
        </w:rPr>
        <w:t>hart for further discussions in the group.</w:t>
      </w:r>
    </w:p>
    <w:p w14:paraId="615079C8" w14:textId="4415E8DB" w:rsidR="002E374E" w:rsidRDefault="002E374E" w:rsidP="003A3E9C">
      <w:pPr>
        <w:pStyle w:val="SingleTxtG"/>
        <w:numPr>
          <w:ilvl w:val="0"/>
          <w:numId w:val="16"/>
        </w:numPr>
        <w:tabs>
          <w:tab w:val="left" w:pos="1701"/>
        </w:tabs>
        <w:ind w:left="1134" w:firstLine="0"/>
        <w:rPr>
          <w:lang w:val="en-US"/>
        </w:rPr>
      </w:pPr>
      <w:r>
        <w:rPr>
          <w:lang w:val="en-US"/>
        </w:rPr>
        <w:t xml:space="preserve">As a result of discussing informal paper </w:t>
      </w:r>
      <w:r w:rsidRPr="002E374E">
        <w:rPr>
          <w:lang w:val="en-US"/>
        </w:rPr>
        <w:t>INF.12</w:t>
      </w:r>
      <w:r w:rsidR="0091598C">
        <w:rPr>
          <w:lang w:val="en-US"/>
        </w:rPr>
        <w:t xml:space="preserve"> (52nd session)</w:t>
      </w:r>
      <w:r>
        <w:rPr>
          <w:lang w:val="en-US"/>
        </w:rPr>
        <w:t>, the Sub</w:t>
      </w:r>
      <w:r w:rsidR="0091598C">
        <w:rPr>
          <w:lang w:val="en-US"/>
        </w:rPr>
        <w:t>-C</w:t>
      </w:r>
      <w:r>
        <w:rPr>
          <w:lang w:val="en-US"/>
        </w:rPr>
        <w:t xml:space="preserve">ommittee suggested that CEFIC </w:t>
      </w:r>
      <w:r w:rsidRPr="002E374E">
        <w:rPr>
          <w:lang w:val="en-US"/>
        </w:rPr>
        <w:t>prepare an overview of how self-reactive</w:t>
      </w:r>
      <w:r>
        <w:rPr>
          <w:lang w:val="en-US"/>
        </w:rPr>
        <w:t xml:space="preserve"> substance</w:t>
      </w:r>
      <w:r w:rsidRPr="002E374E">
        <w:rPr>
          <w:lang w:val="en-US"/>
        </w:rPr>
        <w:t>s are classified</w:t>
      </w:r>
      <w:r>
        <w:rPr>
          <w:lang w:val="en-US"/>
        </w:rPr>
        <w:t xml:space="preserve"> and to explain </w:t>
      </w:r>
      <w:r>
        <w:t xml:space="preserve">how the proposal addresses sections 3.3(c) and 5.1(b) of Appendix 6 of the </w:t>
      </w:r>
      <w:r w:rsidR="00F468F9" w:rsidRPr="00F468F9">
        <w:rPr>
          <w:lang w:val="en-US"/>
        </w:rPr>
        <w:t>T</w:t>
      </w:r>
      <w:r>
        <w:t xml:space="preserve">est </w:t>
      </w:r>
      <w:r w:rsidR="00F468F9" w:rsidRPr="00F468F9">
        <w:rPr>
          <w:lang w:val="en-US"/>
        </w:rPr>
        <w:t>M</w:t>
      </w:r>
      <w:r>
        <w:t>anual</w:t>
      </w:r>
      <w:r w:rsidRPr="002E374E">
        <w:rPr>
          <w:lang w:val="en-US"/>
        </w:rPr>
        <w:t>.</w:t>
      </w:r>
    </w:p>
    <w:p w14:paraId="30DA84E7" w14:textId="7CDBD963" w:rsidR="00FA2C63" w:rsidRPr="0064541A" w:rsidRDefault="00DF1E54" w:rsidP="003A3E9C">
      <w:pPr>
        <w:pStyle w:val="SingleTxtG"/>
        <w:numPr>
          <w:ilvl w:val="0"/>
          <w:numId w:val="16"/>
        </w:numPr>
        <w:tabs>
          <w:tab w:val="left" w:pos="1701"/>
        </w:tabs>
        <w:ind w:left="1134" w:firstLine="0"/>
        <w:rPr>
          <w:lang w:val="en-US"/>
        </w:rPr>
      </w:pPr>
      <w:r w:rsidRPr="0064541A">
        <w:rPr>
          <w:lang w:val="en-US"/>
        </w:rPr>
        <w:t xml:space="preserve">Accordingly, CEFIC submits this informal paper for further discussions. </w:t>
      </w:r>
      <w:r w:rsidR="00DF2D91" w:rsidRPr="0064541A">
        <w:rPr>
          <w:lang w:val="en-US"/>
        </w:rPr>
        <w:t>Both the Sub</w:t>
      </w:r>
      <w:r w:rsidR="0091598C">
        <w:rPr>
          <w:lang w:val="en-US"/>
        </w:rPr>
        <w:t>-C</w:t>
      </w:r>
      <w:r w:rsidR="00DF2D91" w:rsidRPr="0064541A">
        <w:rPr>
          <w:lang w:val="en-US"/>
        </w:rPr>
        <w:t xml:space="preserve">ommittee and the Explosives Working Group are </w:t>
      </w:r>
      <w:r w:rsidR="00FA2C63" w:rsidRPr="0064541A">
        <w:rPr>
          <w:lang w:val="en-US"/>
        </w:rPr>
        <w:t xml:space="preserve">invited to comment and are </w:t>
      </w:r>
      <w:r w:rsidR="00DF2D91" w:rsidRPr="0064541A">
        <w:rPr>
          <w:lang w:val="en-US"/>
        </w:rPr>
        <w:t>asked for guidance how to proceed further in this matter.</w:t>
      </w:r>
      <w:r w:rsidR="00253082" w:rsidRPr="0064541A">
        <w:rPr>
          <w:lang w:val="en-US"/>
        </w:rPr>
        <w:t xml:space="preserve"> </w:t>
      </w:r>
    </w:p>
    <w:p w14:paraId="4A2954C1" w14:textId="77777777" w:rsidR="00FA2C63" w:rsidRPr="0064541A" w:rsidRDefault="00FA2C63" w:rsidP="00FA2C63">
      <w:pPr>
        <w:pStyle w:val="HChG"/>
        <w:spacing w:before="240" w:after="120"/>
        <w:rPr>
          <w:lang w:val="en-US"/>
        </w:rPr>
      </w:pPr>
      <w:r w:rsidRPr="0064541A">
        <w:rPr>
          <w:lang w:val="en-US"/>
        </w:rPr>
        <w:lastRenderedPageBreak/>
        <w:tab/>
      </w:r>
      <w:r w:rsidRPr="0064541A">
        <w:rPr>
          <w:lang w:val="en-US"/>
        </w:rPr>
        <w:tab/>
        <w:t>Discussion</w:t>
      </w:r>
    </w:p>
    <w:p w14:paraId="519CC78C" w14:textId="26406234" w:rsidR="006D26EA" w:rsidRPr="006D26EA" w:rsidRDefault="00DF4533" w:rsidP="006029B0">
      <w:pPr>
        <w:pStyle w:val="H1G"/>
        <w:rPr>
          <w:lang w:val="en-US"/>
        </w:rPr>
      </w:pPr>
      <w:r w:rsidRPr="0064541A">
        <w:rPr>
          <w:lang w:val="en-US"/>
        </w:rPr>
        <w:tab/>
      </w:r>
      <w:r w:rsidRPr="0064541A">
        <w:rPr>
          <w:lang w:val="en-US"/>
        </w:rPr>
        <w:tab/>
      </w:r>
      <w:r w:rsidR="006029B0">
        <w:rPr>
          <w:lang w:val="en-US"/>
        </w:rPr>
        <w:t>Explosives, s</w:t>
      </w:r>
      <w:r w:rsidR="006D26EA">
        <w:rPr>
          <w:lang w:val="en-US"/>
        </w:rPr>
        <w:t>elf-reactive substances</w:t>
      </w:r>
      <w:r w:rsidR="006029B0">
        <w:rPr>
          <w:lang w:val="en-US"/>
        </w:rPr>
        <w:t xml:space="preserve"> and energetic substances</w:t>
      </w:r>
    </w:p>
    <w:p w14:paraId="7096AC86" w14:textId="6018C1F2" w:rsidR="002E374E" w:rsidRDefault="00D5398D" w:rsidP="003A3E9C">
      <w:pPr>
        <w:pStyle w:val="SingleTxtG"/>
        <w:numPr>
          <w:ilvl w:val="0"/>
          <w:numId w:val="16"/>
        </w:numPr>
        <w:tabs>
          <w:tab w:val="left" w:pos="1701"/>
        </w:tabs>
        <w:ind w:left="1134" w:firstLine="0"/>
        <w:rPr>
          <w:lang w:val="en-US"/>
        </w:rPr>
      </w:pPr>
      <w:r>
        <w:rPr>
          <w:lang w:val="en-US"/>
        </w:rPr>
        <w:t>An overview of the current classification criteria is shown in figure 1. For reasons of simplification, special cases such as pyrotechnics, articles and ANEs are summarized as “intentional explosives” and not discussed in this context since they are not relevant for the discussion in this paper.</w:t>
      </w:r>
    </w:p>
    <w:p w14:paraId="2131B74C" w14:textId="77777777" w:rsidR="00D4010A" w:rsidRDefault="00D4010A" w:rsidP="00D4010A">
      <w:pPr>
        <w:pStyle w:val="SingleTxtG"/>
        <w:keepNext/>
        <w:tabs>
          <w:tab w:val="left" w:pos="1701"/>
        </w:tabs>
      </w:pPr>
      <w:r>
        <w:rPr>
          <w:noProof/>
          <w:lang w:val="de-DE" w:eastAsia="de-DE"/>
        </w:rPr>
        <w:drawing>
          <wp:inline distT="0" distB="0" distL="0" distR="0" wp14:anchorId="20B674BF" wp14:editId="5D70B196">
            <wp:extent cx="4666501" cy="2731325"/>
            <wp:effectExtent l="0" t="0" r="127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218" cy="2738768"/>
                    </a:xfrm>
                    <a:prstGeom prst="rect">
                      <a:avLst/>
                    </a:prstGeom>
                    <a:noFill/>
                  </pic:spPr>
                </pic:pic>
              </a:graphicData>
            </a:graphic>
          </wp:inline>
        </w:drawing>
      </w:r>
    </w:p>
    <w:p w14:paraId="1B58DA1A" w14:textId="6F3B3AF3" w:rsidR="00D5398D" w:rsidRDefault="00D4010A" w:rsidP="00BB5196">
      <w:pPr>
        <w:pStyle w:val="Caption"/>
        <w:ind w:firstLine="1134"/>
        <w:jc w:val="both"/>
        <w:rPr>
          <w:lang w:val="en-US"/>
        </w:rPr>
      </w:pPr>
      <w:r>
        <w:t xml:space="preserve">Figure </w:t>
      </w:r>
      <w:r w:rsidR="00895381">
        <w:fldChar w:fldCharType="begin"/>
      </w:r>
      <w:r w:rsidR="00895381">
        <w:instrText xml:space="preserve"> SEQ Figure \* ARABIC </w:instrText>
      </w:r>
      <w:r w:rsidR="00895381">
        <w:fldChar w:fldCharType="separate"/>
      </w:r>
      <w:r w:rsidR="00895381">
        <w:rPr>
          <w:noProof/>
        </w:rPr>
        <w:t>1</w:t>
      </w:r>
      <w:r w:rsidR="00895381">
        <w:rPr>
          <w:noProof/>
        </w:rPr>
        <w:fldChar w:fldCharType="end"/>
      </w:r>
      <w:r>
        <w:t xml:space="preserve"> Classes of energetic substances</w:t>
      </w:r>
    </w:p>
    <w:p w14:paraId="5F6593A7" w14:textId="399DB065" w:rsidR="002E374E" w:rsidRDefault="00AC0B4A" w:rsidP="003A3E9C">
      <w:pPr>
        <w:pStyle w:val="SingleTxtG"/>
        <w:numPr>
          <w:ilvl w:val="0"/>
          <w:numId w:val="16"/>
        </w:numPr>
        <w:tabs>
          <w:tab w:val="left" w:pos="1701"/>
        </w:tabs>
        <w:ind w:left="1134" w:firstLine="0"/>
        <w:rPr>
          <w:lang w:val="en-US"/>
        </w:rPr>
      </w:pPr>
      <w:r>
        <w:rPr>
          <w:lang w:val="en-US"/>
        </w:rPr>
        <w:t>As already mentioned in the introduction of this paper, the samples under consideration may contain substances carrying functional groups</w:t>
      </w:r>
      <w:r w:rsidRPr="00AC0B4A">
        <w:rPr>
          <w:lang w:val="en-US"/>
        </w:rPr>
        <w:t xml:space="preserve"> </w:t>
      </w:r>
      <w:r w:rsidRPr="00AC236C">
        <w:rPr>
          <w:lang w:val="en-US"/>
        </w:rPr>
        <w:t xml:space="preserve">indicating potential explosive or self-reactive properties </w:t>
      </w:r>
      <w:r>
        <w:rPr>
          <w:lang w:val="en-US"/>
        </w:rPr>
        <w:t>(</w:t>
      </w:r>
      <w:r w:rsidRPr="00AC236C">
        <w:rPr>
          <w:lang w:val="en-US"/>
        </w:rPr>
        <w:t>tables A6.1 and</w:t>
      </w:r>
      <w:r>
        <w:rPr>
          <w:lang w:val="en-US"/>
        </w:rPr>
        <w:t xml:space="preserve"> </w:t>
      </w:r>
      <w:r w:rsidRPr="00AC236C">
        <w:rPr>
          <w:lang w:val="en-US"/>
        </w:rPr>
        <w:t>A6.3 in Annex 6 of th</w:t>
      </w:r>
      <w:r>
        <w:rPr>
          <w:lang w:val="en-US"/>
        </w:rPr>
        <w:t>e Manual of Tests and Criteria</w:t>
      </w:r>
      <w:r w:rsidR="00BE6532">
        <w:rPr>
          <w:lang w:val="en-US"/>
        </w:rPr>
        <w:t>)</w:t>
      </w:r>
      <w:r>
        <w:rPr>
          <w:lang w:val="en-US"/>
        </w:rPr>
        <w:t>.</w:t>
      </w:r>
    </w:p>
    <w:p w14:paraId="07E715F0" w14:textId="1970EC9A" w:rsidR="00BE6532" w:rsidRDefault="00BE6532" w:rsidP="003A3E9C">
      <w:pPr>
        <w:pStyle w:val="SingleTxtG"/>
        <w:numPr>
          <w:ilvl w:val="0"/>
          <w:numId w:val="16"/>
        </w:numPr>
        <w:tabs>
          <w:tab w:val="left" w:pos="1701"/>
        </w:tabs>
        <w:ind w:left="1134" w:firstLine="0"/>
        <w:rPr>
          <w:lang w:val="en-US"/>
        </w:rPr>
      </w:pPr>
      <w:r>
        <w:rPr>
          <w:lang w:val="en-US"/>
        </w:rPr>
        <w:t>Self-reactive substances are defined in 2.4.2.3.1.1 of the Model Regulations as “</w:t>
      </w:r>
      <w:r w:rsidRPr="00DB22BD">
        <w:rPr>
          <w:lang w:val="en-US"/>
        </w:rPr>
        <w:t>thermally unstable substances liable to undergo a strongly exothermic decomposition even without participation of oxygen (air)</w:t>
      </w:r>
      <w:r>
        <w:rPr>
          <w:lang w:val="en-US"/>
        </w:rPr>
        <w:t>”</w:t>
      </w:r>
      <w:r w:rsidRPr="00DB22BD">
        <w:rPr>
          <w:lang w:val="en-US"/>
        </w:rPr>
        <w:t>.</w:t>
      </w:r>
      <w:r>
        <w:rPr>
          <w:lang w:val="en-US"/>
        </w:rPr>
        <w:t xml:space="preserve"> Apart from differentiation criteria from other classes, substances should be classified as self-reactive if they have a decomposition energy of 300 J/g or more in combination with an SADT of 75 °C or less. The decomposition energy should be determined by differential scanning calorimetry (DSC) according to section 20.3.3.3 of the Test Manual.</w:t>
      </w:r>
    </w:p>
    <w:p w14:paraId="013FCEA4" w14:textId="40FBD9D5" w:rsidR="00BE6532" w:rsidRDefault="00BE6532" w:rsidP="003A3E9C">
      <w:pPr>
        <w:pStyle w:val="SingleTxtG"/>
        <w:numPr>
          <w:ilvl w:val="0"/>
          <w:numId w:val="16"/>
        </w:numPr>
        <w:tabs>
          <w:tab w:val="left" w:pos="1701"/>
        </w:tabs>
        <w:ind w:left="1134" w:firstLine="0"/>
        <w:rPr>
          <w:lang w:val="en-US"/>
        </w:rPr>
      </w:pPr>
      <w:r>
        <w:rPr>
          <w:lang w:val="en-US"/>
        </w:rPr>
        <w:t xml:space="preserve"> Section 5.1 (b) in Appendix 6 of the UN Test Manual states that classification as a self-reactive substances does not apply if either one of the two criteria described above is not fulfilled. </w:t>
      </w:r>
      <w:r w:rsidR="00663318">
        <w:rPr>
          <w:lang w:val="en-US"/>
        </w:rPr>
        <w:t>T</w:t>
      </w:r>
      <w:r>
        <w:rPr>
          <w:lang w:val="en-US"/>
        </w:rPr>
        <w:t>emperature control applies if the SADT is less than or equal to 55 °C (see 2.4.2.3.4)</w:t>
      </w:r>
      <w:r w:rsidR="00663318">
        <w:rPr>
          <w:lang w:val="en-US"/>
        </w:rPr>
        <w:t xml:space="preserve"> as shown in</w:t>
      </w:r>
      <w:r>
        <w:rPr>
          <w:lang w:val="en-US"/>
        </w:rPr>
        <w:t xml:space="preserve"> figure 1 above.</w:t>
      </w:r>
    </w:p>
    <w:p w14:paraId="5D4F212C" w14:textId="272D681A" w:rsidR="00AC0B4A" w:rsidRDefault="00BE6532" w:rsidP="003A3E9C">
      <w:pPr>
        <w:pStyle w:val="SingleTxtG"/>
        <w:numPr>
          <w:ilvl w:val="0"/>
          <w:numId w:val="16"/>
        </w:numPr>
        <w:tabs>
          <w:tab w:val="left" w:pos="1701"/>
        </w:tabs>
        <w:ind w:left="1134" w:firstLine="0"/>
        <w:rPr>
          <w:lang w:val="en-US"/>
        </w:rPr>
      </w:pPr>
      <w:r>
        <w:rPr>
          <w:lang w:val="en-US"/>
        </w:rPr>
        <w:t>A</w:t>
      </w:r>
      <w:r w:rsidR="00AC0B4A">
        <w:rPr>
          <w:lang w:val="en-US"/>
        </w:rPr>
        <w:t xml:space="preserve">ccording to 2.1.1.5 of The Model Regulations and 10.2.1 (b) of the UN Test Manual, </w:t>
      </w:r>
      <w:r>
        <w:rPr>
          <w:lang w:val="en-US"/>
        </w:rPr>
        <w:t>any substance</w:t>
      </w:r>
      <w:r w:rsidR="00AC0B4A">
        <w:rPr>
          <w:lang w:val="en-US"/>
        </w:rPr>
        <w:t xml:space="preserve"> should be first considered for inclusion in Class 1.</w:t>
      </w:r>
    </w:p>
    <w:p w14:paraId="6B5A45FF" w14:textId="2F8453F2" w:rsidR="00C85FEE" w:rsidRDefault="00C85FEE" w:rsidP="003A3E9C">
      <w:pPr>
        <w:pStyle w:val="SingleTxtG"/>
        <w:numPr>
          <w:ilvl w:val="0"/>
          <w:numId w:val="16"/>
        </w:numPr>
        <w:tabs>
          <w:tab w:val="left" w:pos="1701"/>
        </w:tabs>
        <w:ind w:left="1134" w:firstLine="0"/>
        <w:rPr>
          <w:lang w:val="en-US"/>
        </w:rPr>
      </w:pPr>
      <w:r>
        <w:rPr>
          <w:lang w:val="en-US"/>
        </w:rPr>
        <w:t>The so-called “acceptance procedure” is described in sections 2.1.3.2 and 2.1.3.3 of the Model Regulations, and a flow-chart is given in figure 10.2 of the UN Test Manual. For possible non-intentional explosives, test series 2 determines whether a substance is to be considered for Class 1 (Box 8 of the flow chart).</w:t>
      </w:r>
    </w:p>
    <w:p w14:paraId="6BDB4E7D" w14:textId="5D804C3F" w:rsidR="00C85FEE" w:rsidRDefault="00C85FEE" w:rsidP="003A3E9C">
      <w:pPr>
        <w:pStyle w:val="SingleTxtG"/>
        <w:numPr>
          <w:ilvl w:val="0"/>
          <w:numId w:val="16"/>
        </w:numPr>
        <w:tabs>
          <w:tab w:val="left" w:pos="1701"/>
        </w:tabs>
        <w:ind w:left="1134" w:firstLine="0"/>
        <w:rPr>
          <w:lang w:val="en-US"/>
        </w:rPr>
      </w:pPr>
      <w:r w:rsidRPr="005F4826">
        <w:rPr>
          <w:lang w:val="en-US"/>
        </w:rPr>
        <w:t xml:space="preserve">Subsequently, thermal stability and mechanical sensitivity </w:t>
      </w:r>
      <w:r w:rsidR="00063A0C">
        <w:rPr>
          <w:lang w:val="en-US"/>
        </w:rPr>
        <w:t>are</w:t>
      </w:r>
      <w:r w:rsidRPr="005F4826">
        <w:rPr>
          <w:lang w:val="en-US"/>
        </w:rPr>
        <w:t xml:space="preserve"> determined (test series 3 and 4).</w:t>
      </w:r>
      <w:r w:rsidR="005F4826" w:rsidRPr="005F4826">
        <w:rPr>
          <w:lang w:val="en-US"/>
        </w:rPr>
        <w:t xml:space="preserve"> If the substances is not thermally stable, class 1 is rejected (box 12). However, section </w:t>
      </w:r>
      <w:r w:rsidRPr="005F4826">
        <w:rPr>
          <w:lang w:val="en-US"/>
        </w:rPr>
        <w:t xml:space="preserve">10.3.3.3 </w:t>
      </w:r>
      <w:r w:rsidR="005F4826" w:rsidRPr="005F4826">
        <w:rPr>
          <w:lang w:val="en-US"/>
        </w:rPr>
        <w:t>of the Test Manual suggests that for “</w:t>
      </w:r>
      <w:r w:rsidRPr="005F4826">
        <w:rPr>
          <w:lang w:val="en-US"/>
        </w:rPr>
        <w:t>a substance, not designed to have an explosive</w:t>
      </w:r>
      <w:r w:rsidR="005F4826" w:rsidRPr="005F4826">
        <w:rPr>
          <w:lang w:val="en-US"/>
        </w:rPr>
        <w:t xml:space="preserve"> </w:t>
      </w:r>
      <w:r w:rsidRPr="005F4826">
        <w:rPr>
          <w:lang w:val="en-US"/>
        </w:rPr>
        <w:t>effect</w:t>
      </w:r>
      <w:r w:rsidR="005F4826" w:rsidRPr="005F4826">
        <w:rPr>
          <w:lang w:val="en-US"/>
        </w:rPr>
        <w:t xml:space="preserve"> … </w:t>
      </w:r>
      <w:r w:rsidRPr="005F4826">
        <w:rPr>
          <w:lang w:val="en-US"/>
        </w:rPr>
        <w:t>it is more appropriate to start the testing procedure</w:t>
      </w:r>
      <w:r w:rsidR="005F4826" w:rsidRPr="005F4826">
        <w:rPr>
          <w:lang w:val="en-US"/>
        </w:rPr>
        <w:t xml:space="preserve"> </w:t>
      </w:r>
      <w:r w:rsidRPr="005F4826">
        <w:rPr>
          <w:lang w:val="en-US"/>
        </w:rPr>
        <w:t>with test series 3</w:t>
      </w:r>
      <w:r w:rsidR="0091598C">
        <w:rPr>
          <w:lang w:val="en-US"/>
        </w:rPr>
        <w:t>”</w:t>
      </w:r>
      <w:r w:rsidRPr="005F4826">
        <w:rPr>
          <w:lang w:val="en-US"/>
        </w:rPr>
        <w:t>.</w:t>
      </w:r>
    </w:p>
    <w:p w14:paraId="13FF79CD" w14:textId="7FE8B1E0" w:rsidR="00BE6532" w:rsidRDefault="00BE6532" w:rsidP="003A3E9C">
      <w:pPr>
        <w:pStyle w:val="SingleTxtG"/>
        <w:numPr>
          <w:ilvl w:val="0"/>
          <w:numId w:val="16"/>
        </w:numPr>
        <w:tabs>
          <w:tab w:val="left" w:pos="1701"/>
        </w:tabs>
        <w:ind w:left="1134" w:firstLine="0"/>
        <w:rPr>
          <w:lang w:val="en-US"/>
        </w:rPr>
      </w:pPr>
      <w:r>
        <w:rPr>
          <w:lang w:val="en-US"/>
        </w:rPr>
        <w:lastRenderedPageBreak/>
        <w:t>If Class 1 is rejected due to insufficient thermal stability, a classification as a self-reactive substance will apply (see above).</w:t>
      </w:r>
    </w:p>
    <w:p w14:paraId="1CFCDB6F" w14:textId="29415722" w:rsidR="00BE6532" w:rsidRDefault="00BE6532" w:rsidP="003A3E9C">
      <w:pPr>
        <w:pStyle w:val="SingleTxtG"/>
        <w:numPr>
          <w:ilvl w:val="0"/>
          <w:numId w:val="16"/>
        </w:numPr>
        <w:tabs>
          <w:tab w:val="left" w:pos="1701"/>
        </w:tabs>
        <w:ind w:left="1134" w:firstLine="0"/>
        <w:rPr>
          <w:lang w:val="en-US"/>
        </w:rPr>
      </w:pPr>
      <w:r>
        <w:rPr>
          <w:lang w:val="en-US"/>
        </w:rPr>
        <w:t xml:space="preserve">If a substance is thermally stable </w:t>
      </w:r>
      <w:r w:rsidR="00F468F9">
        <w:rPr>
          <w:lang w:val="en-US"/>
        </w:rPr>
        <w:t xml:space="preserve">at 75 °C </w:t>
      </w:r>
      <w:r>
        <w:rPr>
          <w:lang w:val="en-US"/>
        </w:rPr>
        <w:t>and passes Test Serie</w:t>
      </w:r>
      <w:r w:rsidR="000A71B8">
        <w:rPr>
          <w:lang w:val="en-US"/>
        </w:rPr>
        <w:t>s</w:t>
      </w:r>
      <w:r>
        <w:rPr>
          <w:lang w:val="en-US"/>
        </w:rPr>
        <w:t xml:space="preserve"> 2,</w:t>
      </w:r>
      <w:r w:rsidR="000A71B8">
        <w:rPr>
          <w:lang w:val="en-US"/>
        </w:rPr>
        <w:t xml:space="preserve"> a classification as explosive (Class 1) and self-reactive (Division 4.1) is not applicable. Such substances would be assigned to the box denoted “stable energetics” in figure 1.</w:t>
      </w:r>
    </w:p>
    <w:p w14:paraId="43A5EB9B" w14:textId="6009CEE2" w:rsidR="000A71B8" w:rsidRDefault="000A71B8" w:rsidP="003A3E9C">
      <w:pPr>
        <w:pStyle w:val="SingleTxtG"/>
        <w:numPr>
          <w:ilvl w:val="0"/>
          <w:numId w:val="16"/>
        </w:numPr>
        <w:tabs>
          <w:tab w:val="left" w:pos="1701"/>
        </w:tabs>
        <w:ind w:left="1134" w:firstLine="0"/>
        <w:rPr>
          <w:lang w:val="en-US"/>
        </w:rPr>
      </w:pPr>
      <w:r>
        <w:rPr>
          <w:lang w:val="en-US"/>
        </w:rPr>
        <w:t>Experience in industry has shown that the vast majority (&gt; 95 %) of substances in the scope of this paper would be characterized as such stable energetics, a small percentage (2-5 %) as self-reactive and a negligible amount (far less than 1 %) explosive.</w:t>
      </w:r>
    </w:p>
    <w:p w14:paraId="7A615F37" w14:textId="79238CB6" w:rsidR="006967DB" w:rsidRDefault="006967DB" w:rsidP="003A3E9C">
      <w:pPr>
        <w:pStyle w:val="SingleTxtG"/>
        <w:numPr>
          <w:ilvl w:val="0"/>
          <w:numId w:val="16"/>
        </w:numPr>
        <w:tabs>
          <w:tab w:val="left" w:pos="1701"/>
        </w:tabs>
        <w:ind w:left="1134" w:firstLine="0"/>
        <w:rPr>
          <w:lang w:val="en-US"/>
        </w:rPr>
      </w:pPr>
      <w:r>
        <w:rPr>
          <w:lang w:val="en-US"/>
        </w:rPr>
        <w:t>Appendix 6, section 3.3 (c) of the UN Test Manual states that for organic substances containing chemical groups associated with explosive properties the Class 1 acceptance procedure does not have to be applied</w:t>
      </w:r>
    </w:p>
    <w:p w14:paraId="0FC5A1ED" w14:textId="6711CD36" w:rsidR="006967DB" w:rsidRPr="00F468F9" w:rsidRDefault="006967DB" w:rsidP="0091598C">
      <w:pPr>
        <w:pStyle w:val="SingleTxtG"/>
        <w:ind w:left="1701"/>
        <w:rPr>
          <w:lang w:eastAsia="zh-CN"/>
        </w:rPr>
      </w:pPr>
      <w:r w:rsidRPr="00F468F9">
        <w:rPr>
          <w:sz w:val="22"/>
          <w:lang w:eastAsia="zh-CN"/>
        </w:rPr>
        <w:tab/>
      </w:r>
      <w:r w:rsidR="0091598C">
        <w:rPr>
          <w:lang w:val="fr-CH" w:eastAsia="zh-CN"/>
        </w:rPr>
        <w:t>-</w:t>
      </w:r>
      <w:r w:rsidR="0091598C">
        <w:rPr>
          <w:lang w:val="fr-CH" w:eastAsia="zh-CN"/>
        </w:rPr>
        <w:tab/>
      </w:r>
      <w:r w:rsidRPr="00F468F9">
        <w:rPr>
          <w:lang w:eastAsia="zh-CN"/>
        </w:rPr>
        <w:t>when the exothermic decomposition energy is less than 500 J/g, or</w:t>
      </w:r>
    </w:p>
    <w:p w14:paraId="63DA2251" w14:textId="29F89124" w:rsidR="006967DB" w:rsidRPr="00F468F9" w:rsidRDefault="0091598C" w:rsidP="0091598C">
      <w:pPr>
        <w:pStyle w:val="SingleTxtG"/>
        <w:ind w:left="2268" w:hanging="567"/>
        <w:rPr>
          <w:sz w:val="18"/>
        </w:rPr>
      </w:pPr>
      <w:r>
        <w:rPr>
          <w:lang w:val="fr-CH" w:eastAsia="zh-CN"/>
        </w:rPr>
        <w:t>-</w:t>
      </w:r>
      <w:r>
        <w:rPr>
          <w:lang w:val="fr-CH" w:eastAsia="zh-CN"/>
        </w:rPr>
        <w:tab/>
      </w:r>
      <w:r w:rsidR="006967DB" w:rsidRPr="00F468F9">
        <w:rPr>
          <w:lang w:eastAsia="zh-CN"/>
        </w:rPr>
        <w:t xml:space="preserve">when the onset of exothermic decomposition is 500 °C or above as </w:t>
      </w:r>
      <w:r w:rsidR="006967DB" w:rsidRPr="00F468F9">
        <w:rPr>
          <w:lang w:eastAsia="zh-CN"/>
        </w:rPr>
        <w:tab/>
      </w:r>
      <w:r w:rsidR="006967DB" w:rsidRPr="00F468F9">
        <w:rPr>
          <w:lang w:eastAsia="zh-CN"/>
        </w:rPr>
        <w:tab/>
        <w:t>indicated by Table A6.2.</w:t>
      </w:r>
    </w:p>
    <w:p w14:paraId="44EB58EC" w14:textId="573AAE60" w:rsidR="00063A0C" w:rsidRPr="005F4826" w:rsidRDefault="000146B7" w:rsidP="003A3E9C">
      <w:pPr>
        <w:pStyle w:val="SingleTxtG"/>
        <w:numPr>
          <w:ilvl w:val="0"/>
          <w:numId w:val="16"/>
        </w:numPr>
        <w:tabs>
          <w:tab w:val="left" w:pos="1701"/>
        </w:tabs>
        <w:ind w:left="1134" w:firstLine="0"/>
        <w:rPr>
          <w:lang w:val="en-US"/>
        </w:rPr>
      </w:pPr>
      <w:r>
        <w:rPr>
          <w:lang w:val="en-US"/>
        </w:rPr>
        <w:t>This text has been introduced in the Test Manual in the 43</w:t>
      </w:r>
      <w:r w:rsidRPr="000146B7">
        <w:rPr>
          <w:lang w:val="en-US"/>
        </w:rPr>
        <w:t>rd</w:t>
      </w:r>
      <w:r>
        <w:rPr>
          <w:lang w:val="en-US"/>
        </w:rPr>
        <w:t xml:space="preserve"> session of the TDG Subcommittee (June 2013) as a result of a proposal </w:t>
      </w:r>
      <w:r w:rsidRPr="000146B7">
        <w:rPr>
          <w:lang w:val="en-US"/>
        </w:rPr>
        <w:t>ST/SG/AC.10/C.3/2013/8</w:t>
      </w:r>
      <w:r>
        <w:rPr>
          <w:lang w:val="en-US"/>
        </w:rPr>
        <w:t xml:space="preserve"> submitted by Sweden with the intention of clarification. However, in this context an important information in the original text was lost with respect to the temperature limit of 500 °C: </w:t>
      </w:r>
      <w:r w:rsidRPr="000146B7">
        <w:rPr>
          <w:i/>
          <w:lang w:val="en-US"/>
        </w:rPr>
        <w:t>“The temperature limit is to prevent the procedure being applied to a large number of organic materials which are not explosive but which will decompose slowly above 500 ºC</w:t>
      </w:r>
      <w:r w:rsidR="0091598C">
        <w:rPr>
          <w:i/>
          <w:lang w:val="en-US"/>
        </w:rPr>
        <w:t xml:space="preserve"> to release more than 500 J/g.)”.</w:t>
      </w:r>
    </w:p>
    <w:p w14:paraId="21391291" w14:textId="6727DCD8" w:rsidR="000146B7" w:rsidRDefault="000146B7" w:rsidP="003A3E9C">
      <w:pPr>
        <w:pStyle w:val="SingleTxtG"/>
        <w:numPr>
          <w:ilvl w:val="0"/>
          <w:numId w:val="16"/>
        </w:numPr>
        <w:tabs>
          <w:tab w:val="left" w:pos="1701"/>
        </w:tabs>
        <w:ind w:left="1134" w:firstLine="0"/>
        <w:rPr>
          <w:lang w:val="en-US"/>
        </w:rPr>
      </w:pPr>
      <w:r>
        <w:rPr>
          <w:lang w:val="en-US"/>
        </w:rPr>
        <w:t>That means the upper range for the evaluation of the decomposition energy should be 500 °C.</w:t>
      </w:r>
      <w:r w:rsidR="00BD4BDF">
        <w:rPr>
          <w:lang w:val="en-US"/>
        </w:rPr>
        <w:t xml:space="preserve"> Substances with a decomposition energy less than 500 J/g in a temperature range up to 500 °C should not be classified as explosive of Class 1.</w:t>
      </w:r>
    </w:p>
    <w:p w14:paraId="688CA863" w14:textId="1253F352" w:rsidR="00F42F33" w:rsidRDefault="00F42F33" w:rsidP="00F42F33">
      <w:pPr>
        <w:pStyle w:val="H1G"/>
        <w:ind w:firstLine="0"/>
        <w:rPr>
          <w:lang w:val="en-US"/>
        </w:rPr>
      </w:pPr>
      <w:r>
        <w:rPr>
          <w:lang w:val="en-US"/>
        </w:rPr>
        <w:t>Issues to be solved for the transport of energetic samples</w:t>
      </w:r>
    </w:p>
    <w:p w14:paraId="39AA465D" w14:textId="4C3A769B" w:rsidR="00F42F33" w:rsidRDefault="00F42F33" w:rsidP="003A3E9C">
      <w:pPr>
        <w:pStyle w:val="SingleTxtG"/>
        <w:numPr>
          <w:ilvl w:val="0"/>
          <w:numId w:val="16"/>
        </w:numPr>
        <w:tabs>
          <w:tab w:val="left" w:pos="1701"/>
        </w:tabs>
        <w:ind w:left="1134" w:firstLine="0"/>
        <w:rPr>
          <w:lang w:val="en-US"/>
        </w:rPr>
      </w:pPr>
      <w:r>
        <w:rPr>
          <w:lang w:val="en-US"/>
        </w:rPr>
        <w:t>The classification depicted above as presented in figure 1 works on the presumption that all necessary data are available for a proper classification.</w:t>
      </w:r>
    </w:p>
    <w:p w14:paraId="545A32C1" w14:textId="6F804638" w:rsidR="00F42F33" w:rsidRDefault="00F42F33" w:rsidP="003A3E9C">
      <w:pPr>
        <w:pStyle w:val="SingleTxtG"/>
        <w:numPr>
          <w:ilvl w:val="0"/>
          <w:numId w:val="16"/>
        </w:numPr>
        <w:tabs>
          <w:tab w:val="left" w:pos="1701"/>
        </w:tabs>
        <w:ind w:left="1134" w:firstLine="0"/>
        <w:rPr>
          <w:lang w:val="en-US"/>
        </w:rPr>
      </w:pPr>
      <w:r>
        <w:rPr>
          <w:lang w:val="en-US"/>
        </w:rPr>
        <w:t>Section 2.4.2.3.2.4 (b) permits the transport of self-reactive substances as type C provided that</w:t>
      </w:r>
    </w:p>
    <w:p w14:paraId="5F866956" w14:textId="4E0E088F" w:rsidR="00F42F33" w:rsidRDefault="00F42F33" w:rsidP="0091598C">
      <w:pPr>
        <w:pStyle w:val="SingleTxtG"/>
        <w:numPr>
          <w:ilvl w:val="0"/>
          <w:numId w:val="18"/>
        </w:numPr>
        <w:tabs>
          <w:tab w:val="left" w:pos="1701"/>
        </w:tabs>
        <w:ind w:left="2127" w:hanging="426"/>
        <w:rPr>
          <w:lang w:val="en-US"/>
        </w:rPr>
      </w:pPr>
      <w:r>
        <w:rPr>
          <w:lang w:val="en-US"/>
        </w:rPr>
        <w:t xml:space="preserve">Available data indicate that the sample would </w:t>
      </w:r>
      <w:r w:rsidR="0091598C">
        <w:rPr>
          <w:lang w:val="en-US"/>
        </w:rPr>
        <w:t>not be more dangerous than type </w:t>
      </w:r>
      <w:r>
        <w:rPr>
          <w:lang w:val="en-US"/>
        </w:rPr>
        <w:t>B;</w:t>
      </w:r>
    </w:p>
    <w:p w14:paraId="104392E7" w14:textId="184AB072" w:rsidR="00F42F33" w:rsidRDefault="00F42F33" w:rsidP="00465AE3">
      <w:pPr>
        <w:pStyle w:val="SingleTxtG"/>
        <w:numPr>
          <w:ilvl w:val="0"/>
          <w:numId w:val="18"/>
        </w:numPr>
        <w:tabs>
          <w:tab w:val="left" w:pos="1701"/>
        </w:tabs>
        <w:ind w:left="2127" w:hanging="426"/>
        <w:rPr>
          <w:lang w:val="en-US"/>
        </w:rPr>
      </w:pPr>
      <w:r>
        <w:rPr>
          <w:lang w:val="en-US"/>
        </w:rPr>
        <w:t>Packing method OP2 is applied with a upper limit of 10 kg per cargo transport unit; and</w:t>
      </w:r>
    </w:p>
    <w:p w14:paraId="1829D7DB" w14:textId="321DE196" w:rsidR="00F42F33" w:rsidRDefault="00F42F33" w:rsidP="003858D6">
      <w:pPr>
        <w:pStyle w:val="SingleTxtG"/>
        <w:numPr>
          <w:ilvl w:val="0"/>
          <w:numId w:val="18"/>
        </w:numPr>
        <w:tabs>
          <w:tab w:val="left" w:pos="1701"/>
        </w:tabs>
        <w:ind w:left="2127" w:hanging="426"/>
        <w:rPr>
          <w:lang w:val="en-US"/>
        </w:rPr>
      </w:pPr>
      <w:r>
        <w:rPr>
          <w:lang w:val="en-US"/>
        </w:rPr>
        <w:t>Temperature control and dangerous phase separation are considered.</w:t>
      </w:r>
    </w:p>
    <w:p w14:paraId="04DCD2DC" w14:textId="30067531" w:rsidR="00F42F33" w:rsidRDefault="00F42F33" w:rsidP="003A3E9C">
      <w:pPr>
        <w:pStyle w:val="SingleTxtG"/>
        <w:numPr>
          <w:ilvl w:val="0"/>
          <w:numId w:val="16"/>
        </w:numPr>
        <w:tabs>
          <w:tab w:val="left" w:pos="1701"/>
        </w:tabs>
        <w:ind w:left="1134" w:firstLine="0"/>
        <w:rPr>
          <w:lang w:val="en-US"/>
        </w:rPr>
      </w:pPr>
      <w:r>
        <w:rPr>
          <w:lang w:val="en-US"/>
        </w:rPr>
        <w:t>How can this be applied in practice? As the text is written, it presumes that a classification as self-reactive is already established, i.e. decomposition energy ≥ 300 J/g and SADT ≤ 75 °C and subsequent measurements for temperature control</w:t>
      </w:r>
      <w:r w:rsidR="00855E7F">
        <w:rPr>
          <w:lang w:val="en-US"/>
        </w:rPr>
        <w:t xml:space="preserve"> have been determined by measurement.</w:t>
      </w:r>
      <w:r w:rsidR="00BA6DA5">
        <w:rPr>
          <w:lang w:val="en-US"/>
        </w:rPr>
        <w:t xml:space="preserve"> What has to be done in order to transport the sample to the test lab for SADT determination in the first step?</w:t>
      </w:r>
    </w:p>
    <w:p w14:paraId="68984899" w14:textId="31944617" w:rsidR="00855E7F" w:rsidRDefault="00855E7F" w:rsidP="003A3E9C">
      <w:pPr>
        <w:pStyle w:val="SingleTxtG"/>
        <w:numPr>
          <w:ilvl w:val="0"/>
          <w:numId w:val="16"/>
        </w:numPr>
        <w:tabs>
          <w:tab w:val="left" w:pos="1701"/>
        </w:tabs>
        <w:ind w:left="1134" w:firstLine="0"/>
        <w:rPr>
          <w:lang w:val="en-US"/>
        </w:rPr>
      </w:pPr>
      <w:r>
        <w:rPr>
          <w:lang w:val="en-US"/>
        </w:rPr>
        <w:t>On the other hand, for a substance that is thermally stable, about 2 kg of material are necessary to perform test series 2. Application of UN 0190 in such cases would be an intolerable burden both for industry and competent authorities and by no means</w:t>
      </w:r>
      <w:r w:rsidR="003A3E9C">
        <w:rPr>
          <w:lang w:val="en-US"/>
        </w:rPr>
        <w:t xml:space="preserve"> </w:t>
      </w:r>
      <w:r w:rsidR="00F468F9">
        <w:rPr>
          <w:lang w:val="en-US"/>
        </w:rPr>
        <w:t>appropriate</w:t>
      </w:r>
      <w:r w:rsidR="003A3E9C">
        <w:rPr>
          <w:lang w:val="en-US"/>
        </w:rPr>
        <w:t>, especially in cases where only amounts of 50 or 100 g are to be carried.</w:t>
      </w:r>
    </w:p>
    <w:p w14:paraId="54B008ED" w14:textId="4032037F" w:rsidR="00015F76" w:rsidRDefault="00F468F9" w:rsidP="003A3E9C">
      <w:pPr>
        <w:pStyle w:val="SingleTxtG"/>
        <w:numPr>
          <w:ilvl w:val="0"/>
          <w:numId w:val="16"/>
        </w:numPr>
        <w:tabs>
          <w:tab w:val="left" w:pos="1701"/>
        </w:tabs>
        <w:ind w:left="1134" w:firstLine="0"/>
        <w:rPr>
          <w:lang w:val="en-US"/>
        </w:rPr>
      </w:pPr>
      <w:r>
        <w:rPr>
          <w:lang w:val="en-US"/>
        </w:rPr>
        <w:t xml:space="preserve">Following </w:t>
      </w:r>
      <w:r w:rsidR="00015F76">
        <w:rPr>
          <w:lang w:val="en-US"/>
        </w:rPr>
        <w:t>numerous discussions with competent authorities, CEFIC has developed the concept of transporting energetic samples under the regime of self-reactive substances of division 4.1. Reasons are</w:t>
      </w:r>
    </w:p>
    <w:p w14:paraId="07A89CC3" w14:textId="2317C99C" w:rsidR="00015F76" w:rsidRDefault="00015F76" w:rsidP="00F72310">
      <w:pPr>
        <w:pStyle w:val="SingleTxtG"/>
        <w:numPr>
          <w:ilvl w:val="0"/>
          <w:numId w:val="21"/>
        </w:numPr>
        <w:tabs>
          <w:tab w:val="left" w:pos="1701"/>
        </w:tabs>
        <w:ind w:left="2268" w:hanging="567"/>
        <w:rPr>
          <w:lang w:val="en-US"/>
        </w:rPr>
      </w:pPr>
      <w:r>
        <w:rPr>
          <w:lang w:val="en-US"/>
        </w:rPr>
        <w:t>Provisions for the transport of self-reactive substances already exist (see above and 2.0.4.2 (c));</w:t>
      </w:r>
    </w:p>
    <w:p w14:paraId="5D6ED15F" w14:textId="19195152" w:rsidR="00015F76" w:rsidRDefault="006041A6" w:rsidP="006041A6">
      <w:pPr>
        <w:pStyle w:val="SingleTxtG"/>
        <w:tabs>
          <w:tab w:val="left" w:pos="1701"/>
        </w:tabs>
        <w:ind w:left="1854" w:hanging="153"/>
        <w:rPr>
          <w:lang w:val="en-US"/>
        </w:rPr>
      </w:pPr>
      <w:r>
        <w:rPr>
          <w:lang w:val="en-US"/>
        </w:rPr>
        <w:lastRenderedPageBreak/>
        <w:t>(ii)</w:t>
      </w:r>
      <w:r>
        <w:rPr>
          <w:lang w:val="en-US"/>
        </w:rPr>
        <w:tab/>
      </w:r>
      <w:r w:rsidR="00015F76">
        <w:rPr>
          <w:lang w:val="en-US"/>
        </w:rPr>
        <w:t>Self-reactive substances may have explosive properties (see 2.4.2.3.1.2)</w:t>
      </w:r>
      <w:r w:rsidR="00060E7D">
        <w:rPr>
          <w:lang w:val="en-US"/>
        </w:rPr>
        <w:t xml:space="preserve">, and </w:t>
      </w:r>
      <w:r>
        <w:rPr>
          <w:lang w:val="en-US"/>
        </w:rPr>
        <w:tab/>
      </w:r>
      <w:r w:rsidR="00060E7D">
        <w:rPr>
          <w:lang w:val="en-US"/>
        </w:rPr>
        <w:t>appropriate packing instructions (P520) are prescribed;</w:t>
      </w:r>
    </w:p>
    <w:p w14:paraId="71A6CAC1" w14:textId="0E5BF6BE" w:rsidR="00060E7D" w:rsidRDefault="006041A6" w:rsidP="006041A6">
      <w:pPr>
        <w:pStyle w:val="SingleTxtG"/>
        <w:tabs>
          <w:tab w:val="left" w:pos="1701"/>
        </w:tabs>
        <w:ind w:left="1701"/>
        <w:rPr>
          <w:lang w:val="en-US"/>
        </w:rPr>
      </w:pPr>
      <w:r>
        <w:rPr>
          <w:lang w:val="en-US"/>
        </w:rPr>
        <w:tab/>
        <w:t>(iii)</w:t>
      </w:r>
      <w:r>
        <w:rPr>
          <w:lang w:val="en-US"/>
        </w:rPr>
        <w:tab/>
      </w:r>
      <w:r w:rsidR="00060E7D">
        <w:rPr>
          <w:lang w:val="en-US"/>
        </w:rPr>
        <w:t>Temperature control is applicable for substances of low thermal stability.</w:t>
      </w:r>
    </w:p>
    <w:p w14:paraId="2F11B3F3" w14:textId="6E4C1299" w:rsidR="00060E7D" w:rsidRPr="0064541A" w:rsidRDefault="00F72310" w:rsidP="00F72310">
      <w:pPr>
        <w:pStyle w:val="SingleTxtG"/>
        <w:tabs>
          <w:tab w:val="left" w:pos="1701"/>
        </w:tabs>
        <w:rPr>
          <w:lang w:val="en-US"/>
        </w:rPr>
      </w:pPr>
      <w:r>
        <w:rPr>
          <w:lang w:val="en-US"/>
        </w:rPr>
        <w:t>27.</w:t>
      </w:r>
      <w:r>
        <w:rPr>
          <w:lang w:val="en-US"/>
        </w:rPr>
        <w:tab/>
      </w:r>
      <w:r w:rsidR="00060E7D">
        <w:rPr>
          <w:lang w:val="en-US"/>
        </w:rPr>
        <w:t>The Sub</w:t>
      </w:r>
      <w:r>
        <w:rPr>
          <w:lang w:val="en-US"/>
        </w:rPr>
        <w:t>-C</w:t>
      </w:r>
      <w:r w:rsidR="00060E7D">
        <w:rPr>
          <w:lang w:val="en-US"/>
        </w:rPr>
        <w:t xml:space="preserve">ommittee has supported this approach and adopted </w:t>
      </w:r>
      <w:r w:rsidR="00060E7D" w:rsidRPr="0064541A">
        <w:rPr>
          <w:lang w:val="en-US"/>
        </w:rPr>
        <w:t xml:space="preserve">CEFIC’s proposal ST/SG/AC.10/C.3/2016/61 </w:t>
      </w:r>
      <w:r w:rsidR="00060E7D">
        <w:rPr>
          <w:lang w:val="en-US"/>
        </w:rPr>
        <w:t>i</w:t>
      </w:r>
      <w:r w:rsidR="00060E7D" w:rsidRPr="0064541A">
        <w:rPr>
          <w:lang w:val="en-US"/>
        </w:rPr>
        <w:t xml:space="preserve">n the last biennium. The new provisions in section 2.0.4.3 allow for the transport of small amounts of samples (up to 1 g </w:t>
      </w:r>
      <w:r w:rsidR="003D25EC">
        <w:rPr>
          <w:lang w:val="en-US"/>
        </w:rPr>
        <w:t>o</w:t>
      </w:r>
      <w:r w:rsidR="00F468F9">
        <w:rPr>
          <w:lang w:val="en-US"/>
        </w:rPr>
        <w:t>r</w:t>
      </w:r>
      <w:r w:rsidR="00060E7D" w:rsidRPr="0064541A">
        <w:rPr>
          <w:lang w:val="en-US"/>
        </w:rPr>
        <w:t xml:space="preserve"> 1 ml) as self-reactive substances type C under certain restrictions in a very specific package. </w:t>
      </w:r>
    </w:p>
    <w:p w14:paraId="163565C3" w14:textId="629726A5" w:rsidR="00FA2C63" w:rsidRPr="0064541A" w:rsidRDefault="00F72310" w:rsidP="00F72310">
      <w:pPr>
        <w:pStyle w:val="SingleTxtG"/>
        <w:tabs>
          <w:tab w:val="left" w:pos="1701"/>
        </w:tabs>
        <w:rPr>
          <w:lang w:val="en-US"/>
        </w:rPr>
      </w:pPr>
      <w:r>
        <w:rPr>
          <w:lang w:val="en-US"/>
        </w:rPr>
        <w:t>28</w:t>
      </w:r>
      <w:r>
        <w:rPr>
          <w:lang w:val="en-US"/>
        </w:rPr>
        <w:tab/>
      </w:r>
      <w:r w:rsidR="00FA2C63" w:rsidRPr="0064541A">
        <w:rPr>
          <w:lang w:val="en-US"/>
        </w:rPr>
        <w:t>The adopted solution in section 2.4.0.3 for small samples (up to 1 g scale) is built on a safe design:</w:t>
      </w:r>
    </w:p>
    <w:p w14:paraId="198DB825" w14:textId="48B8FBBA" w:rsidR="00FA2C63" w:rsidRPr="0064541A" w:rsidRDefault="00F72310" w:rsidP="00F72310">
      <w:pPr>
        <w:pStyle w:val="SingleTxtG"/>
        <w:tabs>
          <w:tab w:val="left" w:pos="1701"/>
        </w:tabs>
        <w:ind w:left="2268" w:hanging="567"/>
        <w:rPr>
          <w:lang w:val="en-US"/>
        </w:rPr>
      </w:pPr>
      <w:r>
        <w:rPr>
          <w:lang w:val="en-US"/>
        </w:rPr>
        <w:tab/>
        <w:t>(i)</w:t>
      </w:r>
      <w:r w:rsidR="00060E7D">
        <w:rPr>
          <w:lang w:val="en-US"/>
        </w:rPr>
        <w:tab/>
      </w:r>
      <w:r w:rsidR="00FA2C63" w:rsidRPr="0064541A">
        <w:rPr>
          <w:lang w:val="en-US"/>
        </w:rPr>
        <w:t>The package is sufficiently strong to survive the detonation e</w:t>
      </w:r>
      <w:r w:rsidR="00D156C1" w:rsidRPr="0064541A">
        <w:rPr>
          <w:lang w:val="en-US"/>
        </w:rPr>
        <w:t>ven of an intentional explosive (see proposal 2016/61), and</w:t>
      </w:r>
    </w:p>
    <w:p w14:paraId="6CDE0FCC" w14:textId="6DA105BB" w:rsidR="00D156C1" w:rsidRPr="0064541A" w:rsidRDefault="00F72310" w:rsidP="00F72310">
      <w:pPr>
        <w:pStyle w:val="SingleTxtG"/>
        <w:tabs>
          <w:tab w:val="left" w:pos="1701"/>
        </w:tabs>
        <w:ind w:left="2268" w:hanging="567"/>
        <w:rPr>
          <w:lang w:val="en-US"/>
        </w:rPr>
      </w:pPr>
      <w:r>
        <w:rPr>
          <w:lang w:val="en-US"/>
        </w:rPr>
        <w:tab/>
        <w:t>(ii)</w:t>
      </w:r>
      <w:r>
        <w:rPr>
          <w:lang w:val="en-US"/>
        </w:rPr>
        <w:tab/>
      </w:r>
      <w:r w:rsidR="00D156C1" w:rsidRPr="0064541A">
        <w:rPr>
          <w:lang w:val="en-US"/>
        </w:rPr>
        <w:t>The inner design prevents a propagation of detonation from one sample to another.</w:t>
      </w:r>
    </w:p>
    <w:p w14:paraId="1E10F355" w14:textId="230E8417" w:rsidR="004C0BB5" w:rsidRDefault="00F72310" w:rsidP="00F72310">
      <w:pPr>
        <w:pStyle w:val="SingleTxtG"/>
        <w:tabs>
          <w:tab w:val="left" w:pos="1701"/>
        </w:tabs>
        <w:rPr>
          <w:lang w:val="en-US"/>
        </w:rPr>
      </w:pPr>
      <w:r>
        <w:rPr>
          <w:lang w:val="en-US"/>
        </w:rPr>
        <w:t>29.</w:t>
      </w:r>
      <w:r>
        <w:rPr>
          <w:lang w:val="en-US"/>
        </w:rPr>
        <w:tab/>
      </w:r>
      <w:r w:rsidR="00D156C1" w:rsidRPr="0064541A">
        <w:rPr>
          <w:lang w:val="en-US"/>
        </w:rPr>
        <w:t>For larger amounts of samples, this concept is obviously not applicable. Therefore, further proceedings have to be based on increased knowledge</w:t>
      </w:r>
      <w:r w:rsidR="00D24F5F" w:rsidRPr="0064541A">
        <w:rPr>
          <w:lang w:val="en-US"/>
        </w:rPr>
        <w:t xml:space="preserve"> about safety-relevant properties of the sample</w:t>
      </w:r>
      <w:r w:rsidR="00D156C1" w:rsidRPr="0064541A">
        <w:rPr>
          <w:lang w:val="en-US"/>
        </w:rPr>
        <w:t>.</w:t>
      </w:r>
    </w:p>
    <w:p w14:paraId="1273E0CB" w14:textId="43BF0FA2" w:rsidR="00264EF7" w:rsidRPr="0064541A" w:rsidRDefault="00F468F9" w:rsidP="00264EF7">
      <w:pPr>
        <w:pStyle w:val="H1G"/>
        <w:ind w:firstLine="0"/>
        <w:rPr>
          <w:lang w:val="en-US"/>
        </w:rPr>
      </w:pPr>
      <w:r>
        <w:rPr>
          <w:lang w:val="en-US"/>
        </w:rPr>
        <w:t>Proposed</w:t>
      </w:r>
      <w:r w:rsidR="00264EF7">
        <w:rPr>
          <w:lang w:val="en-US"/>
        </w:rPr>
        <w:t xml:space="preserve"> way forward</w:t>
      </w:r>
    </w:p>
    <w:p w14:paraId="0B53BEDA" w14:textId="6B791F48" w:rsidR="00D156C1" w:rsidRPr="00F72310" w:rsidRDefault="00F72310" w:rsidP="00F72310">
      <w:pPr>
        <w:pStyle w:val="SingleTxtG"/>
      </w:pPr>
      <w:r>
        <w:rPr>
          <w:lang w:val="fr-CH"/>
        </w:rPr>
        <w:t>30.</w:t>
      </w:r>
      <w:r>
        <w:rPr>
          <w:lang w:val="fr-CH"/>
        </w:rPr>
        <w:tab/>
      </w:r>
      <w:r w:rsidR="006F1A22" w:rsidRPr="00F72310">
        <w:t xml:space="preserve">In informal paper </w:t>
      </w:r>
      <w:r>
        <w:rPr>
          <w:lang w:val="fr-CH"/>
        </w:rPr>
        <w:t>INF.</w:t>
      </w:r>
      <w:r w:rsidR="006F1A22" w:rsidRPr="00F72310">
        <w:t xml:space="preserve">12 </w:t>
      </w:r>
      <w:r>
        <w:rPr>
          <w:lang w:val="fr-CH"/>
        </w:rPr>
        <w:t>(52nd session)</w:t>
      </w:r>
      <w:r w:rsidR="006F1A22" w:rsidRPr="00F72310">
        <w:t xml:space="preserve">, CEFIC </w:t>
      </w:r>
      <w:r w:rsidR="00A014D6" w:rsidRPr="00F72310">
        <w:t>demonstrated</w:t>
      </w:r>
      <w:r w:rsidR="006F1A22" w:rsidRPr="00F72310">
        <w:t xml:space="preserve"> that the energetic samples under consideration are clearly separated from intentional explosives in terms of their energy content (i.e. decomposition energy). This value </w:t>
      </w:r>
      <w:r w:rsidR="00D156C1" w:rsidRPr="00F72310">
        <w:t xml:space="preserve">can be easily determined by DSC methods (see Test </w:t>
      </w:r>
      <w:r w:rsidR="00C414CE">
        <w:rPr>
          <w:lang w:val="fr-CH"/>
        </w:rPr>
        <w:t xml:space="preserve">of </w:t>
      </w:r>
      <w:r w:rsidR="00D156C1" w:rsidRPr="00F72310">
        <w:t>Manual</w:t>
      </w:r>
      <w:r w:rsidR="00C414CE">
        <w:rPr>
          <w:lang w:val="fr-CH"/>
        </w:rPr>
        <w:t xml:space="preserve"> and Criteria</w:t>
      </w:r>
      <w:r w:rsidR="00D156C1" w:rsidRPr="00F72310">
        <w:t>, section 20.3.3.3)</w:t>
      </w:r>
      <w:r w:rsidR="006F1A22" w:rsidRPr="00F72310">
        <w:t xml:space="preserve"> and </w:t>
      </w:r>
      <w:r w:rsidR="00D156C1" w:rsidRPr="00F72310">
        <w:t xml:space="preserve">may be used as the basis for a </w:t>
      </w:r>
      <w:r w:rsidR="004C0BB5" w:rsidRPr="00F72310">
        <w:t>preliminary assessment of the samples.</w:t>
      </w:r>
    </w:p>
    <w:p w14:paraId="5D4D7BB5" w14:textId="63229D31" w:rsidR="00000EAF" w:rsidRPr="00F72310" w:rsidRDefault="00F72310" w:rsidP="00F72310">
      <w:pPr>
        <w:pStyle w:val="SingleTxtG"/>
      </w:pPr>
      <w:r>
        <w:rPr>
          <w:lang w:val="fr-CH"/>
        </w:rPr>
        <w:t>31.</w:t>
      </w:r>
      <w:r>
        <w:rPr>
          <w:lang w:val="fr-CH"/>
        </w:rPr>
        <w:tab/>
      </w:r>
      <w:r w:rsidR="00000EAF" w:rsidRPr="00F72310">
        <w:t xml:space="preserve">In the informal paper mentioned above, </w:t>
      </w:r>
      <w:r w:rsidR="00A014D6" w:rsidRPr="00F72310">
        <w:t>CEFIC derived and justified a concept</w:t>
      </w:r>
      <w:r w:rsidR="00000EAF" w:rsidRPr="00F72310">
        <w:t xml:space="preserve"> to allow the transport of energetic samples as self-reactive substances Type C under the provisions of 2.4.2.3.2.4 (b) </w:t>
      </w:r>
      <w:r w:rsidR="00A014D6" w:rsidRPr="00F72310">
        <w:t xml:space="preserve">(see section 23 above) </w:t>
      </w:r>
      <w:r w:rsidR="00000EAF" w:rsidRPr="00F72310">
        <w:t xml:space="preserve">depending on </w:t>
      </w:r>
      <w:r w:rsidR="00A014D6" w:rsidRPr="00F72310">
        <w:t>their energy content as follows:</w:t>
      </w:r>
    </w:p>
    <w:p w14:paraId="008FB782" w14:textId="77777777" w:rsidR="00000EAF" w:rsidRPr="0064541A" w:rsidRDefault="00000EAF" w:rsidP="00A014D6">
      <w:pPr>
        <w:pStyle w:val="SingleTxtG"/>
        <w:tabs>
          <w:tab w:val="right" w:pos="2977"/>
          <w:tab w:val="left" w:pos="3119"/>
        </w:tabs>
        <w:rPr>
          <w:lang w:val="en-US"/>
        </w:rPr>
      </w:pPr>
      <w:r w:rsidRPr="0064541A">
        <w:rPr>
          <w:lang w:val="en-US"/>
        </w:rPr>
        <w:tab/>
        <w:t xml:space="preserve">&lt; 1500 J/g: </w:t>
      </w:r>
      <w:r w:rsidRPr="0064541A">
        <w:rPr>
          <w:lang w:val="en-US"/>
        </w:rPr>
        <w:tab/>
        <w:t>No further testing required</w:t>
      </w:r>
    </w:p>
    <w:p w14:paraId="247FA728" w14:textId="77777777" w:rsidR="00000EAF" w:rsidRPr="0064541A" w:rsidRDefault="00000EAF" w:rsidP="00A014D6">
      <w:pPr>
        <w:pStyle w:val="SingleTxtG"/>
        <w:tabs>
          <w:tab w:val="right" w:pos="2977"/>
          <w:tab w:val="left" w:pos="3119"/>
        </w:tabs>
        <w:ind w:right="991"/>
        <w:rPr>
          <w:lang w:val="en-US"/>
        </w:rPr>
      </w:pPr>
      <w:r w:rsidRPr="0064541A">
        <w:rPr>
          <w:lang w:val="en-US"/>
        </w:rPr>
        <w:tab/>
        <w:t xml:space="preserve">≥ 1500 … &lt; 2500 J/g: </w:t>
      </w:r>
      <w:r w:rsidRPr="0064541A">
        <w:rPr>
          <w:lang w:val="en-US"/>
        </w:rPr>
        <w:tab/>
        <w:t>Tests for mechanical sensitivity (UN 3 (a) + 3 (b), outcome both “-“)</w:t>
      </w:r>
    </w:p>
    <w:p w14:paraId="503C7476" w14:textId="77777777" w:rsidR="00000EAF" w:rsidRPr="0064541A" w:rsidRDefault="00000EAF" w:rsidP="00A014D6">
      <w:pPr>
        <w:pStyle w:val="SingleTxtG"/>
        <w:tabs>
          <w:tab w:val="right" w:pos="2977"/>
          <w:tab w:val="left" w:pos="3119"/>
        </w:tabs>
        <w:rPr>
          <w:lang w:val="en-US"/>
        </w:rPr>
      </w:pPr>
      <w:r w:rsidRPr="0064541A">
        <w:rPr>
          <w:lang w:val="en-US"/>
        </w:rPr>
        <w:tab/>
        <w:t xml:space="preserve">≥ 2500 J/g: </w:t>
      </w:r>
      <w:r w:rsidRPr="0064541A">
        <w:rPr>
          <w:lang w:val="en-US"/>
        </w:rPr>
        <w:tab/>
        <w:t xml:space="preserve">Additional testing required; suggested: 1 Koenen test (UN E.1, not </w:t>
      </w:r>
      <w:r w:rsidRPr="0064541A">
        <w:rPr>
          <w:lang w:val="en-US"/>
        </w:rPr>
        <w:tab/>
      </w:r>
      <w:r w:rsidRPr="0064541A">
        <w:rPr>
          <w:lang w:val="en-US"/>
        </w:rPr>
        <w:tab/>
        <w:t>violent) AND 1 Trauzl test (UN F.3, outcome “no” or “low”).</w:t>
      </w:r>
    </w:p>
    <w:p w14:paraId="713E576B" w14:textId="30A0EC53" w:rsidR="00B45242" w:rsidRPr="00F72310" w:rsidRDefault="00F72310" w:rsidP="00F72310">
      <w:pPr>
        <w:pStyle w:val="SingleTxtG"/>
      </w:pPr>
      <w:r>
        <w:rPr>
          <w:lang w:val="fr-CH"/>
        </w:rPr>
        <w:t>32.</w:t>
      </w:r>
      <w:r>
        <w:rPr>
          <w:lang w:val="fr-CH"/>
        </w:rPr>
        <w:tab/>
      </w:r>
      <w:r w:rsidR="00F468F9" w:rsidRPr="00F72310">
        <w:t xml:space="preserve">Further details are not </w:t>
      </w:r>
      <w:r w:rsidR="00A014D6" w:rsidRPr="00F72310">
        <w:t>repeated</w:t>
      </w:r>
      <w:r w:rsidR="00F468F9" w:rsidRPr="00F72310">
        <w:t xml:space="preserve"> here</w:t>
      </w:r>
      <w:r w:rsidR="00A014D6" w:rsidRPr="00F72310">
        <w:t xml:space="preserve"> since the approach itself was not que</w:t>
      </w:r>
      <w:r w:rsidR="00F468F9" w:rsidRPr="00F72310">
        <w:t>stioned</w:t>
      </w:r>
      <w:r w:rsidR="00A014D6" w:rsidRPr="00F72310">
        <w:t xml:space="preserve"> during discussions in the Explosives Working Group.</w:t>
      </w:r>
    </w:p>
    <w:p w14:paraId="38124B3F" w14:textId="18C8DD58" w:rsidR="00B45242" w:rsidRPr="00F72310" w:rsidRDefault="00F72310" w:rsidP="00F72310">
      <w:pPr>
        <w:pStyle w:val="SingleTxtG"/>
      </w:pPr>
      <w:r>
        <w:rPr>
          <w:lang w:val="fr-CH"/>
        </w:rPr>
        <w:t>33.</w:t>
      </w:r>
      <w:r>
        <w:rPr>
          <w:lang w:val="fr-CH"/>
        </w:rPr>
        <w:tab/>
      </w:r>
      <w:r w:rsidR="00B45242" w:rsidRPr="00F72310">
        <w:t>Based on these considerations, a tentative flowchart incorporating already existing provisions has been drafted (see figure 2).</w:t>
      </w:r>
    </w:p>
    <w:p w14:paraId="30DD92F1" w14:textId="4B6D0C3E" w:rsidR="00B45242" w:rsidRPr="00F72310" w:rsidRDefault="00F72310" w:rsidP="00F72310">
      <w:pPr>
        <w:pStyle w:val="SingleTxtG"/>
      </w:pPr>
      <w:r>
        <w:rPr>
          <w:lang w:val="fr-CH"/>
        </w:rPr>
        <w:t>34.</w:t>
      </w:r>
      <w:r>
        <w:rPr>
          <w:lang w:val="fr-CH"/>
        </w:rPr>
        <w:tab/>
      </w:r>
      <w:r w:rsidR="00B45242" w:rsidRPr="00F72310">
        <w:t>Boxes 1 through 9, 11 and 12 refer</w:t>
      </w:r>
      <w:r w:rsidR="00F468F9" w:rsidRPr="00F72310">
        <w:t xml:space="preserve"> to already existing provisions in the Model Regulations</w:t>
      </w:r>
    </w:p>
    <w:p w14:paraId="3B86A91B" w14:textId="3E1C9CD9" w:rsidR="00B45242" w:rsidRPr="00F72310" w:rsidRDefault="00F72310" w:rsidP="00F72310">
      <w:pPr>
        <w:pStyle w:val="SingleTxtG"/>
      </w:pPr>
      <w:r>
        <w:rPr>
          <w:lang w:val="fr-CH"/>
        </w:rPr>
        <w:t>35.</w:t>
      </w:r>
      <w:r>
        <w:rPr>
          <w:lang w:val="fr-CH"/>
        </w:rPr>
        <w:tab/>
      </w:r>
      <w:r w:rsidR="00063991" w:rsidRPr="00F72310">
        <w:t>Box 4 refers to section 5.1 (b) of Appendix 6 of the UN Test Manual. Since the approach applies the self-reactives regime for all energetic compounds, the SADT criterion is not relevant in this context. Below a decomposition energy of 300 J/g, a classification as a self-reactive substance or as explosive can be ruled (see also figure 1 above).</w:t>
      </w:r>
    </w:p>
    <w:p w14:paraId="40815B00" w14:textId="13D5BD8B" w:rsidR="00063991" w:rsidRPr="00F72310" w:rsidRDefault="00F72310" w:rsidP="00F72310">
      <w:pPr>
        <w:pStyle w:val="SingleTxtG"/>
      </w:pPr>
      <w:r>
        <w:rPr>
          <w:lang w:val="fr-CH"/>
        </w:rPr>
        <w:t>36.</w:t>
      </w:r>
      <w:r>
        <w:rPr>
          <w:lang w:val="fr-CH"/>
        </w:rPr>
        <w:tab/>
      </w:r>
      <w:r w:rsidR="00063991" w:rsidRPr="00F72310">
        <w:t xml:space="preserve">Box 4 is not meant to have a mandatory measured value for the substance under concern. A possible valid way to escape to box 5 would be also experience with data from similar compounds, an extrapolation from data of a small molecule to a larger unit etc. </w:t>
      </w:r>
    </w:p>
    <w:p w14:paraId="04203DFB" w14:textId="7FFCCDB6" w:rsidR="00063991" w:rsidRPr="00F72310" w:rsidRDefault="00F72310" w:rsidP="00F72310">
      <w:pPr>
        <w:pStyle w:val="SingleTxtG"/>
      </w:pPr>
      <w:r>
        <w:rPr>
          <w:lang w:val="fr-CH"/>
        </w:rPr>
        <w:t>37.</w:t>
      </w:r>
      <w:r>
        <w:rPr>
          <w:lang w:val="fr-CH"/>
        </w:rPr>
        <w:tab/>
      </w:r>
      <w:r w:rsidR="00063991" w:rsidRPr="00F72310">
        <w:t>Boxes 6 through 9 refer to the provisions in section 2.4.0.3.</w:t>
      </w:r>
    </w:p>
    <w:p w14:paraId="6919120E" w14:textId="2E4D0820" w:rsidR="00063991" w:rsidRPr="00F72310" w:rsidRDefault="00F72310" w:rsidP="00F72310">
      <w:pPr>
        <w:pStyle w:val="SingleTxtG"/>
      </w:pPr>
      <w:r>
        <w:rPr>
          <w:lang w:val="fr-CH"/>
        </w:rPr>
        <w:t>38.</w:t>
      </w:r>
      <w:r>
        <w:rPr>
          <w:lang w:val="fr-CH"/>
        </w:rPr>
        <w:tab/>
      </w:r>
      <w:r w:rsidR="00063991" w:rsidRPr="00F72310">
        <w:t>Box 10 would be new text requiring the determination of the decomposition behavior (energy and onset) of the sample for amounts exceeding 1</w:t>
      </w:r>
      <w:r w:rsidR="00F468F9" w:rsidRPr="00F72310">
        <w:t xml:space="preserve"> g or</w:t>
      </w:r>
      <w:r w:rsidR="00063991" w:rsidRPr="00F72310">
        <w:t xml:space="preserve"> 1 ml per sample. </w:t>
      </w:r>
    </w:p>
    <w:p w14:paraId="09A7D425" w14:textId="59D163E1" w:rsidR="002D75AB" w:rsidRPr="0064541A" w:rsidRDefault="00F72310" w:rsidP="00F72310">
      <w:pPr>
        <w:pStyle w:val="SingleTxtG"/>
        <w:rPr>
          <w:lang w:val="en-US"/>
        </w:rPr>
      </w:pPr>
      <w:r>
        <w:rPr>
          <w:lang w:val="en-US"/>
        </w:rPr>
        <w:lastRenderedPageBreak/>
        <w:t>39.</w:t>
      </w:r>
      <w:r>
        <w:rPr>
          <w:lang w:val="en-US"/>
        </w:rPr>
        <w:tab/>
      </w:r>
      <w:r w:rsidR="00864F0C">
        <w:rPr>
          <w:lang w:val="en-US"/>
        </w:rPr>
        <w:t xml:space="preserve">Box 11 identifies low </w:t>
      </w:r>
      <w:r w:rsidR="002D75AB" w:rsidRPr="0064541A">
        <w:rPr>
          <w:lang w:val="en-US"/>
        </w:rPr>
        <w:t xml:space="preserve">energy samples </w:t>
      </w:r>
      <w:r w:rsidR="00FB520A">
        <w:rPr>
          <w:lang w:val="en-US"/>
        </w:rPr>
        <w:t>that</w:t>
      </w:r>
    </w:p>
    <w:p w14:paraId="06823F53" w14:textId="6F4869EF" w:rsidR="002D75AB" w:rsidRPr="0064541A" w:rsidRDefault="00063991" w:rsidP="00F72310">
      <w:pPr>
        <w:pStyle w:val="SingleTxtG"/>
        <w:tabs>
          <w:tab w:val="left" w:pos="1701"/>
        </w:tabs>
        <w:ind w:left="2268" w:hanging="1134"/>
        <w:rPr>
          <w:lang w:val="en-US"/>
        </w:rPr>
      </w:pPr>
      <w:r>
        <w:rPr>
          <w:lang w:val="en-US"/>
        </w:rPr>
        <w:tab/>
      </w:r>
      <w:r w:rsidR="003C79AF">
        <w:rPr>
          <w:lang w:val="en-US"/>
        </w:rPr>
        <w:t>(a)</w:t>
      </w:r>
      <w:r w:rsidR="003C79AF">
        <w:rPr>
          <w:lang w:val="en-US"/>
        </w:rPr>
        <w:tab/>
      </w:r>
      <w:r w:rsidR="00FB520A">
        <w:rPr>
          <w:lang w:val="en-US"/>
        </w:rPr>
        <w:t>a</w:t>
      </w:r>
      <w:r w:rsidR="002D75AB" w:rsidRPr="0064541A">
        <w:rPr>
          <w:lang w:val="en-US"/>
        </w:rPr>
        <w:t>re no</w:t>
      </w:r>
      <w:r w:rsidR="00FB520A">
        <w:rPr>
          <w:lang w:val="en-US"/>
        </w:rPr>
        <w:t>t</w:t>
      </w:r>
      <w:r w:rsidR="002D75AB" w:rsidRPr="0064541A">
        <w:rPr>
          <w:lang w:val="en-US"/>
        </w:rPr>
        <w:t xml:space="preserve"> candidates for self-reactive substances due to their thermal stability, </w:t>
      </w:r>
      <w:r w:rsidR="003C79AF">
        <w:rPr>
          <w:lang w:val="en-US"/>
        </w:rPr>
        <w:tab/>
      </w:r>
      <w:r w:rsidR="003C79AF">
        <w:rPr>
          <w:lang w:val="en-US"/>
        </w:rPr>
        <w:tab/>
      </w:r>
      <w:r w:rsidR="002D75AB" w:rsidRPr="0064541A">
        <w:rPr>
          <w:lang w:val="en-US"/>
        </w:rPr>
        <w:t>and</w:t>
      </w:r>
    </w:p>
    <w:p w14:paraId="4DC40940" w14:textId="4814EB3D" w:rsidR="002D75AB" w:rsidRDefault="00063991" w:rsidP="00F72310">
      <w:pPr>
        <w:pStyle w:val="SingleTxtG"/>
        <w:tabs>
          <w:tab w:val="left" w:pos="1701"/>
        </w:tabs>
        <w:ind w:left="1701" w:hanging="567"/>
        <w:rPr>
          <w:lang w:val="en-US"/>
        </w:rPr>
      </w:pPr>
      <w:r>
        <w:rPr>
          <w:lang w:val="en-US"/>
        </w:rPr>
        <w:tab/>
      </w:r>
      <w:r w:rsidR="003C79AF">
        <w:rPr>
          <w:lang w:val="en-US"/>
        </w:rPr>
        <w:t>(b)</w:t>
      </w:r>
      <w:r w:rsidR="003C79AF">
        <w:rPr>
          <w:lang w:val="en-US"/>
        </w:rPr>
        <w:tab/>
      </w:r>
      <w:r w:rsidR="00FB520A">
        <w:rPr>
          <w:lang w:val="en-US"/>
        </w:rPr>
        <w:t>d</w:t>
      </w:r>
      <w:r w:rsidR="002D75AB" w:rsidRPr="0064541A">
        <w:rPr>
          <w:lang w:val="en-US"/>
        </w:rPr>
        <w:t xml:space="preserve">o not require the Class 1 acceptance procedure based on the criteria outlined </w:t>
      </w:r>
      <w:r w:rsidR="003C79AF">
        <w:rPr>
          <w:lang w:val="en-US"/>
        </w:rPr>
        <w:tab/>
      </w:r>
      <w:r w:rsidR="003C79AF">
        <w:rPr>
          <w:lang w:val="en-US"/>
        </w:rPr>
        <w:tab/>
      </w:r>
      <w:r w:rsidR="002D75AB" w:rsidRPr="0064541A">
        <w:rPr>
          <w:lang w:val="en-US"/>
        </w:rPr>
        <w:t xml:space="preserve">in table 6.2 of Annex 6 of the UN Manual of </w:t>
      </w:r>
      <w:r w:rsidR="00D24F5F" w:rsidRPr="0064541A">
        <w:rPr>
          <w:lang w:val="en-US"/>
        </w:rPr>
        <w:t>T</w:t>
      </w:r>
      <w:r w:rsidR="002D75AB" w:rsidRPr="0064541A">
        <w:rPr>
          <w:lang w:val="en-US"/>
        </w:rPr>
        <w:t>ests and Criteria.</w:t>
      </w:r>
    </w:p>
    <w:p w14:paraId="4D9C7A88" w14:textId="6803BDDE" w:rsidR="00F9176C" w:rsidRPr="00F72310" w:rsidRDefault="00F72310" w:rsidP="00F72310">
      <w:pPr>
        <w:pStyle w:val="SingleTxtG"/>
      </w:pPr>
      <w:r>
        <w:rPr>
          <w:lang w:val="fr-CH"/>
        </w:rPr>
        <w:t>40.</w:t>
      </w:r>
      <w:r>
        <w:rPr>
          <w:lang w:val="fr-CH"/>
        </w:rPr>
        <w:tab/>
      </w:r>
      <w:r w:rsidR="00F9176C" w:rsidRPr="00F72310">
        <w:t>If the decomposition onset is ≥ 180 °C, a temperature of 80 °C is considered safe according to the “100 K rule” applied in worldwide chemical safety assessment as a practical rule of thumb. Therefore, the SADT is expected to be &gt; 75 °C, and consequently, a classification as self-reactive according to 2.4.2.3.1.1 (e) can be ruled out (orange box in figure 1).</w:t>
      </w:r>
    </w:p>
    <w:p w14:paraId="5D819D09" w14:textId="60AE9157" w:rsidR="00F9176C" w:rsidRPr="00F72310" w:rsidRDefault="00F72310" w:rsidP="00F72310">
      <w:pPr>
        <w:pStyle w:val="SingleTxtG"/>
      </w:pPr>
      <w:r>
        <w:rPr>
          <w:lang w:val="fr-CH"/>
        </w:rPr>
        <w:t>41.</w:t>
      </w:r>
      <w:r>
        <w:rPr>
          <w:lang w:val="fr-CH"/>
        </w:rPr>
        <w:tab/>
      </w:r>
      <w:r w:rsidR="00F9176C" w:rsidRPr="00F72310">
        <w:t>For explosives, a lower energy limit of 500 J/g applies according to section 3.3 (c) in appendix 6 of the UN Test Manual (yellow box in figure 1).</w:t>
      </w:r>
      <w:r w:rsidR="00F23ADA" w:rsidRPr="00F72310">
        <w:t xml:space="preserve"> With respect to the decomposition onset, see the discussion in section 19 to 21 in this paper.</w:t>
      </w:r>
    </w:p>
    <w:p w14:paraId="74A3BBA1" w14:textId="30DD1B97" w:rsidR="00236EFA" w:rsidRPr="00F72310" w:rsidRDefault="00F72310" w:rsidP="00F72310">
      <w:pPr>
        <w:pStyle w:val="SingleTxtG"/>
      </w:pPr>
      <w:r>
        <w:rPr>
          <w:lang w:val="fr-CH"/>
        </w:rPr>
        <w:t>42.</w:t>
      </w:r>
      <w:r>
        <w:rPr>
          <w:lang w:val="fr-CH"/>
        </w:rPr>
        <w:tab/>
      </w:r>
      <w:r w:rsidR="00236EFA" w:rsidRPr="00F72310">
        <w:t xml:space="preserve">Boxes 14 to 21 establish the </w:t>
      </w:r>
      <w:r w:rsidR="00F23ADA" w:rsidRPr="00F72310">
        <w:t>criteria suggested in section 31</w:t>
      </w:r>
      <w:r w:rsidR="00236EFA" w:rsidRPr="00F72310">
        <w:t xml:space="preserve"> above.</w:t>
      </w:r>
    </w:p>
    <w:p w14:paraId="76511BD7" w14:textId="77777777" w:rsidR="00E85016" w:rsidRPr="0064541A" w:rsidRDefault="00740324" w:rsidP="00F841E1">
      <w:pPr>
        <w:pStyle w:val="SingleTxtG"/>
        <w:keepNext/>
        <w:tabs>
          <w:tab w:val="left" w:pos="1701"/>
        </w:tabs>
        <w:jc w:val="center"/>
        <w:rPr>
          <w:lang w:val="en-US"/>
        </w:rPr>
      </w:pPr>
      <w:r w:rsidRPr="0064541A">
        <w:rPr>
          <w:noProof/>
          <w:lang w:val="de-DE" w:eastAsia="de-DE"/>
        </w:rPr>
        <w:drawing>
          <wp:inline distT="0" distB="0" distL="0" distR="0" wp14:anchorId="1A404E05" wp14:editId="2FFDCF36">
            <wp:extent cx="3289465" cy="2929278"/>
            <wp:effectExtent l="0" t="0" r="635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3336" cy="2932725"/>
                    </a:xfrm>
                    <a:prstGeom prst="rect">
                      <a:avLst/>
                    </a:prstGeom>
                    <a:noFill/>
                  </pic:spPr>
                </pic:pic>
              </a:graphicData>
            </a:graphic>
          </wp:inline>
        </w:drawing>
      </w:r>
    </w:p>
    <w:p w14:paraId="20A5F10E" w14:textId="0A1D4770" w:rsidR="000764E5" w:rsidRPr="00F841E1" w:rsidRDefault="00E85016" w:rsidP="00F841E1">
      <w:pPr>
        <w:pStyle w:val="Caption"/>
        <w:ind w:left="567"/>
        <w:jc w:val="center"/>
        <w:rPr>
          <w:color w:val="auto"/>
          <w:sz w:val="20"/>
          <w:szCs w:val="20"/>
          <w:lang w:val="en-US"/>
        </w:rPr>
      </w:pPr>
      <w:r w:rsidRPr="00F841E1">
        <w:rPr>
          <w:color w:val="auto"/>
          <w:sz w:val="20"/>
          <w:szCs w:val="20"/>
          <w:lang w:val="en-US"/>
        </w:rPr>
        <w:t xml:space="preserve">Figure </w:t>
      </w:r>
      <w:r w:rsidR="00D4010A">
        <w:rPr>
          <w:color w:val="auto"/>
          <w:sz w:val="20"/>
          <w:szCs w:val="20"/>
          <w:lang w:val="en-US"/>
        </w:rPr>
        <w:fldChar w:fldCharType="begin"/>
      </w:r>
      <w:r w:rsidR="00D4010A">
        <w:rPr>
          <w:color w:val="auto"/>
          <w:sz w:val="20"/>
          <w:szCs w:val="20"/>
          <w:lang w:val="en-US"/>
        </w:rPr>
        <w:instrText xml:space="preserve"> SEQ Figure \* ARABIC </w:instrText>
      </w:r>
      <w:r w:rsidR="00D4010A">
        <w:rPr>
          <w:color w:val="auto"/>
          <w:sz w:val="20"/>
          <w:szCs w:val="20"/>
          <w:lang w:val="en-US"/>
        </w:rPr>
        <w:fldChar w:fldCharType="separate"/>
      </w:r>
      <w:r w:rsidR="00895381">
        <w:rPr>
          <w:noProof/>
          <w:color w:val="auto"/>
          <w:sz w:val="20"/>
          <w:szCs w:val="20"/>
          <w:lang w:val="en-US"/>
        </w:rPr>
        <w:t>2</w:t>
      </w:r>
      <w:r w:rsidR="00D4010A">
        <w:rPr>
          <w:color w:val="auto"/>
          <w:sz w:val="20"/>
          <w:szCs w:val="20"/>
          <w:lang w:val="en-US"/>
        </w:rPr>
        <w:fldChar w:fldCharType="end"/>
      </w:r>
      <w:r w:rsidRPr="00F841E1">
        <w:rPr>
          <w:color w:val="auto"/>
          <w:sz w:val="20"/>
          <w:szCs w:val="20"/>
          <w:lang w:val="en-US"/>
        </w:rPr>
        <w:t>: Tentative flowchart for energetic samples</w:t>
      </w:r>
    </w:p>
    <w:p w14:paraId="4963599B" w14:textId="77777777" w:rsidR="00F841E1" w:rsidRDefault="00F841E1" w:rsidP="00F841E1">
      <w:pPr>
        <w:pStyle w:val="SingleTxtG"/>
        <w:tabs>
          <w:tab w:val="left" w:pos="1701"/>
        </w:tabs>
        <w:ind w:firstLine="993"/>
        <w:jc w:val="left"/>
        <w:rPr>
          <w:noProof/>
          <w:lang w:val="en-US"/>
        </w:rPr>
      </w:pPr>
    </w:p>
    <w:p w14:paraId="1ADB831E" w14:textId="47B79FCE" w:rsidR="007F2B84" w:rsidRPr="0064541A" w:rsidRDefault="00B02815" w:rsidP="00F841E1">
      <w:pPr>
        <w:pStyle w:val="SingleTxtG"/>
        <w:tabs>
          <w:tab w:val="left" w:pos="1701"/>
        </w:tabs>
        <w:rPr>
          <w:sz w:val="22"/>
          <w:lang w:val="en-US"/>
        </w:rPr>
      </w:pPr>
      <w:r w:rsidRPr="0064541A">
        <w:rPr>
          <w:noProof/>
          <w:lang w:val="de-DE" w:eastAsia="de-DE"/>
        </w:rPr>
        <w:lastRenderedPageBreak/>
        <w:drawing>
          <wp:anchor distT="0" distB="0" distL="114300" distR="114300" simplePos="0" relativeHeight="251658240" behindDoc="1" locked="0" layoutInCell="1" allowOverlap="1" wp14:anchorId="370329B4" wp14:editId="3C961678">
            <wp:simplePos x="0" y="0"/>
            <wp:positionH relativeFrom="column">
              <wp:posOffset>1716405</wp:posOffset>
            </wp:positionH>
            <wp:positionV relativeFrom="paragraph">
              <wp:posOffset>9156700</wp:posOffset>
            </wp:positionV>
            <wp:extent cx="3336925" cy="195580"/>
            <wp:effectExtent l="0" t="0" r="0" b="0"/>
            <wp:wrapThrough wrapText="bothSides">
              <wp:wrapPolygon edited="0">
                <wp:start x="0" y="0"/>
                <wp:lineTo x="0" y="18935"/>
                <wp:lineTo x="21456" y="18935"/>
                <wp:lineTo x="2145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36925" cy="195580"/>
                    </a:xfrm>
                    <a:prstGeom prst="rect">
                      <a:avLst/>
                    </a:prstGeom>
                  </pic:spPr>
                </pic:pic>
              </a:graphicData>
            </a:graphic>
            <wp14:sizeRelH relativeFrom="page">
              <wp14:pctWidth>0</wp14:pctWidth>
            </wp14:sizeRelH>
            <wp14:sizeRelV relativeFrom="page">
              <wp14:pctHeight>0</wp14:pctHeight>
            </wp14:sizeRelV>
          </wp:anchor>
        </w:drawing>
      </w:r>
      <w:r w:rsidR="00BE56D3">
        <w:object w:dxaOrig="11026" w:dyaOrig="18448" w14:anchorId="45348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3pt;height:724.1pt" o:ole="">
            <v:imagedata r:id="rId11" o:title=""/>
          </v:shape>
          <o:OLEObject Type="Embed" ProgID="Visio.Drawing.11" ShapeID="_x0000_i1025" DrawAspect="Content" ObjectID="_1589351226" r:id="rId12"/>
        </w:object>
      </w:r>
      <w:r w:rsidR="00640963" w:rsidRPr="00F841E1">
        <w:rPr>
          <w:rStyle w:val="H1GChar"/>
        </w:rPr>
        <w:t>T</w:t>
      </w:r>
      <w:r w:rsidR="007F2B84" w:rsidRPr="00F841E1">
        <w:rPr>
          <w:rStyle w:val="H1GChar"/>
        </w:rPr>
        <w:t>hermal stability</w:t>
      </w:r>
    </w:p>
    <w:p w14:paraId="7241DFB3" w14:textId="4AD2A555" w:rsidR="00236EFA" w:rsidRPr="009F755C" w:rsidRDefault="009F755C" w:rsidP="009F755C">
      <w:pPr>
        <w:pStyle w:val="SingleTxtG"/>
      </w:pPr>
      <w:r>
        <w:rPr>
          <w:lang w:val="fr-CH"/>
        </w:rPr>
        <w:t>43</w:t>
      </w:r>
      <w:r w:rsidR="00F841E1" w:rsidRPr="009F755C">
        <w:t>.</w:t>
      </w:r>
      <w:r w:rsidR="00F841E1" w:rsidRPr="009F755C">
        <w:tab/>
      </w:r>
      <w:r w:rsidR="00236EFA" w:rsidRPr="009F755C">
        <w:t>The remaining issue</w:t>
      </w:r>
      <w:r w:rsidR="00F468F9" w:rsidRPr="009F755C">
        <w:t>s</w:t>
      </w:r>
      <w:r w:rsidR="00236EFA" w:rsidRPr="009F755C">
        <w:t xml:space="preserve"> to be solved </w:t>
      </w:r>
      <w:r w:rsidR="00F468F9" w:rsidRPr="009F755C">
        <w:t>are</w:t>
      </w:r>
      <w:r w:rsidR="00236EFA" w:rsidRPr="009F755C">
        <w:t xml:space="preserve"> thermal stability and</w:t>
      </w:r>
      <w:r w:rsidR="0040160B" w:rsidRPr="009F755C">
        <w:t>,</w:t>
      </w:r>
      <w:r w:rsidR="00236EFA" w:rsidRPr="009F755C">
        <w:t xml:space="preserve"> </w:t>
      </w:r>
      <w:r w:rsidR="00555F0F" w:rsidRPr="009F755C">
        <w:t>in this context</w:t>
      </w:r>
      <w:r w:rsidR="0040160B" w:rsidRPr="009F755C">
        <w:t>,</w:t>
      </w:r>
      <w:r w:rsidR="00555F0F" w:rsidRPr="009F755C">
        <w:t xml:space="preserve"> </w:t>
      </w:r>
      <w:r w:rsidR="00F468F9" w:rsidRPr="009F755C">
        <w:t>any</w:t>
      </w:r>
      <w:r w:rsidR="00236EFA" w:rsidRPr="009F755C">
        <w:t xml:space="preserve"> possible temperature control requirements (see box 13 of the flowchart).</w:t>
      </w:r>
    </w:p>
    <w:p w14:paraId="642FD301" w14:textId="5645D60B" w:rsidR="00303799" w:rsidRPr="009F755C" w:rsidRDefault="009F755C" w:rsidP="009F755C">
      <w:pPr>
        <w:pStyle w:val="SingleTxtG"/>
      </w:pPr>
      <w:r>
        <w:rPr>
          <w:lang w:val="fr-CH"/>
        </w:rPr>
        <w:t>44</w:t>
      </w:r>
      <w:r w:rsidR="00F841E1" w:rsidRPr="009F755C">
        <w:t>.</w:t>
      </w:r>
      <w:r w:rsidR="00F841E1" w:rsidRPr="009F755C">
        <w:tab/>
      </w:r>
      <w:r w:rsidR="00303799" w:rsidRPr="009F755C">
        <w:t>According to 2.4.2.3.4, temperature control is not required if the substance is thermally stable, i.e. SADT ≥ 60 °C.</w:t>
      </w:r>
    </w:p>
    <w:p w14:paraId="19BECCAB" w14:textId="6B417C11" w:rsidR="00303799" w:rsidRPr="009F755C" w:rsidRDefault="009F755C" w:rsidP="009F755C">
      <w:pPr>
        <w:pStyle w:val="SingleTxtG"/>
      </w:pPr>
      <w:r>
        <w:rPr>
          <w:lang w:val="fr-CH"/>
        </w:rPr>
        <w:t>45</w:t>
      </w:r>
      <w:r w:rsidR="00F841E1" w:rsidRPr="009F755C">
        <w:t>.</w:t>
      </w:r>
      <w:r w:rsidR="00F841E1" w:rsidRPr="009F755C">
        <w:tab/>
      </w:r>
      <w:r w:rsidR="00303799" w:rsidRPr="009F755C">
        <w:t xml:space="preserve">Since SADT tests H.1 to H.4 are not designed for small sample amounts, a thermal stress test is suggested as alternative approach. </w:t>
      </w:r>
      <w:r w:rsidR="00C17F49" w:rsidRPr="009F755C">
        <w:t xml:space="preserve">One such test is described below, which </w:t>
      </w:r>
      <w:r w:rsidR="00303799" w:rsidRPr="009F755C">
        <w:t xml:space="preserve">can be </w:t>
      </w:r>
      <w:r w:rsidR="002F603E" w:rsidRPr="009F755C">
        <w:t>easily</w:t>
      </w:r>
      <w:r w:rsidR="00303799" w:rsidRPr="009F755C">
        <w:t xml:space="preserve"> performed by DSC measurements.</w:t>
      </w:r>
    </w:p>
    <w:p w14:paraId="47BE86E6" w14:textId="712EAD2F" w:rsidR="002F603E" w:rsidRPr="009F755C" w:rsidRDefault="009F755C" w:rsidP="009F755C">
      <w:pPr>
        <w:pStyle w:val="SingleTxtG"/>
      </w:pPr>
      <w:r>
        <w:rPr>
          <w:lang w:val="fr-CH"/>
        </w:rPr>
        <w:t>46</w:t>
      </w:r>
      <w:r w:rsidR="00F841E1" w:rsidRPr="009F755C">
        <w:t>.</w:t>
      </w:r>
      <w:r w:rsidR="00F841E1" w:rsidRPr="009F755C">
        <w:tab/>
      </w:r>
      <w:r w:rsidR="002F603E" w:rsidRPr="009F755C">
        <w:t xml:space="preserve">The concept is to determine whether the decomposition behavior changes </w:t>
      </w:r>
      <w:r w:rsidR="0040160B" w:rsidRPr="009F755C">
        <w:t>after the application of</w:t>
      </w:r>
      <w:r w:rsidR="002F603E" w:rsidRPr="009F755C">
        <w:t xml:space="preserve"> thermal stress for a defined period of time. For practical reasons, 24 hours are suggested.</w:t>
      </w:r>
    </w:p>
    <w:p w14:paraId="734A0A08" w14:textId="5C7F30F2" w:rsidR="002F603E" w:rsidRPr="009F755C" w:rsidRDefault="009F755C" w:rsidP="009F755C">
      <w:pPr>
        <w:pStyle w:val="SingleTxtG"/>
      </w:pPr>
      <w:r>
        <w:rPr>
          <w:lang w:val="fr-CH"/>
        </w:rPr>
        <w:t>47</w:t>
      </w:r>
      <w:r w:rsidR="00F841E1" w:rsidRPr="009F755C">
        <w:t>.</w:t>
      </w:r>
      <w:r w:rsidR="00F841E1" w:rsidRPr="009F755C">
        <w:tab/>
      </w:r>
      <w:r w:rsidR="002F603E" w:rsidRPr="009F755C">
        <w:t>A screening DSC (heating rate 2-5 K/min in a closed crucible; see UN M</w:t>
      </w:r>
      <w:r w:rsidR="00B22E1D" w:rsidRPr="009F755C">
        <w:t>anual of Tests and Criteria, section</w:t>
      </w:r>
      <w:r w:rsidR="002F603E" w:rsidRPr="009F755C">
        <w:t xml:space="preserve"> 20.3.3.3) is measured for the sample as offered for transport. A second sample is taken, and thermal stress is applied (practically realized by tempering the sample in a DSC crucible at a defined </w:t>
      </w:r>
      <w:r w:rsidR="00B22E1D" w:rsidRPr="009F755C">
        <w:t xml:space="preserve">constant </w:t>
      </w:r>
      <w:r w:rsidR="002F603E" w:rsidRPr="009F755C">
        <w:t>temperature over a certain period of time</w:t>
      </w:r>
      <w:r w:rsidR="00A128D7" w:rsidRPr="009F755C">
        <w:t xml:space="preserve">; </w:t>
      </w:r>
      <w:r w:rsidR="002F603E" w:rsidRPr="009F755C">
        <w:t>see above).</w:t>
      </w:r>
    </w:p>
    <w:p w14:paraId="7A6FC4FF" w14:textId="16DB6494" w:rsidR="004B3B95" w:rsidRPr="009F755C" w:rsidRDefault="009F755C" w:rsidP="009F755C">
      <w:pPr>
        <w:pStyle w:val="SingleTxtG"/>
      </w:pPr>
      <w:r>
        <w:rPr>
          <w:lang w:val="fr-CH"/>
        </w:rPr>
        <w:t>48</w:t>
      </w:r>
      <w:r w:rsidR="00F841E1" w:rsidRPr="009F755C">
        <w:t>.</w:t>
      </w:r>
      <w:r w:rsidR="00F841E1" w:rsidRPr="009F755C">
        <w:tab/>
      </w:r>
      <w:r w:rsidR="00FD3F04" w:rsidRPr="009F755C">
        <w:t>If the decomposition behavior remains unchanged in terms of decomposition onset, shape of curve</w:t>
      </w:r>
      <w:r w:rsidR="00910348" w:rsidRPr="009F755C">
        <w:t>,</w:t>
      </w:r>
      <w:r w:rsidR="00FD3F04" w:rsidRPr="009F755C">
        <w:t xml:space="preserve"> and energy within a measurement uncertainty of 10%, </w:t>
      </w:r>
      <w:r w:rsidR="00910348" w:rsidRPr="009F755C">
        <w:t xml:space="preserve">then </w:t>
      </w:r>
      <w:r w:rsidR="00FD3F04" w:rsidRPr="009F755C">
        <w:t xml:space="preserve">the sample is stable at the </w:t>
      </w:r>
      <w:r w:rsidR="00F468F9" w:rsidRPr="009F755C">
        <w:t xml:space="preserve">applied </w:t>
      </w:r>
      <w:r w:rsidR="00FD3F04" w:rsidRPr="009F755C">
        <w:t>stress temperature.</w:t>
      </w:r>
      <w:r w:rsidR="00E964B9" w:rsidRPr="009F755C">
        <w:t xml:space="preserve"> If the stress test is passed at 60 °C, no temperature control is required.</w:t>
      </w:r>
      <w:r w:rsidR="004B3B95" w:rsidRPr="009F755C">
        <w:t xml:space="preserve"> For a conservative approach, the decomposition onset should be taken as the temperature of the first noticeable exothermic effect (i.e. the heat production signal leaves the baseline).</w:t>
      </w:r>
    </w:p>
    <w:p w14:paraId="2CE560A6" w14:textId="41B7EF53" w:rsidR="00E964B9" w:rsidRPr="009F755C" w:rsidRDefault="009F755C" w:rsidP="009F755C">
      <w:pPr>
        <w:pStyle w:val="SingleTxtG"/>
      </w:pPr>
      <w:r>
        <w:rPr>
          <w:lang w:val="fr-CH"/>
        </w:rPr>
        <w:t>49</w:t>
      </w:r>
      <w:r w:rsidR="00F841E1" w:rsidRPr="009F755C">
        <w:t>.</w:t>
      </w:r>
      <w:r w:rsidR="00F841E1" w:rsidRPr="009F755C">
        <w:tab/>
      </w:r>
      <w:r w:rsidR="00B22E1D" w:rsidRPr="009F755C">
        <w:t xml:space="preserve">In case the stress test at 60 °C is not passed, the same </w:t>
      </w:r>
      <w:r w:rsidR="00635DFD" w:rsidRPr="009F755C">
        <w:t>procedure</w:t>
      </w:r>
      <w:r w:rsidR="00B22E1D" w:rsidRPr="009F755C">
        <w:t xml:space="preserve"> should be applied at decreasing temperatures in steps of 10 K until the decomposition behavior remains unchanged. That temperature should be deemed the</w:t>
      </w:r>
      <w:r w:rsidR="00910348" w:rsidRPr="009F755C">
        <w:t xml:space="preserve"> estimated</w:t>
      </w:r>
      <w:r w:rsidR="00B22E1D" w:rsidRPr="009F755C">
        <w:t xml:space="preserve"> SADT of the sample, and the control and emergency temperatures may then </w:t>
      </w:r>
      <w:r w:rsidR="00635DFD" w:rsidRPr="009F755C">
        <w:t xml:space="preserve">be </w:t>
      </w:r>
      <w:r w:rsidR="00B22E1D" w:rsidRPr="009F755C">
        <w:t>derived in accordance with section 28.2.3 and table 28.2 of the UN Manual of Tests and Criteria.</w:t>
      </w:r>
    </w:p>
    <w:p w14:paraId="76B99D70" w14:textId="7CD88DF6" w:rsidR="00A53E92" w:rsidRPr="0064541A" w:rsidRDefault="009F755C" w:rsidP="00F12DE6">
      <w:pPr>
        <w:pStyle w:val="SingleTxtG"/>
        <w:ind w:left="1120" w:firstLine="28"/>
        <w:rPr>
          <w:lang w:val="en-US"/>
        </w:rPr>
      </w:pPr>
      <w:r>
        <w:rPr>
          <w:lang w:val="en-US"/>
        </w:rPr>
        <w:t>50</w:t>
      </w:r>
      <w:r w:rsidR="00F841E1">
        <w:rPr>
          <w:lang w:val="en-US"/>
        </w:rPr>
        <w:t>.</w:t>
      </w:r>
      <w:r w:rsidR="00F841E1">
        <w:rPr>
          <w:lang w:val="en-US"/>
        </w:rPr>
        <w:tab/>
      </w:r>
      <w:r w:rsidR="00A53E92" w:rsidRPr="0064541A">
        <w:rPr>
          <w:lang w:val="en-US"/>
        </w:rPr>
        <w:t xml:space="preserve">An example of a sample passing the thermal stress test as described above is given in figure 3. It is obvious that the </w:t>
      </w:r>
      <w:r w:rsidR="00A53E92" w:rsidRPr="00AC236C">
        <w:rPr>
          <w:lang w:val="en-US"/>
        </w:rPr>
        <w:t>shape</w:t>
      </w:r>
      <w:r w:rsidR="00626F74" w:rsidRPr="00AC236C">
        <w:rPr>
          <w:lang w:val="en-US"/>
        </w:rPr>
        <w:t>,</w:t>
      </w:r>
      <w:r w:rsidR="00A53E92" w:rsidRPr="00AC236C">
        <w:rPr>
          <w:lang w:val="en-US"/>
        </w:rPr>
        <w:t xml:space="preserve"> the location of the curve</w:t>
      </w:r>
      <w:r w:rsidR="00626F74" w:rsidRPr="00AC236C">
        <w:rPr>
          <w:lang w:val="en-US"/>
        </w:rPr>
        <w:t>,</w:t>
      </w:r>
      <w:r w:rsidR="00A53E92" w:rsidRPr="00AC236C">
        <w:rPr>
          <w:lang w:val="en-US"/>
        </w:rPr>
        <w:t xml:space="preserve"> as</w:t>
      </w:r>
      <w:r w:rsidR="00A53E92" w:rsidRPr="0064541A">
        <w:rPr>
          <w:lang w:val="en-US"/>
        </w:rPr>
        <w:t xml:space="preserve"> well as the energy values remain unchanged within the tolerance of measurement. </w:t>
      </w:r>
      <w:r w:rsidR="00280544" w:rsidRPr="0064541A">
        <w:rPr>
          <w:lang w:val="en-US"/>
        </w:rPr>
        <w:t>Also, the endothermic melting peak has not changed.</w:t>
      </w:r>
    </w:p>
    <w:p w14:paraId="49D9C96C" w14:textId="5B4DC101" w:rsidR="00A53E92" w:rsidRPr="0064541A" w:rsidRDefault="00FF78A2" w:rsidP="00A53E92">
      <w:pPr>
        <w:pStyle w:val="SingleTxtG"/>
        <w:keepNext/>
        <w:tabs>
          <w:tab w:val="left" w:pos="1701"/>
        </w:tabs>
        <w:rPr>
          <w:lang w:val="en-US"/>
        </w:rPr>
      </w:pPr>
      <w:r>
        <w:rPr>
          <w:noProof/>
        </w:rPr>
        <w:object w:dxaOrig="22950" w:dyaOrig="14189" w14:anchorId="7B1AFC30">
          <v:shape id="_x0000_i1026" type="#_x0000_t75" style="width:363.75pt;height:226.3pt" o:ole="">
            <v:imagedata r:id="rId13" o:title=""/>
          </v:shape>
          <o:OLEObject Type="Embed" ProgID="Unknown" ShapeID="_x0000_i1026" DrawAspect="Content" ObjectID="_1589351227" r:id="rId14"/>
        </w:object>
      </w:r>
    </w:p>
    <w:p w14:paraId="43111844" w14:textId="64453C57" w:rsidR="00B22E1D" w:rsidRPr="0064541A" w:rsidRDefault="00A53E92" w:rsidP="00E64843">
      <w:pPr>
        <w:pStyle w:val="Caption"/>
        <w:ind w:left="567"/>
        <w:jc w:val="center"/>
        <w:rPr>
          <w:color w:val="auto"/>
          <w:lang w:val="en-US"/>
        </w:rPr>
      </w:pPr>
      <w:r w:rsidRPr="0064541A">
        <w:rPr>
          <w:color w:val="auto"/>
          <w:lang w:val="en-US"/>
        </w:rPr>
        <w:t xml:space="preserve">Figure </w:t>
      </w:r>
      <w:r w:rsidR="00D4010A">
        <w:rPr>
          <w:color w:val="auto"/>
          <w:lang w:val="en-US"/>
        </w:rPr>
        <w:fldChar w:fldCharType="begin"/>
      </w:r>
      <w:r w:rsidR="00D4010A">
        <w:rPr>
          <w:color w:val="auto"/>
          <w:lang w:val="en-US"/>
        </w:rPr>
        <w:instrText xml:space="preserve"> SEQ Figure \* ARABIC </w:instrText>
      </w:r>
      <w:r w:rsidR="00D4010A">
        <w:rPr>
          <w:color w:val="auto"/>
          <w:lang w:val="en-US"/>
        </w:rPr>
        <w:fldChar w:fldCharType="separate"/>
      </w:r>
      <w:r w:rsidR="00895381">
        <w:rPr>
          <w:noProof/>
          <w:color w:val="auto"/>
          <w:lang w:val="en-US"/>
        </w:rPr>
        <w:t>3</w:t>
      </w:r>
      <w:r w:rsidR="00D4010A">
        <w:rPr>
          <w:color w:val="auto"/>
          <w:lang w:val="en-US"/>
        </w:rPr>
        <w:fldChar w:fldCharType="end"/>
      </w:r>
      <w:r w:rsidR="00DE7C9D">
        <w:rPr>
          <w:color w:val="auto"/>
          <w:lang w:val="en-US"/>
        </w:rPr>
        <w:t>:</w:t>
      </w:r>
      <w:r w:rsidRPr="0064541A">
        <w:rPr>
          <w:color w:val="auto"/>
          <w:lang w:val="en-US"/>
        </w:rPr>
        <w:t xml:space="preserve"> Example of a sample passing the thermal stress test</w:t>
      </w:r>
    </w:p>
    <w:p w14:paraId="01DCAEFD" w14:textId="1ECF5703" w:rsidR="00635DFD" w:rsidRPr="0064541A" w:rsidRDefault="009F755C" w:rsidP="009F755C">
      <w:pPr>
        <w:pStyle w:val="SingleTxtG"/>
        <w:rPr>
          <w:lang w:val="en-US"/>
        </w:rPr>
      </w:pPr>
      <w:r>
        <w:rPr>
          <w:lang w:val="en-US"/>
        </w:rPr>
        <w:lastRenderedPageBreak/>
        <w:t>51</w:t>
      </w:r>
      <w:r w:rsidR="00E64843">
        <w:rPr>
          <w:lang w:val="en-US"/>
        </w:rPr>
        <w:t>.</w:t>
      </w:r>
      <w:r w:rsidR="00E64843">
        <w:rPr>
          <w:lang w:val="en-US"/>
        </w:rPr>
        <w:tab/>
      </w:r>
      <w:r w:rsidR="00D742AC" w:rsidRPr="0064541A">
        <w:rPr>
          <w:lang w:val="en-US"/>
        </w:rPr>
        <w:t>An example of a negative outcome of the thermal stress test is given in figure 4: Upon thermal stress, the shape of the curve has changed dramatically. The first peak at about 100 °C has completely disappeared, and the decomposition energy has decreased by about 20%. These findings are clear evidence that a reaction has taken place under the conditions of thermal stress applied, and thus temperature control would be necessary.</w:t>
      </w:r>
    </w:p>
    <w:p w14:paraId="0A31E1ED" w14:textId="77777777" w:rsidR="00635DFD" w:rsidRPr="0064541A" w:rsidRDefault="00DE7C9D" w:rsidP="00635DFD">
      <w:pPr>
        <w:pStyle w:val="SingleTxtG"/>
        <w:tabs>
          <w:tab w:val="left" w:pos="1701"/>
        </w:tabs>
        <w:rPr>
          <w:lang w:val="en-US"/>
        </w:rPr>
      </w:pPr>
      <w:r>
        <w:rPr>
          <w:noProof/>
          <w:lang w:val="de-DE" w:eastAsia="de-DE"/>
        </w:rPr>
        <w:drawing>
          <wp:inline distT="0" distB="0" distL="0" distR="0" wp14:anchorId="49C30644" wp14:editId="59D42F06">
            <wp:extent cx="4810562" cy="3119029"/>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38829" cy="3137356"/>
                    </a:xfrm>
                    <a:prstGeom prst="rect">
                      <a:avLst/>
                    </a:prstGeom>
                  </pic:spPr>
                </pic:pic>
              </a:graphicData>
            </a:graphic>
          </wp:inline>
        </w:drawing>
      </w:r>
    </w:p>
    <w:p w14:paraId="36B4F58D" w14:textId="04B26E5C" w:rsidR="00DE7C9D" w:rsidRPr="0064541A" w:rsidRDefault="00DE7C9D" w:rsidP="008C2A40">
      <w:pPr>
        <w:pStyle w:val="Caption"/>
        <w:ind w:left="567"/>
        <w:jc w:val="center"/>
        <w:rPr>
          <w:color w:val="auto"/>
          <w:lang w:val="en-US"/>
        </w:rPr>
      </w:pPr>
      <w:r w:rsidRPr="0064541A">
        <w:rPr>
          <w:color w:val="auto"/>
          <w:lang w:val="en-US"/>
        </w:rPr>
        <w:t xml:space="preserve">Figure </w:t>
      </w:r>
      <w:r w:rsidR="00D4010A">
        <w:rPr>
          <w:color w:val="auto"/>
          <w:lang w:val="en-US"/>
        </w:rPr>
        <w:fldChar w:fldCharType="begin"/>
      </w:r>
      <w:r w:rsidR="00D4010A">
        <w:rPr>
          <w:color w:val="auto"/>
          <w:lang w:val="en-US"/>
        </w:rPr>
        <w:instrText xml:space="preserve"> SEQ Figure \* ARABIC </w:instrText>
      </w:r>
      <w:r w:rsidR="00D4010A">
        <w:rPr>
          <w:color w:val="auto"/>
          <w:lang w:val="en-US"/>
        </w:rPr>
        <w:fldChar w:fldCharType="separate"/>
      </w:r>
      <w:r w:rsidR="00895381">
        <w:rPr>
          <w:noProof/>
          <w:color w:val="auto"/>
          <w:lang w:val="en-US"/>
        </w:rPr>
        <w:t>4</w:t>
      </w:r>
      <w:r w:rsidR="00D4010A">
        <w:rPr>
          <w:color w:val="auto"/>
          <w:lang w:val="en-US"/>
        </w:rPr>
        <w:fldChar w:fldCharType="end"/>
      </w:r>
      <w:r>
        <w:rPr>
          <w:color w:val="auto"/>
          <w:lang w:val="en-US"/>
        </w:rPr>
        <w:t>:</w:t>
      </w:r>
      <w:r w:rsidRPr="0064541A">
        <w:rPr>
          <w:color w:val="auto"/>
          <w:lang w:val="en-US"/>
        </w:rPr>
        <w:t xml:space="preserve"> Example of a sample </w:t>
      </w:r>
      <w:r>
        <w:rPr>
          <w:color w:val="auto"/>
          <w:lang w:val="en-US"/>
        </w:rPr>
        <w:t>failing</w:t>
      </w:r>
      <w:r w:rsidRPr="0064541A">
        <w:rPr>
          <w:color w:val="auto"/>
          <w:lang w:val="en-US"/>
        </w:rPr>
        <w:t xml:space="preserve"> the thermal stress test</w:t>
      </w:r>
    </w:p>
    <w:p w14:paraId="582B9827" w14:textId="6965596F" w:rsidR="00FA2C63" w:rsidRPr="0064541A" w:rsidRDefault="009F755C" w:rsidP="008C2A40">
      <w:pPr>
        <w:pStyle w:val="SingleTxtG"/>
        <w:rPr>
          <w:lang w:val="en-US"/>
        </w:rPr>
      </w:pPr>
      <w:r>
        <w:rPr>
          <w:lang w:val="en-US"/>
        </w:rPr>
        <w:t>52</w:t>
      </w:r>
      <w:r w:rsidR="008C2A40">
        <w:rPr>
          <w:lang w:val="en-US"/>
        </w:rPr>
        <w:t>.</w:t>
      </w:r>
      <w:r w:rsidR="008C2A40">
        <w:rPr>
          <w:lang w:val="en-US"/>
        </w:rPr>
        <w:tab/>
      </w:r>
      <w:r w:rsidR="004B3B95" w:rsidRPr="0064541A">
        <w:rPr>
          <w:lang w:val="en-US"/>
        </w:rPr>
        <w:t>According to the so-called “100 K rule”, sufficient thermal stability may be assumed if the decomposition onset in the screening DSC is 160 °C or above, thus no</w:t>
      </w:r>
      <w:r w:rsidR="00253082" w:rsidRPr="0064541A">
        <w:rPr>
          <w:lang w:val="en-US"/>
        </w:rPr>
        <w:t>t</w:t>
      </w:r>
      <w:r w:rsidR="004B3B95" w:rsidRPr="0064541A">
        <w:rPr>
          <w:lang w:val="en-US"/>
        </w:rPr>
        <w:t xml:space="preserve"> requiring temperature control.</w:t>
      </w:r>
    </w:p>
    <w:p w14:paraId="1B79085B" w14:textId="201429D7" w:rsidR="00640963" w:rsidRPr="0064541A" w:rsidRDefault="009F755C" w:rsidP="008C2A40">
      <w:pPr>
        <w:pStyle w:val="SingleTxtG"/>
        <w:ind w:left="1701" w:hanging="581"/>
        <w:rPr>
          <w:lang w:val="en-US"/>
        </w:rPr>
      </w:pPr>
      <w:r>
        <w:rPr>
          <w:lang w:val="en-US"/>
        </w:rPr>
        <w:t>53</w:t>
      </w:r>
      <w:r w:rsidR="008C2A40">
        <w:rPr>
          <w:lang w:val="en-US"/>
        </w:rPr>
        <w:t>.</w:t>
      </w:r>
      <w:r w:rsidR="008C2A40">
        <w:rPr>
          <w:lang w:val="en-US"/>
        </w:rPr>
        <w:tab/>
      </w:r>
      <w:r w:rsidR="00640963" w:rsidRPr="0064541A">
        <w:rPr>
          <w:lang w:val="en-US"/>
        </w:rPr>
        <w:t>A flowchart for the procedure described above i</w:t>
      </w:r>
      <w:r w:rsidR="000934D4">
        <w:rPr>
          <w:lang w:val="en-US"/>
        </w:rPr>
        <w:t>s</w:t>
      </w:r>
      <w:r w:rsidR="00640963" w:rsidRPr="0064541A">
        <w:rPr>
          <w:lang w:val="en-US"/>
        </w:rPr>
        <w:t xml:space="preserve"> shown in figure 5.</w:t>
      </w:r>
    </w:p>
    <w:p w14:paraId="0D424C06" w14:textId="77777777" w:rsidR="00741DCE" w:rsidRPr="0064541A" w:rsidRDefault="00741DCE" w:rsidP="00741DCE">
      <w:pPr>
        <w:pStyle w:val="SingleTxtG"/>
        <w:tabs>
          <w:tab w:val="left" w:pos="1701"/>
        </w:tabs>
        <w:rPr>
          <w:lang w:val="en-US"/>
        </w:rPr>
      </w:pPr>
    </w:p>
    <w:p w14:paraId="436B482A" w14:textId="77777777" w:rsidR="007F2B84" w:rsidRPr="0064541A" w:rsidRDefault="00640963" w:rsidP="007F2B84">
      <w:pPr>
        <w:rPr>
          <w:lang w:val="en-US"/>
        </w:rPr>
      </w:pPr>
      <w:r w:rsidRPr="0064541A">
        <w:rPr>
          <w:noProof/>
          <w:lang w:val="de-DE" w:eastAsia="de-DE"/>
        </w:rPr>
        <w:drawing>
          <wp:anchor distT="0" distB="0" distL="114300" distR="114300" simplePos="0" relativeHeight="251660288" behindDoc="1" locked="0" layoutInCell="1" allowOverlap="1" wp14:anchorId="3C1CEE98" wp14:editId="3CFA08E6">
            <wp:simplePos x="0" y="0"/>
            <wp:positionH relativeFrom="column">
              <wp:posOffset>775335</wp:posOffset>
            </wp:positionH>
            <wp:positionV relativeFrom="paragraph">
              <wp:posOffset>47625</wp:posOffset>
            </wp:positionV>
            <wp:extent cx="4801870" cy="2858135"/>
            <wp:effectExtent l="0" t="0" r="0" b="0"/>
            <wp:wrapTight wrapText="bothSides">
              <wp:wrapPolygon edited="0">
                <wp:start x="514" y="0"/>
                <wp:lineTo x="428" y="2735"/>
                <wp:lineTo x="2314" y="4751"/>
                <wp:lineTo x="0" y="7198"/>
                <wp:lineTo x="0" y="7486"/>
                <wp:lineTo x="1971" y="9358"/>
                <wp:lineTo x="2999" y="11661"/>
                <wp:lineTo x="771" y="12669"/>
                <wp:lineTo x="428" y="12957"/>
                <wp:lineTo x="428" y="15693"/>
                <wp:lineTo x="2999" y="16268"/>
                <wp:lineTo x="9597" y="16268"/>
                <wp:lineTo x="257" y="17564"/>
                <wp:lineTo x="257" y="20875"/>
                <wp:lineTo x="9169" y="21307"/>
                <wp:lineTo x="9512" y="21307"/>
                <wp:lineTo x="16281" y="20875"/>
                <wp:lineTo x="21423" y="19724"/>
                <wp:lineTo x="21509" y="16844"/>
                <wp:lineTo x="21166" y="16556"/>
                <wp:lineTo x="20052" y="16268"/>
                <wp:lineTo x="21423" y="15117"/>
                <wp:lineTo x="21509" y="6191"/>
                <wp:lineTo x="21166" y="5903"/>
                <wp:lineTo x="18595" y="4751"/>
                <wp:lineTo x="21080" y="4751"/>
                <wp:lineTo x="21509" y="4463"/>
                <wp:lineTo x="21509" y="2016"/>
                <wp:lineTo x="20994" y="1584"/>
                <wp:lineTo x="18595" y="0"/>
                <wp:lineTo x="514" y="0"/>
              </wp:wrapPolygon>
            </wp:wrapTight>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1870" cy="2858135"/>
                    </a:xfrm>
                    <a:prstGeom prst="rect">
                      <a:avLst/>
                    </a:prstGeom>
                    <a:noFill/>
                  </pic:spPr>
                </pic:pic>
              </a:graphicData>
            </a:graphic>
            <wp14:sizeRelH relativeFrom="page">
              <wp14:pctWidth>0</wp14:pctWidth>
            </wp14:sizeRelH>
            <wp14:sizeRelV relativeFrom="page">
              <wp14:pctHeight>0</wp14:pctHeight>
            </wp14:sizeRelV>
          </wp:anchor>
        </w:drawing>
      </w:r>
    </w:p>
    <w:p w14:paraId="05BC3FC3" w14:textId="77777777" w:rsidR="00B02815" w:rsidRPr="0064541A" w:rsidRDefault="00B02815" w:rsidP="007F2B84">
      <w:pPr>
        <w:rPr>
          <w:lang w:val="en-US"/>
        </w:rPr>
      </w:pPr>
    </w:p>
    <w:p w14:paraId="21E6E0C7" w14:textId="77777777" w:rsidR="00B02815" w:rsidRPr="0064541A" w:rsidRDefault="00B02815" w:rsidP="007F2B84">
      <w:pPr>
        <w:rPr>
          <w:lang w:val="en-US"/>
        </w:rPr>
      </w:pPr>
    </w:p>
    <w:p w14:paraId="3149E9F7" w14:textId="77777777" w:rsidR="00B02815" w:rsidRPr="0064541A" w:rsidRDefault="00B02815" w:rsidP="007F2B84">
      <w:pPr>
        <w:rPr>
          <w:lang w:val="en-US"/>
        </w:rPr>
      </w:pPr>
    </w:p>
    <w:p w14:paraId="7BA180FE" w14:textId="77777777" w:rsidR="00B02815" w:rsidRPr="0064541A" w:rsidRDefault="00B02815" w:rsidP="007F2B84">
      <w:pPr>
        <w:rPr>
          <w:lang w:val="en-US"/>
        </w:rPr>
      </w:pPr>
    </w:p>
    <w:p w14:paraId="7DDE8F6C" w14:textId="77777777" w:rsidR="00640963" w:rsidRPr="0064541A" w:rsidRDefault="00640963" w:rsidP="007F2B84">
      <w:pPr>
        <w:rPr>
          <w:lang w:val="en-US"/>
        </w:rPr>
      </w:pPr>
    </w:p>
    <w:p w14:paraId="5E312BE0" w14:textId="77777777" w:rsidR="00640963" w:rsidRPr="0064541A" w:rsidRDefault="00640963" w:rsidP="007F2B84">
      <w:pPr>
        <w:rPr>
          <w:lang w:val="en-US"/>
        </w:rPr>
      </w:pPr>
    </w:p>
    <w:p w14:paraId="1F6D2424" w14:textId="77777777" w:rsidR="00640963" w:rsidRPr="0064541A" w:rsidRDefault="00640963" w:rsidP="007F2B84">
      <w:pPr>
        <w:rPr>
          <w:lang w:val="en-US"/>
        </w:rPr>
      </w:pPr>
    </w:p>
    <w:p w14:paraId="391044E8" w14:textId="77777777" w:rsidR="00640963" w:rsidRPr="0064541A" w:rsidRDefault="00640963" w:rsidP="007F2B84">
      <w:pPr>
        <w:rPr>
          <w:lang w:val="en-US"/>
        </w:rPr>
      </w:pPr>
    </w:p>
    <w:p w14:paraId="40304B3A" w14:textId="77777777" w:rsidR="00640963" w:rsidRPr="0064541A" w:rsidRDefault="00640963" w:rsidP="007F2B84">
      <w:pPr>
        <w:rPr>
          <w:lang w:val="en-US"/>
        </w:rPr>
      </w:pPr>
    </w:p>
    <w:p w14:paraId="17C2CCD6" w14:textId="77777777" w:rsidR="00640963" w:rsidRPr="0064541A" w:rsidRDefault="00640963" w:rsidP="007F2B84">
      <w:pPr>
        <w:rPr>
          <w:lang w:val="en-US"/>
        </w:rPr>
      </w:pPr>
    </w:p>
    <w:p w14:paraId="2738DC46" w14:textId="77777777" w:rsidR="00640963" w:rsidRPr="0064541A" w:rsidRDefault="00640963" w:rsidP="007F2B84">
      <w:pPr>
        <w:rPr>
          <w:lang w:val="en-US"/>
        </w:rPr>
      </w:pPr>
    </w:p>
    <w:p w14:paraId="4B673B8D" w14:textId="77777777" w:rsidR="00640963" w:rsidRPr="0064541A" w:rsidRDefault="00640963" w:rsidP="007F2B84">
      <w:pPr>
        <w:rPr>
          <w:lang w:val="en-US"/>
        </w:rPr>
      </w:pPr>
    </w:p>
    <w:p w14:paraId="52646D0F" w14:textId="77777777" w:rsidR="00640963" w:rsidRPr="0064541A" w:rsidRDefault="00640963" w:rsidP="007F2B84">
      <w:pPr>
        <w:rPr>
          <w:lang w:val="en-US"/>
        </w:rPr>
      </w:pPr>
    </w:p>
    <w:p w14:paraId="71B8B44F" w14:textId="77777777" w:rsidR="00640963" w:rsidRPr="0064541A" w:rsidRDefault="00640963" w:rsidP="007F2B84">
      <w:pPr>
        <w:rPr>
          <w:lang w:val="en-US"/>
        </w:rPr>
      </w:pPr>
    </w:p>
    <w:p w14:paraId="55EA2F10" w14:textId="77777777" w:rsidR="00640963" w:rsidRPr="0064541A" w:rsidRDefault="00640963" w:rsidP="007F2B84">
      <w:pPr>
        <w:rPr>
          <w:lang w:val="en-US"/>
        </w:rPr>
      </w:pPr>
    </w:p>
    <w:p w14:paraId="141C561A" w14:textId="77777777" w:rsidR="00B02815" w:rsidRPr="0064541A" w:rsidRDefault="00B02815" w:rsidP="007F2B84">
      <w:pPr>
        <w:rPr>
          <w:lang w:val="en-US"/>
        </w:rPr>
      </w:pPr>
    </w:p>
    <w:p w14:paraId="1E1FDC65" w14:textId="77777777" w:rsidR="00640963" w:rsidRPr="0064541A" w:rsidRDefault="00640963" w:rsidP="007F2B84">
      <w:pPr>
        <w:rPr>
          <w:lang w:val="en-US"/>
        </w:rPr>
      </w:pPr>
    </w:p>
    <w:p w14:paraId="4756C3F7" w14:textId="77777777" w:rsidR="00640963" w:rsidRPr="0064541A" w:rsidRDefault="00640963" w:rsidP="007F2B84">
      <w:pPr>
        <w:rPr>
          <w:lang w:val="en-US"/>
        </w:rPr>
      </w:pPr>
    </w:p>
    <w:p w14:paraId="66A8BA30" w14:textId="77777777" w:rsidR="00640963" w:rsidRPr="0064541A" w:rsidRDefault="00640963" w:rsidP="008C2A40">
      <w:pPr>
        <w:jc w:val="center"/>
        <w:rPr>
          <w:lang w:val="en-US"/>
        </w:rPr>
      </w:pPr>
      <w:r w:rsidRPr="0064541A">
        <w:rPr>
          <w:noProof/>
          <w:lang w:val="de-DE" w:eastAsia="de-DE"/>
        </w:rPr>
        <mc:AlternateContent>
          <mc:Choice Requires="wps">
            <w:drawing>
              <wp:anchor distT="0" distB="0" distL="114300" distR="114300" simplePos="0" relativeHeight="251662336" behindDoc="0" locked="0" layoutInCell="1" allowOverlap="1" wp14:anchorId="5F342490" wp14:editId="6E6B8D50">
                <wp:simplePos x="0" y="0"/>
                <wp:positionH relativeFrom="column">
                  <wp:posOffset>1338580</wp:posOffset>
                </wp:positionH>
                <wp:positionV relativeFrom="paragraph">
                  <wp:posOffset>133350</wp:posOffset>
                </wp:positionV>
                <wp:extent cx="3253740" cy="635"/>
                <wp:effectExtent l="0" t="0" r="3810" b="8255"/>
                <wp:wrapTight wrapText="bothSides">
                  <wp:wrapPolygon edited="0">
                    <wp:start x="0" y="0"/>
                    <wp:lineTo x="0" y="20698"/>
                    <wp:lineTo x="21499" y="20698"/>
                    <wp:lineTo x="21499" y="0"/>
                    <wp:lineTo x="0" y="0"/>
                  </wp:wrapPolygon>
                </wp:wrapTight>
                <wp:docPr id="68" name="Textfeld 68"/>
                <wp:cNvGraphicFramePr/>
                <a:graphic xmlns:a="http://schemas.openxmlformats.org/drawingml/2006/main">
                  <a:graphicData uri="http://schemas.microsoft.com/office/word/2010/wordprocessingShape">
                    <wps:wsp>
                      <wps:cNvSpPr txBox="1"/>
                      <wps:spPr>
                        <a:xfrm>
                          <a:off x="0" y="0"/>
                          <a:ext cx="3253740" cy="635"/>
                        </a:xfrm>
                        <a:prstGeom prst="rect">
                          <a:avLst/>
                        </a:prstGeom>
                        <a:solidFill>
                          <a:prstClr val="white"/>
                        </a:solidFill>
                        <a:ln>
                          <a:noFill/>
                        </a:ln>
                        <a:effectLst/>
                      </wps:spPr>
                      <wps:txbx>
                        <w:txbxContent>
                          <w:p w14:paraId="2F513EB2" w14:textId="49951375" w:rsidR="00640963" w:rsidRPr="00640963" w:rsidRDefault="00640963" w:rsidP="00640963">
                            <w:pPr>
                              <w:pStyle w:val="Caption"/>
                              <w:rPr>
                                <w:color w:val="auto"/>
                              </w:rPr>
                            </w:pPr>
                            <w:r w:rsidRPr="00640963">
                              <w:rPr>
                                <w:color w:val="auto"/>
                              </w:rPr>
                              <w:t xml:space="preserve">Figure </w:t>
                            </w:r>
                            <w:r w:rsidR="00D4010A">
                              <w:rPr>
                                <w:color w:val="auto"/>
                              </w:rPr>
                              <w:fldChar w:fldCharType="begin"/>
                            </w:r>
                            <w:r w:rsidR="00D4010A">
                              <w:rPr>
                                <w:color w:val="auto"/>
                              </w:rPr>
                              <w:instrText xml:space="preserve"> SEQ Figure \* ARABIC </w:instrText>
                            </w:r>
                            <w:r w:rsidR="00D4010A">
                              <w:rPr>
                                <w:color w:val="auto"/>
                              </w:rPr>
                              <w:fldChar w:fldCharType="separate"/>
                            </w:r>
                            <w:r w:rsidR="00895381">
                              <w:rPr>
                                <w:noProof/>
                                <w:color w:val="auto"/>
                              </w:rPr>
                              <w:t>5</w:t>
                            </w:r>
                            <w:r w:rsidR="00D4010A">
                              <w:rPr>
                                <w:color w:val="auto"/>
                              </w:rPr>
                              <w:fldChar w:fldCharType="end"/>
                            </w:r>
                            <w:r w:rsidR="00DE7C9D">
                              <w:rPr>
                                <w:color w:val="auto"/>
                              </w:rPr>
                              <w:t>:</w:t>
                            </w:r>
                            <w:r w:rsidRPr="00640963">
                              <w:rPr>
                                <w:color w:val="auto"/>
                              </w:rPr>
                              <w:t xml:space="preserve"> Flowchart for temperature control of energetic samples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342490" id="_x0000_t202" coordsize="21600,21600" o:spt="202" path="m,l,21600r21600,l21600,xe">
                <v:stroke joinstyle="miter"/>
                <v:path gradientshapeok="t" o:connecttype="rect"/>
              </v:shapetype>
              <v:shape id="Textfeld 68" o:spid="_x0000_s1026" type="#_x0000_t202" style="position:absolute;left:0;text-align:left;margin-left:105.4pt;margin-top:10.5pt;width:256.2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" stroked="f">
                <v:textbox style="mso-fit-shape-to-text:t" inset="0,0,0,0">
                  <w:txbxContent>
                    <w:p w14:paraId="2F513EB2" w14:textId="49951375" w:rsidR="00640963" w:rsidRPr="00640963" w:rsidRDefault="00640963" w:rsidP="00640963">
                      <w:pPr>
                        <w:pStyle w:val="Caption"/>
                        <w:rPr>
                          <w:color w:val="auto"/>
                        </w:rPr>
                      </w:pPr>
                      <w:r w:rsidRPr="00640963">
                        <w:rPr>
                          <w:color w:val="auto"/>
                        </w:rPr>
                        <w:t xml:space="preserve">Figure </w:t>
                      </w:r>
                      <w:r w:rsidR="00D4010A">
                        <w:rPr>
                          <w:color w:val="auto"/>
                        </w:rPr>
                        <w:fldChar w:fldCharType="begin"/>
                      </w:r>
                      <w:r w:rsidR="00D4010A">
                        <w:rPr>
                          <w:color w:val="auto"/>
                        </w:rPr>
                        <w:instrText xml:space="preserve"> SEQ Figure \* ARABIC </w:instrText>
                      </w:r>
                      <w:r w:rsidR="00D4010A">
                        <w:rPr>
                          <w:color w:val="auto"/>
                        </w:rPr>
                        <w:fldChar w:fldCharType="separate"/>
                      </w:r>
                      <w:r w:rsidR="00895381">
                        <w:rPr>
                          <w:noProof/>
                          <w:color w:val="auto"/>
                        </w:rPr>
                        <w:t>5</w:t>
                      </w:r>
                      <w:r w:rsidR="00D4010A">
                        <w:rPr>
                          <w:color w:val="auto"/>
                        </w:rPr>
                        <w:fldChar w:fldCharType="end"/>
                      </w:r>
                      <w:r w:rsidR="00DE7C9D">
                        <w:rPr>
                          <w:color w:val="auto"/>
                        </w:rPr>
                        <w:t>:</w:t>
                      </w:r>
                      <w:r w:rsidRPr="00640963">
                        <w:rPr>
                          <w:color w:val="auto"/>
                        </w:rPr>
                        <w:t xml:space="preserve"> Flowchart for temperature control of energetic samples</w:t>
                      </w:r>
                    </w:p>
                  </w:txbxContent>
                </v:textbox>
                <w10:wrap type="tight"/>
              </v:shape>
            </w:pict>
          </mc:Fallback>
        </mc:AlternateContent>
      </w:r>
    </w:p>
    <w:p w14:paraId="71FBAD02" w14:textId="77777777" w:rsidR="00640963" w:rsidRPr="0064541A" w:rsidRDefault="00640963" w:rsidP="007F2B84">
      <w:pPr>
        <w:rPr>
          <w:lang w:val="en-US"/>
        </w:rPr>
      </w:pPr>
    </w:p>
    <w:p w14:paraId="483C51A9" w14:textId="5B089C1C" w:rsidR="00DF4533" w:rsidRPr="0064541A" w:rsidRDefault="00FA2C63" w:rsidP="008C2A40">
      <w:pPr>
        <w:pStyle w:val="HChG"/>
        <w:rPr>
          <w:lang w:val="en-US"/>
        </w:rPr>
      </w:pPr>
      <w:r w:rsidRPr="0064541A">
        <w:rPr>
          <w:lang w:val="en-US"/>
        </w:rPr>
        <w:lastRenderedPageBreak/>
        <w:tab/>
      </w:r>
      <w:r w:rsidR="008C2A40">
        <w:rPr>
          <w:lang w:val="en-US"/>
        </w:rPr>
        <w:tab/>
      </w:r>
      <w:r w:rsidR="00DF4533" w:rsidRPr="008C2A40">
        <w:t>Proposal</w:t>
      </w:r>
    </w:p>
    <w:p w14:paraId="4D159091" w14:textId="1E160093" w:rsidR="00640963" w:rsidRPr="0064541A" w:rsidRDefault="009F755C" w:rsidP="008C2A40">
      <w:pPr>
        <w:pStyle w:val="SingleTxtG"/>
        <w:ind w:left="1701" w:hanging="581"/>
        <w:rPr>
          <w:lang w:val="en-US"/>
        </w:rPr>
      </w:pPr>
      <w:r>
        <w:rPr>
          <w:lang w:val="en-US"/>
        </w:rPr>
        <w:t>54</w:t>
      </w:r>
      <w:r w:rsidR="008C2A40">
        <w:rPr>
          <w:lang w:val="en-US"/>
        </w:rPr>
        <w:t>.</w:t>
      </w:r>
      <w:r w:rsidR="008C2A40">
        <w:rPr>
          <w:lang w:val="en-US"/>
        </w:rPr>
        <w:tab/>
      </w:r>
      <w:r w:rsidR="00B16D04" w:rsidRPr="0064541A">
        <w:rPr>
          <w:lang w:val="en-US"/>
        </w:rPr>
        <w:t>Based on the discussions above,</w:t>
      </w:r>
      <w:r w:rsidR="00640963" w:rsidRPr="0064541A">
        <w:rPr>
          <w:lang w:val="en-US"/>
        </w:rPr>
        <w:t xml:space="preserve"> CEFIC </w:t>
      </w:r>
      <w:r w:rsidR="00F468F9">
        <w:rPr>
          <w:lang w:val="en-US"/>
        </w:rPr>
        <w:t>proposes</w:t>
      </w:r>
      <w:r w:rsidR="00640963" w:rsidRPr="0064541A">
        <w:rPr>
          <w:lang w:val="en-US"/>
        </w:rPr>
        <w:t xml:space="preserve"> to</w:t>
      </w:r>
      <w:r w:rsidR="00910348">
        <w:rPr>
          <w:lang w:val="en-US"/>
        </w:rPr>
        <w:t>:</w:t>
      </w:r>
    </w:p>
    <w:p w14:paraId="4F57F227" w14:textId="19E02C9F" w:rsidR="00640963" w:rsidRPr="0064541A" w:rsidRDefault="00B45E02" w:rsidP="00B45E02">
      <w:pPr>
        <w:pStyle w:val="Bullet1G"/>
        <w:numPr>
          <w:ilvl w:val="0"/>
          <w:numId w:val="0"/>
        </w:numPr>
        <w:ind w:left="2268" w:hanging="737"/>
        <w:rPr>
          <w:lang w:val="en-US"/>
        </w:rPr>
      </w:pPr>
      <w:r>
        <w:rPr>
          <w:lang w:val="en-US"/>
        </w:rPr>
        <w:t>(a)</w:t>
      </w:r>
      <w:r>
        <w:rPr>
          <w:lang w:val="en-US"/>
        </w:rPr>
        <w:tab/>
      </w:r>
      <w:r w:rsidR="00640963" w:rsidRPr="0064541A">
        <w:rPr>
          <w:lang w:val="en-US"/>
        </w:rPr>
        <w:t xml:space="preserve">Further develop the provisions in section 2.0.4.3 for energetic samples and to incorporate a flowchart </w:t>
      </w:r>
      <w:r w:rsidR="00B16D04" w:rsidRPr="0064541A">
        <w:rPr>
          <w:lang w:val="en-US"/>
        </w:rPr>
        <w:t>based on figure 2</w:t>
      </w:r>
      <w:r w:rsidR="00640963" w:rsidRPr="0064541A">
        <w:rPr>
          <w:lang w:val="en-US"/>
        </w:rPr>
        <w:t>, and</w:t>
      </w:r>
    </w:p>
    <w:p w14:paraId="7BF19616" w14:textId="6A0A962C" w:rsidR="00640963" w:rsidRPr="0064541A" w:rsidRDefault="00DA5515" w:rsidP="0015369F">
      <w:pPr>
        <w:pStyle w:val="Bullet1G"/>
        <w:numPr>
          <w:ilvl w:val="0"/>
          <w:numId w:val="0"/>
        </w:numPr>
        <w:ind w:left="2268" w:hanging="737"/>
        <w:rPr>
          <w:lang w:val="en-US"/>
        </w:rPr>
      </w:pPr>
      <w:r>
        <w:rPr>
          <w:lang w:val="en-US"/>
        </w:rPr>
        <w:t>(b)</w:t>
      </w:r>
      <w:r>
        <w:rPr>
          <w:lang w:val="en-US"/>
        </w:rPr>
        <w:tab/>
      </w:r>
      <w:r w:rsidR="00640963" w:rsidRPr="0064541A">
        <w:rPr>
          <w:lang w:val="en-US"/>
        </w:rPr>
        <w:t xml:space="preserve">To incorporate provisions about temperature control and estimation of SADT for </w:t>
      </w:r>
      <w:r w:rsidR="00B16D04" w:rsidRPr="0064541A">
        <w:rPr>
          <w:lang w:val="en-US"/>
        </w:rPr>
        <w:t xml:space="preserve">energetic </w:t>
      </w:r>
      <w:r w:rsidR="00640963" w:rsidRPr="0064541A">
        <w:rPr>
          <w:lang w:val="en-US"/>
        </w:rPr>
        <w:t>samples in the UN Manual of Tests and Criteria</w:t>
      </w:r>
      <w:r w:rsidR="00B16D04" w:rsidRPr="0064541A">
        <w:rPr>
          <w:lang w:val="en-US"/>
        </w:rPr>
        <w:t xml:space="preserve">. An appropriate place appears to be in the context of </w:t>
      </w:r>
      <w:r w:rsidR="00640963" w:rsidRPr="0064541A">
        <w:rPr>
          <w:lang w:val="en-US"/>
        </w:rPr>
        <w:t>section 20.3.3.3.</w:t>
      </w:r>
      <w:r w:rsidR="00741DCE" w:rsidRPr="0064541A">
        <w:rPr>
          <w:lang w:val="en-US"/>
        </w:rPr>
        <w:t xml:space="preserve"> Incorporation of a flowchart as presented in figure 5 </w:t>
      </w:r>
      <w:r w:rsidR="00DB1A46" w:rsidRPr="0064541A">
        <w:rPr>
          <w:lang w:val="en-US"/>
        </w:rPr>
        <w:t>is deemed helpful.</w:t>
      </w:r>
    </w:p>
    <w:p w14:paraId="7E17B49D" w14:textId="77777777" w:rsidR="000E23BE" w:rsidRPr="0064541A" w:rsidRDefault="00DF4533" w:rsidP="00160406">
      <w:pPr>
        <w:pStyle w:val="SingleTxtG"/>
        <w:spacing w:before="240" w:after="0"/>
        <w:jc w:val="center"/>
        <w:rPr>
          <w:lang w:val="en-US"/>
        </w:rPr>
      </w:pPr>
      <w:r w:rsidRPr="0064541A">
        <w:rPr>
          <w:u w:val="single"/>
          <w:lang w:val="en-US"/>
        </w:rPr>
        <w:tab/>
      </w:r>
      <w:r w:rsidRPr="0064541A">
        <w:rPr>
          <w:u w:val="single"/>
          <w:lang w:val="en-US"/>
        </w:rPr>
        <w:tab/>
      </w:r>
      <w:r w:rsidRPr="0064541A">
        <w:rPr>
          <w:u w:val="single"/>
          <w:lang w:val="en-US"/>
        </w:rPr>
        <w:tab/>
      </w:r>
    </w:p>
    <w:sectPr w:rsidR="000E23BE" w:rsidRPr="0064541A" w:rsidSect="00DF4533">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851" w:left="1134" w:header="851"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E0B5" w14:textId="77777777" w:rsidR="00BE667F" w:rsidRDefault="00BE667F"/>
  </w:endnote>
  <w:endnote w:type="continuationSeparator" w:id="0">
    <w:p w14:paraId="4EDBD121" w14:textId="77777777" w:rsidR="00BE667F" w:rsidRDefault="00BE667F"/>
  </w:endnote>
  <w:endnote w:type="continuationNotice" w:id="1">
    <w:p w14:paraId="36421EDB" w14:textId="77777777" w:rsidR="00BE667F" w:rsidRDefault="00BE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406059219"/>
      <w:docPartObj>
        <w:docPartGallery w:val="Page Numbers (Bottom of Page)"/>
        <w:docPartUnique/>
      </w:docPartObj>
    </w:sdtPr>
    <w:sdtEndPr>
      <w:rPr>
        <w:noProof/>
      </w:rPr>
    </w:sdtEndPr>
    <w:sdtContent>
      <w:p w14:paraId="399D7920" w14:textId="285887D8" w:rsidR="004F7E10" w:rsidRPr="004E074D" w:rsidRDefault="004F7E10">
        <w:pPr>
          <w:pStyle w:val="Footer"/>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895381">
          <w:rPr>
            <w:b/>
            <w:noProof/>
            <w:sz w:val="18"/>
            <w:szCs w:val="18"/>
          </w:rPr>
          <w:t>8</w:t>
        </w:r>
        <w:r w:rsidRPr="004E074D">
          <w:rPr>
            <w:b/>
            <w:noProof/>
            <w:sz w:val="18"/>
            <w:szCs w:val="18"/>
          </w:rPr>
          <w:fldChar w:fldCharType="end"/>
        </w:r>
      </w:p>
    </w:sdtContent>
  </w:sdt>
  <w:p w14:paraId="693CA075" w14:textId="77777777" w:rsidR="004F7E10" w:rsidRPr="004E074D" w:rsidRDefault="004F7E10">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805431604"/>
      <w:docPartObj>
        <w:docPartGallery w:val="Page Numbers (Bottom of Page)"/>
        <w:docPartUnique/>
      </w:docPartObj>
    </w:sdtPr>
    <w:sdtEndPr>
      <w:rPr>
        <w:noProof/>
      </w:rPr>
    </w:sdtEndPr>
    <w:sdtContent>
      <w:p w14:paraId="3C3DC690" w14:textId="6E939274" w:rsidR="004F7E10" w:rsidRPr="004E074D" w:rsidRDefault="004F7E10">
        <w:pPr>
          <w:pStyle w:val="Footer"/>
          <w:jc w:val="right"/>
          <w:rPr>
            <w:b/>
            <w:sz w:val="18"/>
            <w:szCs w:val="18"/>
          </w:rPr>
        </w:pPr>
        <w:r w:rsidRPr="004E074D">
          <w:rPr>
            <w:b/>
            <w:sz w:val="18"/>
            <w:szCs w:val="18"/>
          </w:rPr>
          <w:fldChar w:fldCharType="begin"/>
        </w:r>
        <w:r w:rsidRPr="004E074D">
          <w:rPr>
            <w:b/>
            <w:sz w:val="18"/>
            <w:szCs w:val="18"/>
          </w:rPr>
          <w:instrText xml:space="preserve"> PAGE   \* MERGEFORMAT </w:instrText>
        </w:r>
        <w:r w:rsidRPr="004E074D">
          <w:rPr>
            <w:b/>
            <w:sz w:val="18"/>
            <w:szCs w:val="18"/>
          </w:rPr>
          <w:fldChar w:fldCharType="separate"/>
        </w:r>
        <w:r w:rsidR="00895381">
          <w:rPr>
            <w:b/>
            <w:noProof/>
            <w:sz w:val="18"/>
            <w:szCs w:val="18"/>
          </w:rPr>
          <w:t>9</w:t>
        </w:r>
        <w:r w:rsidRPr="004E074D">
          <w:rPr>
            <w:b/>
            <w:noProof/>
            <w:sz w:val="18"/>
            <w:szCs w:val="18"/>
          </w:rPr>
          <w:fldChar w:fldCharType="end"/>
        </w:r>
      </w:p>
    </w:sdtContent>
  </w:sdt>
  <w:p w14:paraId="28F74826" w14:textId="77777777" w:rsidR="004F7E10" w:rsidRDefault="004F7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267400669"/>
      <w:docPartObj>
        <w:docPartGallery w:val="Page Numbers (Bottom of Page)"/>
        <w:docPartUnique/>
      </w:docPartObj>
    </w:sdtPr>
    <w:sdtEndPr>
      <w:rPr>
        <w:noProof/>
      </w:rPr>
    </w:sdtEndPr>
    <w:sdtContent>
      <w:p w14:paraId="6EF99C03" w14:textId="18322068" w:rsidR="004F7E10" w:rsidRPr="00B11781" w:rsidRDefault="004F7E10">
        <w:pPr>
          <w:pStyle w:val="Footer"/>
          <w:jc w:val="right"/>
          <w:rPr>
            <w:b/>
            <w:sz w:val="18"/>
            <w:szCs w:val="18"/>
          </w:rPr>
        </w:pPr>
        <w:r w:rsidRPr="00B11781">
          <w:rPr>
            <w:b/>
            <w:sz w:val="18"/>
            <w:szCs w:val="18"/>
          </w:rPr>
          <w:fldChar w:fldCharType="begin"/>
        </w:r>
        <w:r w:rsidRPr="00B11781">
          <w:rPr>
            <w:b/>
            <w:sz w:val="18"/>
            <w:szCs w:val="18"/>
          </w:rPr>
          <w:instrText xml:space="preserve"> PAGE   \* MERGEFORMAT </w:instrText>
        </w:r>
        <w:r w:rsidRPr="00B11781">
          <w:rPr>
            <w:b/>
            <w:sz w:val="18"/>
            <w:szCs w:val="18"/>
          </w:rPr>
          <w:fldChar w:fldCharType="separate"/>
        </w:r>
        <w:r w:rsidR="00895381">
          <w:rPr>
            <w:b/>
            <w:noProof/>
            <w:sz w:val="18"/>
            <w:szCs w:val="18"/>
          </w:rPr>
          <w:t>1</w:t>
        </w:r>
        <w:r w:rsidRPr="00B11781">
          <w:rPr>
            <w:b/>
            <w:noProof/>
            <w:sz w:val="18"/>
            <w:szCs w:val="18"/>
          </w:rPr>
          <w:fldChar w:fldCharType="end"/>
        </w:r>
      </w:p>
    </w:sdtContent>
  </w:sdt>
  <w:p w14:paraId="78E32116" w14:textId="77777777" w:rsidR="004F7E10" w:rsidRPr="00B11781" w:rsidRDefault="004F7E10" w:rsidP="00F431EA">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C167" w14:textId="77777777" w:rsidR="00BE667F" w:rsidRPr="000B175B" w:rsidRDefault="00BE667F" w:rsidP="000B175B">
      <w:pPr>
        <w:tabs>
          <w:tab w:val="right" w:pos="2155"/>
        </w:tabs>
        <w:spacing w:after="80"/>
        <w:ind w:left="680"/>
        <w:rPr>
          <w:u w:val="single"/>
        </w:rPr>
      </w:pPr>
      <w:r>
        <w:rPr>
          <w:u w:val="single"/>
        </w:rPr>
        <w:tab/>
      </w:r>
    </w:p>
  </w:footnote>
  <w:footnote w:type="continuationSeparator" w:id="0">
    <w:p w14:paraId="46E7D469" w14:textId="77777777" w:rsidR="00BE667F" w:rsidRPr="00FC68B7" w:rsidRDefault="00BE667F" w:rsidP="00FC68B7">
      <w:pPr>
        <w:tabs>
          <w:tab w:val="left" w:pos="2155"/>
        </w:tabs>
        <w:spacing w:after="80"/>
        <w:ind w:left="680"/>
        <w:rPr>
          <w:u w:val="single"/>
        </w:rPr>
      </w:pPr>
      <w:r>
        <w:rPr>
          <w:u w:val="single"/>
        </w:rPr>
        <w:tab/>
      </w:r>
    </w:p>
  </w:footnote>
  <w:footnote w:type="continuationNotice" w:id="1">
    <w:p w14:paraId="2FC0E6CD" w14:textId="77777777" w:rsidR="00BE667F" w:rsidRDefault="00BE6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DCB4" w14:textId="4626E8FA" w:rsidR="004F7E10" w:rsidRPr="001215C0" w:rsidRDefault="004F7E10" w:rsidP="003C79AF">
    <w:pPr>
      <w:pBdr>
        <w:bottom w:val="single" w:sz="4" w:space="1" w:color="auto"/>
      </w:pBdr>
      <w:rPr>
        <w:b/>
        <w:sz w:val="18"/>
        <w:szCs w:val="18"/>
        <w:lang w:val="fr-CH"/>
      </w:rPr>
    </w:pPr>
    <w:r w:rsidRPr="001215C0">
      <w:rPr>
        <w:b/>
        <w:sz w:val="18"/>
        <w:szCs w:val="18"/>
        <w:lang w:val="fr-CH"/>
      </w:rPr>
      <w:t>UN/SCETDG/5</w:t>
    </w:r>
    <w:r w:rsidR="00DE3C8A">
      <w:rPr>
        <w:b/>
        <w:sz w:val="18"/>
        <w:szCs w:val="18"/>
        <w:lang w:val="fr-CH"/>
      </w:rPr>
      <w:t>3</w:t>
    </w:r>
    <w:r w:rsidRPr="001215C0">
      <w:rPr>
        <w:b/>
        <w:sz w:val="18"/>
        <w:szCs w:val="18"/>
        <w:lang w:val="fr-CH"/>
      </w:rPr>
      <w:t>/INF.</w:t>
    </w:r>
    <w:r w:rsidR="0091598C">
      <w:rPr>
        <w:b/>
        <w:sz w:val="18"/>
        <w:szCs w:val="18"/>
        <w:lang w:val="fr-CH"/>
      </w:rPr>
      <w:t>17</w:t>
    </w:r>
  </w:p>
  <w:p w14:paraId="3ABAD363" w14:textId="77777777" w:rsidR="004F7E10" w:rsidRPr="004F7E10" w:rsidRDefault="004F7E10" w:rsidP="001215C0">
    <w:pPr>
      <w:pStyle w:val="Header"/>
      <w:pBdr>
        <w:bottom w:val="none" w:sz="0" w:space="0" w:color="auto"/>
      </w:pBd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85CA" w14:textId="141FEA01" w:rsidR="004F7E10" w:rsidRPr="002D75AB" w:rsidRDefault="003C79AF" w:rsidP="003C79AF">
    <w:pPr>
      <w:pStyle w:val="Header"/>
      <w:pBdr>
        <w:bottom w:val="single" w:sz="4" w:space="1" w:color="auto"/>
      </w:pBdr>
      <w:spacing w:after="240"/>
      <w:jc w:val="right"/>
    </w:pPr>
    <w:r>
      <w:rPr>
        <w:szCs w:val="18"/>
        <w:lang w:val="fr-CH"/>
      </w:rPr>
      <w:t>UN/SCETDG/5</w:t>
    </w:r>
    <w:r w:rsidR="00FA1118">
      <w:rPr>
        <w:szCs w:val="18"/>
        <w:lang w:val="fr-CH"/>
      </w:rPr>
      <w:t>3</w:t>
    </w:r>
    <w:r>
      <w:rPr>
        <w:szCs w:val="18"/>
        <w:lang w:val="fr-CH"/>
      </w:rPr>
      <w:t>/INF.</w:t>
    </w:r>
    <w:r w:rsidR="0091598C">
      <w:rPr>
        <w:szCs w:val="18"/>
        <w:lang w:val="fr-CH"/>
      </w:rPr>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41B1" w14:textId="77777777" w:rsidR="004F7E10" w:rsidRPr="00DF4533" w:rsidRDefault="004F7E10" w:rsidP="00DF453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532BAD"/>
    <w:multiLevelType w:val="hybridMultilevel"/>
    <w:tmpl w:val="7FF0A404"/>
    <w:lvl w:ilvl="0" w:tplc="CA3A96E4">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54A6171"/>
    <w:multiLevelType w:val="hybridMultilevel"/>
    <w:tmpl w:val="F572D808"/>
    <w:lvl w:ilvl="0" w:tplc="001C8B80">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E7D50"/>
    <w:multiLevelType w:val="hybridMultilevel"/>
    <w:tmpl w:val="7318B89C"/>
    <w:lvl w:ilvl="0" w:tplc="EE22457C">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ABE1E11"/>
    <w:multiLevelType w:val="hybridMultilevel"/>
    <w:tmpl w:val="367EF882"/>
    <w:lvl w:ilvl="0" w:tplc="C59A5018">
      <w:start w:val="9"/>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D431C49"/>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5F448C"/>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0"/>
  </w:num>
  <w:num w:numId="16">
    <w:abstractNumId w:val="19"/>
  </w:num>
  <w:num w:numId="17">
    <w:abstractNumId w:val="16"/>
  </w:num>
  <w:num w:numId="18">
    <w:abstractNumId w:val="12"/>
  </w:num>
  <w:num w:numId="19">
    <w:abstractNumId w:val="11"/>
  </w:num>
  <w:num w:numId="20">
    <w:abstractNumId w:val="14"/>
  </w:num>
  <w:num w:numId="21">
    <w:abstractNumId w:val="15"/>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0EAF"/>
    <w:rsid w:val="000019B8"/>
    <w:rsid w:val="00004728"/>
    <w:rsid w:val="00006D38"/>
    <w:rsid w:val="00006FAE"/>
    <w:rsid w:val="00007091"/>
    <w:rsid w:val="000133C5"/>
    <w:rsid w:val="000146B7"/>
    <w:rsid w:val="00015F76"/>
    <w:rsid w:val="00017D24"/>
    <w:rsid w:val="000216CC"/>
    <w:rsid w:val="00026BCF"/>
    <w:rsid w:val="00043180"/>
    <w:rsid w:val="00046A06"/>
    <w:rsid w:val="000504CE"/>
    <w:rsid w:val="00050922"/>
    <w:rsid w:val="00050F6B"/>
    <w:rsid w:val="0005317C"/>
    <w:rsid w:val="00053492"/>
    <w:rsid w:val="00055A0A"/>
    <w:rsid w:val="00056084"/>
    <w:rsid w:val="0005710C"/>
    <w:rsid w:val="00060E7D"/>
    <w:rsid w:val="00063991"/>
    <w:rsid w:val="00063A0C"/>
    <w:rsid w:val="00064402"/>
    <w:rsid w:val="00067DE4"/>
    <w:rsid w:val="00067E6D"/>
    <w:rsid w:val="00072C8C"/>
    <w:rsid w:val="00073129"/>
    <w:rsid w:val="00074B14"/>
    <w:rsid w:val="00075F99"/>
    <w:rsid w:val="000764E5"/>
    <w:rsid w:val="00076A0A"/>
    <w:rsid w:val="00082CE1"/>
    <w:rsid w:val="00083598"/>
    <w:rsid w:val="00084632"/>
    <w:rsid w:val="00086270"/>
    <w:rsid w:val="00086FA7"/>
    <w:rsid w:val="00091046"/>
    <w:rsid w:val="00091419"/>
    <w:rsid w:val="00091CB3"/>
    <w:rsid w:val="00092776"/>
    <w:rsid w:val="000931C0"/>
    <w:rsid w:val="000934D4"/>
    <w:rsid w:val="000A2236"/>
    <w:rsid w:val="000A35F2"/>
    <w:rsid w:val="000A3A48"/>
    <w:rsid w:val="000A4C38"/>
    <w:rsid w:val="000A71B8"/>
    <w:rsid w:val="000B175B"/>
    <w:rsid w:val="000B303A"/>
    <w:rsid w:val="000B3A0F"/>
    <w:rsid w:val="000B4919"/>
    <w:rsid w:val="000B7AF2"/>
    <w:rsid w:val="000C1ED8"/>
    <w:rsid w:val="000C1F28"/>
    <w:rsid w:val="000C3D2E"/>
    <w:rsid w:val="000C5D4B"/>
    <w:rsid w:val="000C717F"/>
    <w:rsid w:val="000C76A2"/>
    <w:rsid w:val="000D0B8F"/>
    <w:rsid w:val="000D3980"/>
    <w:rsid w:val="000D481F"/>
    <w:rsid w:val="000D6D97"/>
    <w:rsid w:val="000D7830"/>
    <w:rsid w:val="000E0415"/>
    <w:rsid w:val="000E20B9"/>
    <w:rsid w:val="000E23BE"/>
    <w:rsid w:val="000F4FDC"/>
    <w:rsid w:val="000F52D6"/>
    <w:rsid w:val="000F6A20"/>
    <w:rsid w:val="001001A5"/>
    <w:rsid w:val="001039FD"/>
    <w:rsid w:val="00103BAB"/>
    <w:rsid w:val="0010461A"/>
    <w:rsid w:val="001056C9"/>
    <w:rsid w:val="0011495E"/>
    <w:rsid w:val="00115303"/>
    <w:rsid w:val="00117787"/>
    <w:rsid w:val="00117D0D"/>
    <w:rsid w:val="001215C0"/>
    <w:rsid w:val="00121EB7"/>
    <w:rsid w:val="001249AC"/>
    <w:rsid w:val="00131B10"/>
    <w:rsid w:val="00131D42"/>
    <w:rsid w:val="00133C50"/>
    <w:rsid w:val="001374FC"/>
    <w:rsid w:val="001406F4"/>
    <w:rsid w:val="00142117"/>
    <w:rsid w:val="00143116"/>
    <w:rsid w:val="00153065"/>
    <w:rsid w:val="0015369F"/>
    <w:rsid w:val="00155A4B"/>
    <w:rsid w:val="00160406"/>
    <w:rsid w:val="00162D10"/>
    <w:rsid w:val="001633FB"/>
    <w:rsid w:val="00163A1B"/>
    <w:rsid w:val="00165735"/>
    <w:rsid w:val="00167786"/>
    <w:rsid w:val="00181019"/>
    <w:rsid w:val="001835BF"/>
    <w:rsid w:val="00184B86"/>
    <w:rsid w:val="001A02A4"/>
    <w:rsid w:val="001A24C9"/>
    <w:rsid w:val="001B35EE"/>
    <w:rsid w:val="001B4B04"/>
    <w:rsid w:val="001B6B72"/>
    <w:rsid w:val="001B6F2D"/>
    <w:rsid w:val="001B7DFB"/>
    <w:rsid w:val="001C2046"/>
    <w:rsid w:val="001C429D"/>
    <w:rsid w:val="001C6663"/>
    <w:rsid w:val="001C7895"/>
    <w:rsid w:val="001D26DF"/>
    <w:rsid w:val="001D2FDC"/>
    <w:rsid w:val="001D3123"/>
    <w:rsid w:val="001D3A88"/>
    <w:rsid w:val="001D45AC"/>
    <w:rsid w:val="001D4B2D"/>
    <w:rsid w:val="001D4E70"/>
    <w:rsid w:val="001D6BE5"/>
    <w:rsid w:val="001D7C70"/>
    <w:rsid w:val="001E790A"/>
    <w:rsid w:val="001E797C"/>
    <w:rsid w:val="001F448E"/>
    <w:rsid w:val="00202DB6"/>
    <w:rsid w:val="00206229"/>
    <w:rsid w:val="00211B12"/>
    <w:rsid w:val="00211E0B"/>
    <w:rsid w:val="0021481D"/>
    <w:rsid w:val="00221589"/>
    <w:rsid w:val="00221AC2"/>
    <w:rsid w:val="00224CD9"/>
    <w:rsid w:val="002309A7"/>
    <w:rsid w:val="00235381"/>
    <w:rsid w:val="00236EFA"/>
    <w:rsid w:val="00237785"/>
    <w:rsid w:val="00241178"/>
    <w:rsid w:val="00241466"/>
    <w:rsid w:val="002440E7"/>
    <w:rsid w:val="00247570"/>
    <w:rsid w:val="00253082"/>
    <w:rsid w:val="002565E2"/>
    <w:rsid w:val="00256979"/>
    <w:rsid w:val="00257C1E"/>
    <w:rsid w:val="00261B71"/>
    <w:rsid w:val="002621F5"/>
    <w:rsid w:val="00264EF7"/>
    <w:rsid w:val="002708B5"/>
    <w:rsid w:val="00270DDB"/>
    <w:rsid w:val="00271EF4"/>
    <w:rsid w:val="002725CA"/>
    <w:rsid w:val="00273A92"/>
    <w:rsid w:val="00277896"/>
    <w:rsid w:val="00277E2F"/>
    <w:rsid w:val="00280544"/>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D75AB"/>
    <w:rsid w:val="002E35BB"/>
    <w:rsid w:val="002E374E"/>
    <w:rsid w:val="002F323F"/>
    <w:rsid w:val="002F603E"/>
    <w:rsid w:val="002F68FD"/>
    <w:rsid w:val="002F7870"/>
    <w:rsid w:val="00303799"/>
    <w:rsid w:val="003107FA"/>
    <w:rsid w:val="0031227E"/>
    <w:rsid w:val="00313CC6"/>
    <w:rsid w:val="00315D73"/>
    <w:rsid w:val="00316FF9"/>
    <w:rsid w:val="00321716"/>
    <w:rsid w:val="003229D8"/>
    <w:rsid w:val="00327D0A"/>
    <w:rsid w:val="00330180"/>
    <w:rsid w:val="00335A74"/>
    <w:rsid w:val="003517C3"/>
    <w:rsid w:val="00355502"/>
    <w:rsid w:val="00356BC7"/>
    <w:rsid w:val="00357A20"/>
    <w:rsid w:val="00372F06"/>
    <w:rsid w:val="003858D6"/>
    <w:rsid w:val="00391647"/>
    <w:rsid w:val="003921E6"/>
    <w:rsid w:val="0039277A"/>
    <w:rsid w:val="00395FD7"/>
    <w:rsid w:val="00396F6A"/>
    <w:rsid w:val="003972E0"/>
    <w:rsid w:val="003A1DE7"/>
    <w:rsid w:val="003A1EC2"/>
    <w:rsid w:val="003A3E9C"/>
    <w:rsid w:val="003A415E"/>
    <w:rsid w:val="003A52D7"/>
    <w:rsid w:val="003A5A16"/>
    <w:rsid w:val="003B62FE"/>
    <w:rsid w:val="003C0657"/>
    <w:rsid w:val="003C18C9"/>
    <w:rsid w:val="003C2CC4"/>
    <w:rsid w:val="003C655D"/>
    <w:rsid w:val="003C78F2"/>
    <w:rsid w:val="003C79AF"/>
    <w:rsid w:val="003D25EC"/>
    <w:rsid w:val="003D4B23"/>
    <w:rsid w:val="003D5245"/>
    <w:rsid w:val="003F23A4"/>
    <w:rsid w:val="003F3127"/>
    <w:rsid w:val="003F5B52"/>
    <w:rsid w:val="0040160B"/>
    <w:rsid w:val="00403EC6"/>
    <w:rsid w:val="00406CD4"/>
    <w:rsid w:val="00407DB1"/>
    <w:rsid w:val="00430086"/>
    <w:rsid w:val="00430918"/>
    <w:rsid w:val="004325CB"/>
    <w:rsid w:val="004337AA"/>
    <w:rsid w:val="004354EE"/>
    <w:rsid w:val="00437F3F"/>
    <w:rsid w:val="00442365"/>
    <w:rsid w:val="0044416F"/>
    <w:rsid w:val="00446DE4"/>
    <w:rsid w:val="00450ACC"/>
    <w:rsid w:val="00452D10"/>
    <w:rsid w:val="00452F3A"/>
    <w:rsid w:val="00454036"/>
    <w:rsid w:val="004562AA"/>
    <w:rsid w:val="0046443A"/>
    <w:rsid w:val="004651DA"/>
    <w:rsid w:val="004653B3"/>
    <w:rsid w:val="004654C4"/>
    <w:rsid w:val="00465AE3"/>
    <w:rsid w:val="0046668F"/>
    <w:rsid w:val="0046773D"/>
    <w:rsid w:val="0046788D"/>
    <w:rsid w:val="004801A8"/>
    <w:rsid w:val="0048304D"/>
    <w:rsid w:val="00484A9B"/>
    <w:rsid w:val="00490889"/>
    <w:rsid w:val="00492AF9"/>
    <w:rsid w:val="00494C77"/>
    <w:rsid w:val="004953B2"/>
    <w:rsid w:val="00496A1D"/>
    <w:rsid w:val="00497711"/>
    <w:rsid w:val="004A207B"/>
    <w:rsid w:val="004B2C9D"/>
    <w:rsid w:val="004B3B95"/>
    <w:rsid w:val="004B48E7"/>
    <w:rsid w:val="004B54B0"/>
    <w:rsid w:val="004B5939"/>
    <w:rsid w:val="004B5C97"/>
    <w:rsid w:val="004B73D6"/>
    <w:rsid w:val="004C0BB5"/>
    <w:rsid w:val="004C0CFB"/>
    <w:rsid w:val="004C39D0"/>
    <w:rsid w:val="004C4F1A"/>
    <w:rsid w:val="004C6D6D"/>
    <w:rsid w:val="004E074D"/>
    <w:rsid w:val="004E0C5D"/>
    <w:rsid w:val="004E1665"/>
    <w:rsid w:val="004E56B5"/>
    <w:rsid w:val="004F32CF"/>
    <w:rsid w:val="004F4240"/>
    <w:rsid w:val="004F77CD"/>
    <w:rsid w:val="004F7E10"/>
    <w:rsid w:val="00505EEB"/>
    <w:rsid w:val="00506778"/>
    <w:rsid w:val="00507CF1"/>
    <w:rsid w:val="00520D85"/>
    <w:rsid w:val="00522177"/>
    <w:rsid w:val="005230E8"/>
    <w:rsid w:val="00527910"/>
    <w:rsid w:val="005420F2"/>
    <w:rsid w:val="00542505"/>
    <w:rsid w:val="00546655"/>
    <w:rsid w:val="005475D4"/>
    <w:rsid w:val="005513A9"/>
    <w:rsid w:val="00555CDB"/>
    <w:rsid w:val="00555F0F"/>
    <w:rsid w:val="00557E4F"/>
    <w:rsid w:val="00561B6D"/>
    <w:rsid w:val="005624AA"/>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E6DAB"/>
    <w:rsid w:val="005F37AA"/>
    <w:rsid w:val="005F3A39"/>
    <w:rsid w:val="005F3E24"/>
    <w:rsid w:val="005F4826"/>
    <w:rsid w:val="005F589C"/>
    <w:rsid w:val="005F5C2F"/>
    <w:rsid w:val="005F5C79"/>
    <w:rsid w:val="005F7BB1"/>
    <w:rsid w:val="00602490"/>
    <w:rsid w:val="006029B0"/>
    <w:rsid w:val="00603E3C"/>
    <w:rsid w:val="006041A6"/>
    <w:rsid w:val="00611FC4"/>
    <w:rsid w:val="00612812"/>
    <w:rsid w:val="006176FB"/>
    <w:rsid w:val="006226AC"/>
    <w:rsid w:val="00626B06"/>
    <w:rsid w:val="00626B77"/>
    <w:rsid w:val="00626DE3"/>
    <w:rsid w:val="00626F74"/>
    <w:rsid w:val="006279AC"/>
    <w:rsid w:val="0063419C"/>
    <w:rsid w:val="00635381"/>
    <w:rsid w:val="00635DFD"/>
    <w:rsid w:val="00636986"/>
    <w:rsid w:val="00637542"/>
    <w:rsid w:val="00640963"/>
    <w:rsid w:val="00640B26"/>
    <w:rsid w:val="00641194"/>
    <w:rsid w:val="0064541A"/>
    <w:rsid w:val="00645A0B"/>
    <w:rsid w:val="006500BA"/>
    <w:rsid w:val="006506DB"/>
    <w:rsid w:val="006522C0"/>
    <w:rsid w:val="0066002B"/>
    <w:rsid w:val="00662121"/>
    <w:rsid w:val="006627FE"/>
    <w:rsid w:val="00662E09"/>
    <w:rsid w:val="00663318"/>
    <w:rsid w:val="00667788"/>
    <w:rsid w:val="006678CB"/>
    <w:rsid w:val="00667C6B"/>
    <w:rsid w:val="00670CF0"/>
    <w:rsid w:val="00675F87"/>
    <w:rsid w:val="00690CD6"/>
    <w:rsid w:val="006937F4"/>
    <w:rsid w:val="0069386C"/>
    <w:rsid w:val="006967DB"/>
    <w:rsid w:val="006A3932"/>
    <w:rsid w:val="006A63E3"/>
    <w:rsid w:val="006A7392"/>
    <w:rsid w:val="006B1C55"/>
    <w:rsid w:val="006C0D34"/>
    <w:rsid w:val="006C1397"/>
    <w:rsid w:val="006C251B"/>
    <w:rsid w:val="006C2F7E"/>
    <w:rsid w:val="006D26EA"/>
    <w:rsid w:val="006D3560"/>
    <w:rsid w:val="006D6ED0"/>
    <w:rsid w:val="006E36E7"/>
    <w:rsid w:val="006E3B65"/>
    <w:rsid w:val="006E4FFE"/>
    <w:rsid w:val="006E564B"/>
    <w:rsid w:val="006E6866"/>
    <w:rsid w:val="006F1A22"/>
    <w:rsid w:val="0070032B"/>
    <w:rsid w:val="00700730"/>
    <w:rsid w:val="007025C0"/>
    <w:rsid w:val="00707F04"/>
    <w:rsid w:val="00711637"/>
    <w:rsid w:val="00714F4F"/>
    <w:rsid w:val="00715844"/>
    <w:rsid w:val="0072444F"/>
    <w:rsid w:val="0072632A"/>
    <w:rsid w:val="00733FA4"/>
    <w:rsid w:val="00736E6A"/>
    <w:rsid w:val="00740324"/>
    <w:rsid w:val="00741401"/>
    <w:rsid w:val="00741DCE"/>
    <w:rsid w:val="00741F59"/>
    <w:rsid w:val="007427B7"/>
    <w:rsid w:val="0074697D"/>
    <w:rsid w:val="00747CCD"/>
    <w:rsid w:val="00752810"/>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2B8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50F40"/>
    <w:rsid w:val="00855E7F"/>
    <w:rsid w:val="0086107D"/>
    <w:rsid w:val="00862848"/>
    <w:rsid w:val="00864251"/>
    <w:rsid w:val="00864F0C"/>
    <w:rsid w:val="00865914"/>
    <w:rsid w:val="00867E90"/>
    <w:rsid w:val="00871FD5"/>
    <w:rsid w:val="0087494C"/>
    <w:rsid w:val="00881213"/>
    <w:rsid w:val="00895381"/>
    <w:rsid w:val="008979B1"/>
    <w:rsid w:val="008A0B75"/>
    <w:rsid w:val="008A1542"/>
    <w:rsid w:val="008A2128"/>
    <w:rsid w:val="008A6B25"/>
    <w:rsid w:val="008A6C4F"/>
    <w:rsid w:val="008A7679"/>
    <w:rsid w:val="008A7AB3"/>
    <w:rsid w:val="008B0105"/>
    <w:rsid w:val="008B1986"/>
    <w:rsid w:val="008B469C"/>
    <w:rsid w:val="008B65FB"/>
    <w:rsid w:val="008C2A40"/>
    <w:rsid w:val="008C3B3C"/>
    <w:rsid w:val="008C4283"/>
    <w:rsid w:val="008C74C3"/>
    <w:rsid w:val="008C7BF7"/>
    <w:rsid w:val="008D0F81"/>
    <w:rsid w:val="008D134F"/>
    <w:rsid w:val="008D3C75"/>
    <w:rsid w:val="008D6942"/>
    <w:rsid w:val="008E0E46"/>
    <w:rsid w:val="008E1DAE"/>
    <w:rsid w:val="008E295A"/>
    <w:rsid w:val="008E5C63"/>
    <w:rsid w:val="008F2D9A"/>
    <w:rsid w:val="008F44B8"/>
    <w:rsid w:val="008F504A"/>
    <w:rsid w:val="0090305A"/>
    <w:rsid w:val="00904EBC"/>
    <w:rsid w:val="009077B4"/>
    <w:rsid w:val="00910348"/>
    <w:rsid w:val="0091598C"/>
    <w:rsid w:val="00917A99"/>
    <w:rsid w:val="00923019"/>
    <w:rsid w:val="00924B63"/>
    <w:rsid w:val="00924E15"/>
    <w:rsid w:val="00925AA3"/>
    <w:rsid w:val="00935224"/>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634E"/>
    <w:rsid w:val="009E1560"/>
    <w:rsid w:val="009E1F95"/>
    <w:rsid w:val="009E47FC"/>
    <w:rsid w:val="009F0F06"/>
    <w:rsid w:val="009F369A"/>
    <w:rsid w:val="009F4FC5"/>
    <w:rsid w:val="009F755C"/>
    <w:rsid w:val="00A014D6"/>
    <w:rsid w:val="00A06982"/>
    <w:rsid w:val="00A06F1A"/>
    <w:rsid w:val="00A11695"/>
    <w:rsid w:val="00A128D7"/>
    <w:rsid w:val="00A1427D"/>
    <w:rsid w:val="00A235F1"/>
    <w:rsid w:val="00A25FF9"/>
    <w:rsid w:val="00A34B00"/>
    <w:rsid w:val="00A3777A"/>
    <w:rsid w:val="00A43D80"/>
    <w:rsid w:val="00A50077"/>
    <w:rsid w:val="00A505AA"/>
    <w:rsid w:val="00A53E92"/>
    <w:rsid w:val="00A54CA8"/>
    <w:rsid w:val="00A60196"/>
    <w:rsid w:val="00A6199C"/>
    <w:rsid w:val="00A622AF"/>
    <w:rsid w:val="00A65F4A"/>
    <w:rsid w:val="00A66636"/>
    <w:rsid w:val="00A67B16"/>
    <w:rsid w:val="00A70422"/>
    <w:rsid w:val="00A71119"/>
    <w:rsid w:val="00A72F22"/>
    <w:rsid w:val="00A744D7"/>
    <w:rsid w:val="00A748A6"/>
    <w:rsid w:val="00A74A46"/>
    <w:rsid w:val="00A75EC9"/>
    <w:rsid w:val="00A810D4"/>
    <w:rsid w:val="00A83538"/>
    <w:rsid w:val="00A8523D"/>
    <w:rsid w:val="00A879A4"/>
    <w:rsid w:val="00AA1BCA"/>
    <w:rsid w:val="00AA1D9A"/>
    <w:rsid w:val="00AA32EB"/>
    <w:rsid w:val="00AB382F"/>
    <w:rsid w:val="00AB4CF1"/>
    <w:rsid w:val="00AB75AE"/>
    <w:rsid w:val="00AC0B4A"/>
    <w:rsid w:val="00AC236C"/>
    <w:rsid w:val="00AC759B"/>
    <w:rsid w:val="00AC7E37"/>
    <w:rsid w:val="00AD0165"/>
    <w:rsid w:val="00AD34EE"/>
    <w:rsid w:val="00AD7C88"/>
    <w:rsid w:val="00AE45DE"/>
    <w:rsid w:val="00AF0878"/>
    <w:rsid w:val="00AF2F9D"/>
    <w:rsid w:val="00AF6710"/>
    <w:rsid w:val="00B013E6"/>
    <w:rsid w:val="00B02815"/>
    <w:rsid w:val="00B04866"/>
    <w:rsid w:val="00B04D66"/>
    <w:rsid w:val="00B10C19"/>
    <w:rsid w:val="00B1157C"/>
    <w:rsid w:val="00B11781"/>
    <w:rsid w:val="00B1501F"/>
    <w:rsid w:val="00B15321"/>
    <w:rsid w:val="00B16D04"/>
    <w:rsid w:val="00B22E1D"/>
    <w:rsid w:val="00B23B4A"/>
    <w:rsid w:val="00B26710"/>
    <w:rsid w:val="00B26B3C"/>
    <w:rsid w:val="00B30179"/>
    <w:rsid w:val="00B3317B"/>
    <w:rsid w:val="00B36C43"/>
    <w:rsid w:val="00B41384"/>
    <w:rsid w:val="00B430D0"/>
    <w:rsid w:val="00B4398E"/>
    <w:rsid w:val="00B45242"/>
    <w:rsid w:val="00B45E02"/>
    <w:rsid w:val="00B535B3"/>
    <w:rsid w:val="00B5392B"/>
    <w:rsid w:val="00B65556"/>
    <w:rsid w:val="00B7151B"/>
    <w:rsid w:val="00B71E2B"/>
    <w:rsid w:val="00B73DA8"/>
    <w:rsid w:val="00B74F7C"/>
    <w:rsid w:val="00B75E05"/>
    <w:rsid w:val="00B81E12"/>
    <w:rsid w:val="00B84AAC"/>
    <w:rsid w:val="00B90F54"/>
    <w:rsid w:val="00B91CC3"/>
    <w:rsid w:val="00B92A0C"/>
    <w:rsid w:val="00B93068"/>
    <w:rsid w:val="00B95488"/>
    <w:rsid w:val="00BA0F68"/>
    <w:rsid w:val="00BA14E4"/>
    <w:rsid w:val="00BA6DA5"/>
    <w:rsid w:val="00BB176D"/>
    <w:rsid w:val="00BB1E7F"/>
    <w:rsid w:val="00BB3B28"/>
    <w:rsid w:val="00BB5196"/>
    <w:rsid w:val="00BC0C09"/>
    <w:rsid w:val="00BC1AC9"/>
    <w:rsid w:val="00BC4BF8"/>
    <w:rsid w:val="00BC4C36"/>
    <w:rsid w:val="00BC5D32"/>
    <w:rsid w:val="00BC74E9"/>
    <w:rsid w:val="00BD109F"/>
    <w:rsid w:val="00BD4BDF"/>
    <w:rsid w:val="00BE0423"/>
    <w:rsid w:val="00BE1FF8"/>
    <w:rsid w:val="00BE50CA"/>
    <w:rsid w:val="00BE56D3"/>
    <w:rsid w:val="00BE618E"/>
    <w:rsid w:val="00BE6532"/>
    <w:rsid w:val="00BE667F"/>
    <w:rsid w:val="00BF479B"/>
    <w:rsid w:val="00BF4DE2"/>
    <w:rsid w:val="00BF65D7"/>
    <w:rsid w:val="00C0236F"/>
    <w:rsid w:val="00C0263F"/>
    <w:rsid w:val="00C03B44"/>
    <w:rsid w:val="00C13A85"/>
    <w:rsid w:val="00C15366"/>
    <w:rsid w:val="00C17F49"/>
    <w:rsid w:val="00C218A4"/>
    <w:rsid w:val="00C30546"/>
    <w:rsid w:val="00C36D37"/>
    <w:rsid w:val="00C4087B"/>
    <w:rsid w:val="00C414CE"/>
    <w:rsid w:val="00C430B5"/>
    <w:rsid w:val="00C45AA8"/>
    <w:rsid w:val="00C463DD"/>
    <w:rsid w:val="00C46D5B"/>
    <w:rsid w:val="00C537D5"/>
    <w:rsid w:val="00C62F76"/>
    <w:rsid w:val="00C63A69"/>
    <w:rsid w:val="00C66D78"/>
    <w:rsid w:val="00C745C3"/>
    <w:rsid w:val="00C8038E"/>
    <w:rsid w:val="00C81212"/>
    <w:rsid w:val="00C83F31"/>
    <w:rsid w:val="00C84FF1"/>
    <w:rsid w:val="00C85FEE"/>
    <w:rsid w:val="00C86C21"/>
    <w:rsid w:val="00C91180"/>
    <w:rsid w:val="00C93C11"/>
    <w:rsid w:val="00C94DDD"/>
    <w:rsid w:val="00C971F6"/>
    <w:rsid w:val="00CA049C"/>
    <w:rsid w:val="00CA381C"/>
    <w:rsid w:val="00CA74D3"/>
    <w:rsid w:val="00CB143B"/>
    <w:rsid w:val="00CB2158"/>
    <w:rsid w:val="00CB22C9"/>
    <w:rsid w:val="00CB6380"/>
    <w:rsid w:val="00CC0989"/>
    <w:rsid w:val="00CC4CA6"/>
    <w:rsid w:val="00CD0009"/>
    <w:rsid w:val="00CD160D"/>
    <w:rsid w:val="00CD30EE"/>
    <w:rsid w:val="00CD3225"/>
    <w:rsid w:val="00CD5093"/>
    <w:rsid w:val="00CE2F07"/>
    <w:rsid w:val="00CE34C7"/>
    <w:rsid w:val="00CE4083"/>
    <w:rsid w:val="00CE46BA"/>
    <w:rsid w:val="00CE4A8F"/>
    <w:rsid w:val="00CE6FAE"/>
    <w:rsid w:val="00CF6F32"/>
    <w:rsid w:val="00CF778D"/>
    <w:rsid w:val="00D00A82"/>
    <w:rsid w:val="00D034DC"/>
    <w:rsid w:val="00D0631B"/>
    <w:rsid w:val="00D06C3A"/>
    <w:rsid w:val="00D07C57"/>
    <w:rsid w:val="00D156C1"/>
    <w:rsid w:val="00D164BA"/>
    <w:rsid w:val="00D2031B"/>
    <w:rsid w:val="00D24F5F"/>
    <w:rsid w:val="00D25E8C"/>
    <w:rsid w:val="00D25FE2"/>
    <w:rsid w:val="00D27E89"/>
    <w:rsid w:val="00D37E80"/>
    <w:rsid w:val="00D4010A"/>
    <w:rsid w:val="00D43252"/>
    <w:rsid w:val="00D46231"/>
    <w:rsid w:val="00D477C4"/>
    <w:rsid w:val="00D5398D"/>
    <w:rsid w:val="00D5409C"/>
    <w:rsid w:val="00D55723"/>
    <w:rsid w:val="00D57C13"/>
    <w:rsid w:val="00D57FD9"/>
    <w:rsid w:val="00D610C1"/>
    <w:rsid w:val="00D658FA"/>
    <w:rsid w:val="00D730E3"/>
    <w:rsid w:val="00D742AC"/>
    <w:rsid w:val="00D753D8"/>
    <w:rsid w:val="00D75619"/>
    <w:rsid w:val="00D91304"/>
    <w:rsid w:val="00D91E0D"/>
    <w:rsid w:val="00D920D7"/>
    <w:rsid w:val="00D9274F"/>
    <w:rsid w:val="00D96248"/>
    <w:rsid w:val="00D96CC5"/>
    <w:rsid w:val="00D978C6"/>
    <w:rsid w:val="00D97B77"/>
    <w:rsid w:val="00DA332C"/>
    <w:rsid w:val="00DA5515"/>
    <w:rsid w:val="00DA6620"/>
    <w:rsid w:val="00DA67AD"/>
    <w:rsid w:val="00DB1A46"/>
    <w:rsid w:val="00DB22BD"/>
    <w:rsid w:val="00DB3EDA"/>
    <w:rsid w:val="00DC581A"/>
    <w:rsid w:val="00DD42A0"/>
    <w:rsid w:val="00DD6801"/>
    <w:rsid w:val="00DD764B"/>
    <w:rsid w:val="00DE236F"/>
    <w:rsid w:val="00DE3C8A"/>
    <w:rsid w:val="00DE3ECB"/>
    <w:rsid w:val="00DE4785"/>
    <w:rsid w:val="00DE7267"/>
    <w:rsid w:val="00DE7C9D"/>
    <w:rsid w:val="00DF0A4D"/>
    <w:rsid w:val="00DF1383"/>
    <w:rsid w:val="00DF1E54"/>
    <w:rsid w:val="00DF2D91"/>
    <w:rsid w:val="00DF3039"/>
    <w:rsid w:val="00DF3A04"/>
    <w:rsid w:val="00DF4518"/>
    <w:rsid w:val="00DF4533"/>
    <w:rsid w:val="00E01324"/>
    <w:rsid w:val="00E05B1C"/>
    <w:rsid w:val="00E07015"/>
    <w:rsid w:val="00E11783"/>
    <w:rsid w:val="00E130AB"/>
    <w:rsid w:val="00E1679E"/>
    <w:rsid w:val="00E239A0"/>
    <w:rsid w:val="00E34031"/>
    <w:rsid w:val="00E34E58"/>
    <w:rsid w:val="00E3560E"/>
    <w:rsid w:val="00E36838"/>
    <w:rsid w:val="00E36C10"/>
    <w:rsid w:val="00E40B76"/>
    <w:rsid w:val="00E42461"/>
    <w:rsid w:val="00E4443D"/>
    <w:rsid w:val="00E4670F"/>
    <w:rsid w:val="00E46745"/>
    <w:rsid w:val="00E52EB0"/>
    <w:rsid w:val="00E54352"/>
    <w:rsid w:val="00E5644E"/>
    <w:rsid w:val="00E5691C"/>
    <w:rsid w:val="00E631BA"/>
    <w:rsid w:val="00E64843"/>
    <w:rsid w:val="00E6613A"/>
    <w:rsid w:val="00E67F31"/>
    <w:rsid w:val="00E7260F"/>
    <w:rsid w:val="00E730D8"/>
    <w:rsid w:val="00E73EB3"/>
    <w:rsid w:val="00E77244"/>
    <w:rsid w:val="00E81230"/>
    <w:rsid w:val="00E84898"/>
    <w:rsid w:val="00E85016"/>
    <w:rsid w:val="00E8535A"/>
    <w:rsid w:val="00E864BE"/>
    <w:rsid w:val="00E90647"/>
    <w:rsid w:val="00E964B9"/>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4E42"/>
    <w:rsid w:val="00EE73C3"/>
    <w:rsid w:val="00EF18D3"/>
    <w:rsid w:val="00EF1D7F"/>
    <w:rsid w:val="00EF4AAC"/>
    <w:rsid w:val="00EF6FCD"/>
    <w:rsid w:val="00F01C57"/>
    <w:rsid w:val="00F03FA2"/>
    <w:rsid w:val="00F04624"/>
    <w:rsid w:val="00F05283"/>
    <w:rsid w:val="00F07537"/>
    <w:rsid w:val="00F075EF"/>
    <w:rsid w:val="00F07E12"/>
    <w:rsid w:val="00F1200D"/>
    <w:rsid w:val="00F12DE6"/>
    <w:rsid w:val="00F138E5"/>
    <w:rsid w:val="00F14682"/>
    <w:rsid w:val="00F203A8"/>
    <w:rsid w:val="00F21360"/>
    <w:rsid w:val="00F23ADA"/>
    <w:rsid w:val="00F30A8A"/>
    <w:rsid w:val="00F34267"/>
    <w:rsid w:val="00F3574D"/>
    <w:rsid w:val="00F40295"/>
    <w:rsid w:val="00F40E75"/>
    <w:rsid w:val="00F412D3"/>
    <w:rsid w:val="00F4216E"/>
    <w:rsid w:val="00F42F33"/>
    <w:rsid w:val="00F431EA"/>
    <w:rsid w:val="00F444E3"/>
    <w:rsid w:val="00F44619"/>
    <w:rsid w:val="00F468F9"/>
    <w:rsid w:val="00F5039C"/>
    <w:rsid w:val="00F5087E"/>
    <w:rsid w:val="00F519D1"/>
    <w:rsid w:val="00F51BAB"/>
    <w:rsid w:val="00F5233F"/>
    <w:rsid w:val="00F52DB2"/>
    <w:rsid w:val="00F535BE"/>
    <w:rsid w:val="00F5413C"/>
    <w:rsid w:val="00F54674"/>
    <w:rsid w:val="00F64C95"/>
    <w:rsid w:val="00F72310"/>
    <w:rsid w:val="00F72514"/>
    <w:rsid w:val="00F736C5"/>
    <w:rsid w:val="00F75E96"/>
    <w:rsid w:val="00F841E1"/>
    <w:rsid w:val="00F9176C"/>
    <w:rsid w:val="00F96C1D"/>
    <w:rsid w:val="00FA00A0"/>
    <w:rsid w:val="00FA1118"/>
    <w:rsid w:val="00FA2C63"/>
    <w:rsid w:val="00FA38BB"/>
    <w:rsid w:val="00FA3FB7"/>
    <w:rsid w:val="00FB520A"/>
    <w:rsid w:val="00FB5A37"/>
    <w:rsid w:val="00FB7793"/>
    <w:rsid w:val="00FC18AA"/>
    <w:rsid w:val="00FC215C"/>
    <w:rsid w:val="00FC29AA"/>
    <w:rsid w:val="00FC5DF6"/>
    <w:rsid w:val="00FC68B7"/>
    <w:rsid w:val="00FD3C5D"/>
    <w:rsid w:val="00FD3E70"/>
    <w:rsid w:val="00FD3F04"/>
    <w:rsid w:val="00FD4128"/>
    <w:rsid w:val="00FD6B2B"/>
    <w:rsid w:val="00FE3EEA"/>
    <w:rsid w:val="00FE5882"/>
    <w:rsid w:val="00FF03BB"/>
    <w:rsid w:val="00FF071A"/>
    <w:rsid w:val="00FF51FB"/>
    <w:rsid w:val="00FF67F6"/>
    <w:rsid w:val="00FF78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AD1CC6"/>
  <w15:docId w15:val="{F1E27F30-A408-4F79-BEBF-233CF4ED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paragraph" w:styleId="Caption">
    <w:name w:val="caption"/>
    <w:basedOn w:val="Normal"/>
    <w:next w:val="Normal"/>
    <w:unhideWhenUsed/>
    <w:qFormat/>
    <w:rsid w:val="006226AC"/>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59586788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4B6D-19A4-45D9-8C86-85E9131C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43</TotalTime>
  <Pages>9</Pages>
  <Words>2489</Words>
  <Characters>14191</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16</cp:revision>
  <cp:lastPrinted>2018-06-01T07:40:00Z</cp:lastPrinted>
  <dcterms:created xsi:type="dcterms:W3CDTF">2018-05-31T08:05:00Z</dcterms:created>
  <dcterms:modified xsi:type="dcterms:W3CDTF">2018-06-01T07:41:00Z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