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AE2321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74D6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E74D61" w:rsidRDefault="00E74D61" w:rsidP="00E74D61">
            <w:pPr>
              <w:jc w:val="right"/>
              <w:rPr>
                <w:lang w:val="en-US"/>
              </w:rPr>
            </w:pPr>
            <w:r w:rsidRPr="00E74D61">
              <w:rPr>
                <w:sz w:val="40"/>
                <w:lang w:val="en-US"/>
              </w:rPr>
              <w:t>ST</w:t>
            </w:r>
            <w:r w:rsidRPr="00E74D61">
              <w:rPr>
                <w:lang w:val="en-US"/>
              </w:rPr>
              <w:t>/SG/AC.10/C.3/105/Add.1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74D61" w:rsidP="00F01738">
            <w:pPr>
              <w:spacing w:before="240"/>
            </w:pPr>
            <w:r>
              <w:t>Distr. générale</w:t>
            </w:r>
          </w:p>
          <w:p w:rsidR="00E74D61" w:rsidRDefault="00E74D61" w:rsidP="00E74D61">
            <w:pPr>
              <w:spacing w:line="240" w:lineRule="exact"/>
            </w:pPr>
            <w:r>
              <w:t>13 avril 2018</w:t>
            </w:r>
          </w:p>
          <w:p w:rsidR="00E74D61" w:rsidRDefault="00E74D61" w:rsidP="00E74D61">
            <w:pPr>
              <w:spacing w:line="240" w:lineRule="exact"/>
            </w:pPr>
            <w:r>
              <w:t>Français</w:t>
            </w:r>
          </w:p>
          <w:p w:rsidR="00E74D61" w:rsidRPr="00DB58B5" w:rsidRDefault="00E74D61" w:rsidP="00E74D61">
            <w:pPr>
              <w:spacing w:line="240" w:lineRule="exact"/>
            </w:pPr>
            <w:r>
              <w:t>Original : anglais</w:t>
            </w:r>
          </w:p>
        </w:tc>
      </w:tr>
    </w:tbl>
    <w:p w:rsidR="00F40182" w:rsidRPr="00CA0680" w:rsidRDefault="00F4018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F40182" w:rsidRPr="00CA0680" w:rsidRDefault="00F4018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F40182" w:rsidRDefault="00F40182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F40182" w:rsidRDefault="00F40182" w:rsidP="000305D3">
      <w:r>
        <w:t>Genève, 25 juin-4 juillet 2018</w:t>
      </w:r>
    </w:p>
    <w:p w:rsidR="00F40182" w:rsidRDefault="00F40182" w:rsidP="000305D3">
      <w:r>
        <w:t>Point 1 de l’ordre du jour provisoire</w:t>
      </w:r>
    </w:p>
    <w:p w:rsidR="00446FE5" w:rsidRPr="00F40182" w:rsidRDefault="00F40182" w:rsidP="00AC3823">
      <w:pPr>
        <w:rPr>
          <w:b/>
        </w:rPr>
      </w:pPr>
      <w:r w:rsidRPr="00F40182">
        <w:rPr>
          <w:b/>
        </w:rPr>
        <w:t>Adoption de l</w:t>
      </w:r>
      <w:r>
        <w:rPr>
          <w:b/>
        </w:rPr>
        <w:t>’</w:t>
      </w:r>
      <w:r w:rsidRPr="00F40182">
        <w:rPr>
          <w:b/>
        </w:rPr>
        <w:t>ordre du jour</w:t>
      </w:r>
    </w:p>
    <w:p w:rsidR="00F40182" w:rsidRPr="00B96EE7" w:rsidRDefault="00F40182" w:rsidP="00F4018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B96EE7">
        <w:rPr>
          <w:lang w:val="fr-FR"/>
        </w:rPr>
        <w:t>Ordre du jour provisoire de la cinquante-troisième session</w:t>
      </w:r>
    </w:p>
    <w:p w:rsidR="00F40182" w:rsidRPr="00F40182" w:rsidRDefault="00F40182" w:rsidP="00F40182">
      <w:pPr>
        <w:pStyle w:val="H56G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 w:rsidRPr="00F40182">
        <w:rPr>
          <w:b/>
          <w:lang w:val="fr-FR"/>
        </w:rPr>
        <w:t>Additif</w:t>
      </w:r>
    </w:p>
    <w:p w:rsidR="00F40182" w:rsidRPr="00B96EE7" w:rsidRDefault="00F40182" w:rsidP="00F40182">
      <w:pPr>
        <w:pStyle w:val="H1G"/>
      </w:pPr>
      <w:r w:rsidRPr="00B96EE7">
        <w:rPr>
          <w:lang w:val="fr-FR"/>
        </w:rPr>
        <w:tab/>
      </w:r>
      <w:r w:rsidRPr="00B96EE7">
        <w:rPr>
          <w:lang w:val="fr-FR"/>
        </w:rPr>
        <w:tab/>
        <w:t>Liste des documents</w:t>
      </w:r>
    </w:p>
    <w:p w:rsidR="00F40182" w:rsidRPr="00B96EE7" w:rsidRDefault="00F40182" w:rsidP="00F40182">
      <w:pPr>
        <w:pStyle w:val="H1G"/>
      </w:pPr>
      <w:r>
        <w:tab/>
      </w:r>
      <w:r w:rsidRPr="00B96EE7">
        <w:rPr>
          <w:lang w:val="fr-FR"/>
        </w:rPr>
        <w:t>1.</w:t>
      </w:r>
      <w:r w:rsidRPr="00B96EE7">
        <w:rPr>
          <w:lang w:val="fr-FR"/>
        </w:rPr>
        <w:tab/>
        <w:t>Adoption de l</w:t>
      </w:r>
      <w:r>
        <w:rPr>
          <w:lang w:val="fr-FR"/>
        </w:rPr>
        <w:t>’</w:t>
      </w:r>
      <w:r w:rsidRPr="00B96EE7">
        <w:rPr>
          <w:lang w:val="fr-FR"/>
        </w:rPr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F40182" w:rsidRPr="00B96EE7" w:rsidTr="009F5BF8">
        <w:tc>
          <w:tcPr>
            <w:tcW w:w="2552" w:type="dxa"/>
            <w:shd w:val="clear" w:color="auto" w:fill="auto"/>
          </w:tcPr>
          <w:p w:rsidR="00F40182" w:rsidRPr="00B96EE7" w:rsidRDefault="00F40182" w:rsidP="00FF55FA">
            <w:pPr>
              <w:spacing w:after="120"/>
            </w:pPr>
            <w:r w:rsidRPr="00B96EE7">
              <w:rPr>
                <w:lang w:val="fr-FR"/>
              </w:rPr>
              <w:t>ST/SG/AC.10/C.3/105</w:t>
            </w:r>
          </w:p>
        </w:tc>
        <w:tc>
          <w:tcPr>
            <w:tcW w:w="4818" w:type="dxa"/>
            <w:shd w:val="clear" w:color="auto" w:fill="auto"/>
          </w:tcPr>
          <w:p w:rsidR="00F40182" w:rsidRPr="00B96EE7" w:rsidRDefault="00F40182" w:rsidP="00FF55FA">
            <w:pPr>
              <w:spacing w:after="120"/>
            </w:pPr>
            <w:r w:rsidRPr="00B96EE7">
              <w:rPr>
                <w:lang w:val="fr-FR"/>
              </w:rPr>
              <w:t>Ordre du jour provisoire de la cinquante-troisième session</w:t>
            </w:r>
          </w:p>
        </w:tc>
      </w:tr>
      <w:tr w:rsidR="00F40182" w:rsidRPr="00B96EE7" w:rsidTr="009F5BF8">
        <w:tc>
          <w:tcPr>
            <w:tcW w:w="2552" w:type="dxa"/>
            <w:shd w:val="clear" w:color="auto" w:fill="auto"/>
          </w:tcPr>
          <w:p w:rsidR="00F40182" w:rsidRPr="00CB486E" w:rsidRDefault="00F40182" w:rsidP="00FF55FA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ST/SG/AC.10/C.3/105/Add.1</w:t>
            </w:r>
          </w:p>
        </w:tc>
        <w:tc>
          <w:tcPr>
            <w:tcW w:w="4818" w:type="dxa"/>
            <w:shd w:val="clear" w:color="auto" w:fill="auto"/>
          </w:tcPr>
          <w:p w:rsidR="00F40182" w:rsidRPr="00B96EE7" w:rsidRDefault="00F40182" w:rsidP="00FF55FA">
            <w:pPr>
              <w:spacing w:after="120"/>
            </w:pPr>
            <w:r w:rsidRPr="00B96EE7">
              <w:rPr>
                <w:lang w:val="fr-FR"/>
              </w:rPr>
              <w:t>Liste des documents</w:t>
            </w:r>
          </w:p>
        </w:tc>
      </w:tr>
    </w:tbl>
    <w:p w:rsidR="00F40182" w:rsidRPr="00B96EE7" w:rsidRDefault="00F40182" w:rsidP="00E92EEF">
      <w:pPr>
        <w:pStyle w:val="H23G"/>
      </w:pPr>
      <w:r w:rsidRPr="00B96EE7">
        <w:rPr>
          <w:lang w:val="fr-FR"/>
        </w:rPr>
        <w:tab/>
      </w:r>
      <w:r w:rsidRPr="00B96EE7">
        <w:rPr>
          <w:lang w:val="fr-FR"/>
        </w:rPr>
        <w:tab/>
        <w:t>Documents de référence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4"/>
        <w:gridCol w:w="4906"/>
      </w:tblGrid>
      <w:tr w:rsidR="00F40182" w:rsidRPr="00B96EE7" w:rsidTr="00A36F17">
        <w:tc>
          <w:tcPr>
            <w:tcW w:w="2464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ST/SG/AC.10/1/Rev.20</w:t>
            </w:r>
          </w:p>
        </w:tc>
        <w:tc>
          <w:tcPr>
            <w:tcW w:w="4906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Recommandations relatives au transport des marchandises dangereuses, Règlement type, vingtième édition révisée</w:t>
            </w:r>
          </w:p>
        </w:tc>
      </w:tr>
      <w:tr w:rsidR="00F40182" w:rsidRPr="00B96EE7" w:rsidTr="00A36F17">
        <w:tc>
          <w:tcPr>
            <w:tcW w:w="2464" w:type="dxa"/>
            <w:shd w:val="clear" w:color="auto" w:fill="auto"/>
          </w:tcPr>
          <w:p w:rsidR="00F40182" w:rsidRPr="00E031A9" w:rsidRDefault="00F40182" w:rsidP="00E031A9">
            <w:pPr>
              <w:spacing w:after="120"/>
              <w:rPr>
                <w:lang w:val="en-US"/>
              </w:rPr>
            </w:pPr>
            <w:r w:rsidRPr="00E031A9">
              <w:rPr>
                <w:lang w:val="en-US"/>
              </w:rPr>
              <w:t>ST/SG/AC.10/11/Rev.6</w:t>
            </w:r>
            <w:r w:rsidR="00E031A9" w:rsidRPr="00E031A9">
              <w:rPr>
                <w:lang w:val="en-US"/>
              </w:rPr>
              <w:br/>
            </w:r>
            <w:r w:rsidRPr="00E031A9">
              <w:rPr>
                <w:lang w:val="en-US"/>
              </w:rPr>
              <w:t>et Amend.1</w:t>
            </w:r>
          </w:p>
        </w:tc>
        <w:tc>
          <w:tcPr>
            <w:tcW w:w="4906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Recommandations relatives au transport des marchandises dangereuses, Manuel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épreuves et de critères, sixième é</w:t>
            </w:r>
            <w:r>
              <w:rPr>
                <w:lang w:val="fr-FR"/>
              </w:rPr>
              <w:t>dition révisée, tel</w:t>
            </w:r>
            <w:r w:rsidRPr="00B96EE7">
              <w:rPr>
                <w:lang w:val="fr-FR"/>
              </w:rPr>
              <w:t xml:space="preserve"> que modifié</w:t>
            </w:r>
          </w:p>
        </w:tc>
      </w:tr>
      <w:tr w:rsidR="00F40182" w:rsidRPr="00B96EE7" w:rsidTr="00A3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ST/SG/AC.10/30/Rev.7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Système général harmonisé de classification 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étiquetage des produits chimiques (SGH), septième édition révisée</w:t>
            </w:r>
          </w:p>
        </w:tc>
      </w:tr>
      <w:tr w:rsidR="00F40182" w:rsidRPr="00B96EE7" w:rsidTr="00A3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E031A9" w:rsidP="00F241D7">
            <w:pPr>
              <w:spacing w:after="120"/>
            </w:pPr>
            <w:r>
              <w:rPr>
                <w:lang w:val="fr-FR"/>
              </w:rPr>
              <w:t>ST/SG/AC.10/C.3/102</w:t>
            </w:r>
            <w:r>
              <w:rPr>
                <w:lang w:val="fr-FR"/>
              </w:rPr>
              <w:br/>
            </w:r>
            <w:r w:rsidR="00F40182" w:rsidRPr="00B96EE7">
              <w:rPr>
                <w:lang w:val="fr-FR"/>
              </w:rPr>
              <w:t>et Add.1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Rapport du Sous-Comité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experts du transport</w:t>
            </w:r>
            <w:r>
              <w:rPr>
                <w:lang w:val="fr-FR"/>
              </w:rPr>
              <w:t xml:space="preserve"> </w:t>
            </w:r>
            <w:r w:rsidRPr="00B96EE7">
              <w:rPr>
                <w:lang w:val="fr-FR"/>
              </w:rPr>
              <w:t>des marchandises dangereuses sur</w:t>
            </w:r>
            <w:r>
              <w:rPr>
                <w:lang w:val="fr-FR"/>
              </w:rPr>
              <w:t xml:space="preserve"> </w:t>
            </w:r>
            <w:r w:rsidRPr="00B96EE7">
              <w:rPr>
                <w:lang w:val="fr-FR"/>
              </w:rPr>
              <w:t>sa cinquante et unième session</w:t>
            </w:r>
          </w:p>
        </w:tc>
      </w:tr>
      <w:tr w:rsidR="00F40182" w:rsidRPr="00B96EE7" w:rsidTr="00A3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E031A9" w:rsidP="00F241D7">
            <w:pPr>
              <w:spacing w:after="120"/>
            </w:pPr>
            <w:r>
              <w:rPr>
                <w:lang w:val="fr-FR"/>
              </w:rPr>
              <w:t>ST/SG/AC.10/C.3/104</w:t>
            </w:r>
            <w:r>
              <w:rPr>
                <w:lang w:val="fr-FR"/>
              </w:rPr>
              <w:br/>
            </w:r>
            <w:r w:rsidR="00F40182" w:rsidRPr="00B96EE7">
              <w:rPr>
                <w:lang w:val="fr-FR"/>
              </w:rPr>
              <w:t>et Add.1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Rapport du Sous-Comité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experts du transport des marchandises dangereuses</w:t>
            </w:r>
            <w:r>
              <w:rPr>
                <w:lang w:val="fr-FR"/>
              </w:rPr>
              <w:t xml:space="preserve"> </w:t>
            </w:r>
            <w:r w:rsidRPr="00B96EE7">
              <w:rPr>
                <w:lang w:val="fr-FR"/>
              </w:rPr>
              <w:t>sur sa cinquante-deuxième session</w:t>
            </w:r>
          </w:p>
        </w:tc>
      </w:tr>
      <w:tr w:rsidR="00F40182" w:rsidRPr="00B96EE7" w:rsidTr="00A3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ST/SG/AC.10/C.4/66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Rapport du Sous-Comité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experts du Système général harmonisé de classification 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étiquetage des produits chimiques sur sa trente-troisième session</w:t>
            </w:r>
          </w:p>
        </w:tc>
      </w:tr>
      <w:tr w:rsidR="00F40182" w:rsidRPr="00B96EE7" w:rsidTr="00A3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lastRenderedPageBreak/>
              <w:t>ST/SG/AC.10/C.4/68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182" w:rsidRPr="00B96EE7" w:rsidRDefault="00F40182" w:rsidP="00F241D7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>Rapport du Sous-Comité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experts du Système général harmonisé de classification 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étiquetage des produits chimiques sur sa trente-quatrième session</w:t>
            </w:r>
          </w:p>
        </w:tc>
      </w:tr>
    </w:tbl>
    <w:p w:rsidR="00F40182" w:rsidRPr="00B96EE7" w:rsidRDefault="00E92EEF" w:rsidP="00E92EEF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2.</w:t>
      </w:r>
      <w:r w:rsidR="00F40182" w:rsidRPr="00B96EE7">
        <w:rPr>
          <w:lang w:val="fr-FR"/>
        </w:rPr>
        <w:tab/>
        <w:t>Explosifs et questions connexes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a)</w:t>
      </w:r>
      <w:r w:rsidR="00F40182" w:rsidRPr="00B96EE7">
        <w:rPr>
          <w:lang w:val="fr-FR"/>
        </w:rPr>
        <w:tab/>
        <w:t>Épreuves de la série 6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b)</w:t>
      </w:r>
      <w:r w:rsidR="00F40182" w:rsidRPr="00B96EE7">
        <w:rPr>
          <w:lang w:val="fr-FR"/>
        </w:rPr>
        <w:tab/>
        <w:t>Révision des épreuves des parties I, II et III du Manuel d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épreuves</w:t>
      </w:r>
      <w:r w:rsidR="00F40182">
        <w:rPr>
          <w:lang w:val="fr-FR"/>
        </w:rPr>
        <w:t xml:space="preserve"> </w:t>
      </w:r>
      <w:r w:rsidR="00F40182" w:rsidRPr="00B96EE7">
        <w:rPr>
          <w:lang w:val="fr-FR"/>
        </w:rPr>
        <w:t>et de critères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c)</w:t>
      </w:r>
      <w:r w:rsidR="00F40182" w:rsidRPr="00B96EE7">
        <w:rPr>
          <w:lang w:val="fr-FR"/>
        </w:rPr>
        <w:tab/>
        <w:t>Détonateurs électroniques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3877EF" w:rsidRDefault="00F40182" w:rsidP="009F5BF8">
            <w:pPr>
              <w:rPr>
                <w:lang w:val="en-US"/>
              </w:rPr>
            </w:pPr>
            <w:r w:rsidRPr="003877EF">
              <w:rPr>
                <w:lang w:val="en-US"/>
              </w:rPr>
              <w:t>ST/SG/AC.10/C.3/2018/58 (AEISG)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9F5BF8">
            <w:r w:rsidRPr="00B96EE7">
              <w:rPr>
                <w:lang w:val="fr-FR"/>
              </w:rPr>
              <w:t>Nouvelles rubriques ONU pour les détonateurs électroniques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d)</w:t>
      </w:r>
      <w:r w:rsidR="00F40182" w:rsidRPr="00B96EE7">
        <w:rPr>
          <w:lang w:val="fr-FR"/>
        </w:rPr>
        <w:tab/>
        <w:t>Directives pour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application des épreuves des séries 3 et 4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e)</w:t>
      </w:r>
      <w:r w:rsidR="00F40182" w:rsidRPr="00B96EE7">
        <w:rPr>
          <w:lang w:val="fr-FR"/>
        </w:rPr>
        <w:tab/>
        <w:t>Épreuves de stabilité pour la nitrocellulose industrielle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E92EEF" w:rsidRDefault="00F40182" w:rsidP="00F241D7">
            <w:pPr>
              <w:spacing w:after="120"/>
              <w:rPr>
                <w:lang w:val="en-US"/>
              </w:rPr>
            </w:pPr>
            <w:r w:rsidRPr="00E92EEF">
              <w:rPr>
                <w:lang w:val="en-US"/>
              </w:rPr>
              <w:t>ST/SG/AC.10/C.3/2018/9 (CEFIC)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Épreuves de stabilité pour les mélanges de nitrocellulose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3877EF" w:rsidRDefault="00F40182" w:rsidP="00F241D7">
            <w:pPr>
              <w:spacing w:after="120"/>
              <w:rPr>
                <w:lang w:val="en-US"/>
              </w:rPr>
            </w:pPr>
            <w:r w:rsidRPr="003877EF">
              <w:rPr>
                <w:lang w:val="en-US"/>
              </w:rPr>
              <w:t>ST/SG/AC.10/C.3/2018/52 (SAAMI)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Détermination de la sensibilité à une décharge électrostatique (ESD) au moyen de la machine du Laboratoire de balistique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Allegany (ABL)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f)</w:t>
      </w:r>
      <w:r w:rsidR="00F40182" w:rsidRPr="00B96EE7">
        <w:rPr>
          <w:lang w:val="fr-FR"/>
        </w:rPr>
        <w:tab/>
        <w:t>Application des dispositions relatives à la sûreté aux explosifs relevant de rubriques n.s.a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g)</w:t>
      </w:r>
      <w:r w:rsidR="00F40182" w:rsidRPr="00B96EE7">
        <w:rPr>
          <w:lang w:val="fr-FR"/>
        </w:rPr>
        <w:tab/>
        <w:t>Révision des instructions d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emballage relatives aux explosifs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h)</w:t>
      </w:r>
      <w:r w:rsidR="00F40182" w:rsidRPr="00B96EE7">
        <w:rPr>
          <w:lang w:val="fr-FR"/>
        </w:rPr>
        <w:tab/>
        <w:t xml:space="preserve">Classement des objets sous le </w:t>
      </w:r>
      <w:r w:rsidR="003877EF" w:rsidRPr="003877EF">
        <w:rPr>
          <w:rFonts w:eastAsia="MS Mincho"/>
          <w:lang w:val="fr-FR"/>
        </w:rPr>
        <w:t>n</w:t>
      </w:r>
      <w:r w:rsidR="003877EF" w:rsidRPr="003877EF">
        <w:rPr>
          <w:rFonts w:eastAsia="MS Mincho"/>
          <w:vertAlign w:val="superscript"/>
          <w:lang w:val="fr-FR"/>
        </w:rPr>
        <w:t>o</w:t>
      </w:r>
      <w:r w:rsidR="003877EF">
        <w:rPr>
          <w:lang w:val="fr-FR"/>
        </w:rPr>
        <w:t> </w:t>
      </w:r>
      <w:r w:rsidR="00F40182" w:rsidRPr="00B96EE7">
        <w:rPr>
          <w:lang w:val="fr-FR"/>
        </w:rPr>
        <w:t>ONU 0349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i)</w:t>
      </w:r>
      <w:r w:rsidR="00F40182" w:rsidRPr="00B96EE7">
        <w:rPr>
          <w:lang w:val="fr-FR"/>
        </w:rPr>
        <w:tab/>
        <w:t>Examen du chapitre 2.1 du SGH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Voir le document ST/SG/AC.10/C.3/2</w:t>
      </w:r>
      <w:r w:rsidR="00D1795B">
        <w:rPr>
          <w:lang w:val="fr-FR"/>
        </w:rPr>
        <w:t>018/33 soumis au titre du point </w:t>
      </w:r>
      <w:r w:rsidRPr="00B96EE7">
        <w:rPr>
          <w:lang w:val="fr-FR"/>
        </w:rPr>
        <w:t>10</w:t>
      </w:r>
      <w:r w:rsidR="00D1795B">
        <w:rPr>
          <w:lang w:val="fr-FR"/>
        </w:rPr>
        <w:t> </w:t>
      </w:r>
      <w:r w:rsidRPr="00B96EE7">
        <w:rPr>
          <w:lang w:val="fr-FR"/>
        </w:rPr>
        <w:t>e) de l</w:t>
      </w:r>
      <w:r>
        <w:rPr>
          <w:lang w:val="fr-FR"/>
        </w:rPr>
        <w:t>’</w:t>
      </w:r>
      <w:r w:rsidRPr="00B96EE7">
        <w:rPr>
          <w:lang w:val="fr-FR"/>
        </w:rPr>
        <w:t>ordre du jour.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j)</w:t>
      </w:r>
      <w:r w:rsidR="00F40182" w:rsidRPr="00B96EE7"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ST/SG/AC.10/C.3/2018/6 (Allemagne)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Mise à jour de la référence à la norme ISO 12097 au paragraphe 2.1.3.6.4 du Règlement type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7964AE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lastRenderedPageBreak/>
              <w:t>ST/SG/AC.10/C.3/2018/48 (États-Unis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Amérique)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7964AE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>Extension du tableau de classification par défaut des feux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artifice pour le classement des objets s</w:t>
            </w:r>
            <w:r w:rsidR="006B6E84">
              <w:rPr>
                <w:lang w:val="fr-FR"/>
              </w:rPr>
              <w:t>ous le</w:t>
            </w:r>
            <w:r w:rsidR="003877EF">
              <w:rPr>
                <w:lang w:val="fr-FR"/>
              </w:rPr>
              <w:t xml:space="preserve"> </w:t>
            </w:r>
            <w:r w:rsidR="003877EF" w:rsidRPr="003877EF">
              <w:rPr>
                <w:rFonts w:eastAsia="MS Mincho"/>
                <w:lang w:val="fr-FR"/>
              </w:rPr>
              <w:t>n</w:t>
            </w:r>
            <w:r w:rsidR="003877EF" w:rsidRPr="003877EF">
              <w:rPr>
                <w:rFonts w:eastAsia="MS Mincho"/>
                <w:vertAlign w:val="superscript"/>
                <w:lang w:val="fr-FR"/>
              </w:rPr>
              <w:t>o</w:t>
            </w:r>
            <w:r w:rsidR="003877EF">
              <w:rPr>
                <w:lang w:val="fr-FR"/>
              </w:rPr>
              <w:t> </w:t>
            </w:r>
            <w:r w:rsidRPr="00B96EE7">
              <w:rPr>
                <w:lang w:val="fr-FR"/>
              </w:rPr>
              <w:t>ONU</w:t>
            </w:r>
            <w:r w:rsidR="00E031A9">
              <w:rPr>
                <w:lang w:val="fr-FR"/>
              </w:rPr>
              <w:t> </w:t>
            </w:r>
            <w:r w:rsidRPr="00B96EE7">
              <w:rPr>
                <w:lang w:val="fr-FR"/>
              </w:rPr>
              <w:t>0431 (objets pyrotechniques)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ST/SG/AC.10/C.3/2018/53 (SAAMI)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Méthode pour le transport des expéditions contrôlées des explosifs non encore classifiés (≤25 g)</w:t>
            </w:r>
          </w:p>
        </w:tc>
      </w:tr>
    </w:tbl>
    <w:p w:rsidR="00F40182" w:rsidRPr="00B96EE7" w:rsidRDefault="00E92EEF" w:rsidP="00E92EEF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3.</w:t>
      </w:r>
      <w:r w:rsidR="00F40182" w:rsidRPr="00B96EE7">
        <w:rPr>
          <w:lang w:val="fr-FR"/>
        </w:rPr>
        <w:tab/>
        <w:t>Inscription, classement et emballage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ST/SG/AC.10/C.3/2018/4 (Espagne)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Liquides visqueux non soumis au Règlement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ST/SG/AC.10/C.3/2018/7 (Allemagne)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1F1434" w:rsidP="003877EF">
            <w:pPr>
              <w:spacing w:after="120"/>
            </w:pPr>
            <w:r>
              <w:rPr>
                <w:lang w:val="fr-FR"/>
              </w:rPr>
              <w:t xml:space="preserve">Nom et description du </w:t>
            </w:r>
            <w:r w:rsidR="003877EF" w:rsidRPr="003877EF">
              <w:rPr>
                <w:rFonts w:eastAsia="MS Mincho"/>
                <w:lang w:val="fr-FR"/>
              </w:rPr>
              <w:t>n</w:t>
            </w:r>
            <w:r w:rsidR="003877EF" w:rsidRPr="003877EF">
              <w:rPr>
                <w:rFonts w:eastAsia="MS Mincho"/>
                <w:vertAlign w:val="superscript"/>
                <w:lang w:val="fr-FR"/>
              </w:rPr>
              <w:t>o</w:t>
            </w:r>
            <w:r w:rsidR="003877EF">
              <w:rPr>
                <w:lang w:val="fr-FR"/>
              </w:rPr>
              <w:t> </w:t>
            </w:r>
            <w:r w:rsidR="00F40182" w:rsidRPr="00B96EE7">
              <w:rPr>
                <w:lang w:val="fr-FR"/>
              </w:rPr>
              <w:t>ONU 3363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ST/SG/AC.10/C.3/2018/11 (Espagne)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Corrections apportées aux noms de plusieurs numéros ONU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ST/SG/AC.10/C.3/2017/13 (Allemagne)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Classification des engins de récupération autogonflables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ST/SG/AC.10/C.3/2018/14 (Espagne)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Noms des explosifs en espagnol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ST/SG/AC.10/C.3/2018/20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Classification et emballage des déchets infectieux de la catégorie A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ST/SG/AC.10/C.3/2018/21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Révision de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instruction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emballage P801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ST/SG/AC.10/C.3/2018/25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 xml:space="preserve">Précisions à propos des prescriptions relatives </w:t>
            </w:r>
            <w:r w:rsidR="00AE2321">
              <w:rPr>
                <w:lang w:val="fr-FR"/>
              </w:rPr>
              <w:t xml:space="preserve">aux </w:t>
            </w:r>
            <w:r w:rsidRPr="00B96EE7">
              <w:rPr>
                <w:lang w:val="fr-FR"/>
              </w:rPr>
              <w:t>épreuves de résistance des emballages pour matières infectieuses du chapitre 6.3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ST/SG/AC.10/C.3/2018/26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Révision de la définition des matières infectieuses et du tableau du paragraphe 2.6.3.2.2.1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ST/SG/AC.10/C.3/2018/28 (COSTHA)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Objets auxquels s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appliquent les dispositions spéciales 117 et 123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ST/SG/AC.10/C.3/2018/29 (CEFIC)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E031A9" w:rsidP="00F241D7">
            <w:pPr>
              <w:spacing w:after="120"/>
            </w:pPr>
            <w:r>
              <w:rPr>
                <w:lang w:val="fr-FR"/>
              </w:rPr>
              <w:t>Peroxydes organiques </w:t>
            </w:r>
            <w:r w:rsidR="00F40182" w:rsidRPr="00B96EE7">
              <w:rPr>
                <w:lang w:val="fr-FR"/>
              </w:rPr>
              <w:t>: nouvelles préparations devant figurer dans le 2.5.3.2.4 et le IBC 520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ST/SG/AC.10/C.3/2018/38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Corrections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ordre rédactionnel à apporter aux versions française et anglaise du texte du Règlement type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ST/SG/AC.10/C.3/2018/47 (DGAC et COSTHA)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Proposition visant à modifier la disposition spéciale 375 telle qu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elle s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applique aux n</w:t>
            </w:r>
            <w:r w:rsidRPr="00B96EE7">
              <w:rPr>
                <w:vertAlign w:val="superscript"/>
                <w:lang w:val="fr-FR"/>
              </w:rPr>
              <w:t>os</w:t>
            </w:r>
            <w:r w:rsidRPr="00B96EE7">
              <w:rPr>
                <w:lang w:val="fr-FR"/>
              </w:rPr>
              <w:t xml:space="preserve"> ONU 3077 et 3082 (Matières dangereuses pour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environnement)</w:t>
            </w:r>
          </w:p>
        </w:tc>
      </w:tr>
    </w:tbl>
    <w:p w:rsidR="00F40182" w:rsidRPr="00B96EE7" w:rsidRDefault="00E92EEF" w:rsidP="00E92EEF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4.</w:t>
      </w:r>
      <w:r w:rsidR="00F40182" w:rsidRPr="00B96EE7">
        <w:rPr>
          <w:lang w:val="fr-FR"/>
        </w:rPr>
        <w:tab/>
        <w:t>Systèmes de stockage de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électricité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a)</w:t>
      </w:r>
      <w:r w:rsidR="00F40182" w:rsidRPr="00B96EE7">
        <w:rPr>
          <w:lang w:val="fr-FR"/>
        </w:rPr>
        <w:tab/>
        <w:t>Épreuves des batteries au lithium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3877EF" w:rsidRDefault="00F40182" w:rsidP="00E92EEF">
            <w:pPr>
              <w:spacing w:after="120"/>
              <w:rPr>
                <w:lang w:val="en-US"/>
              </w:rPr>
            </w:pPr>
            <w:r w:rsidRPr="003877EF">
              <w:rPr>
                <w:lang w:val="en-US"/>
              </w:rPr>
              <w:t>ST/SG/AC.10/C.3/2018/50 (PRBA, RECHARGE)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B96EE7">
              <w:rPr>
                <w:lang w:val="fr-FR"/>
              </w:rPr>
              <w:t>Épreuve des piles et batteries primaires au lithium déchargées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b)</w:t>
      </w:r>
      <w:r w:rsidR="00F40182" w:rsidRPr="00B96EE7">
        <w:rPr>
          <w:lang w:val="fr-FR"/>
        </w:rPr>
        <w:tab/>
        <w:t>Système de classification des piles au lithium en fonction du danger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B96EE7">
              <w:rPr>
                <w:lang w:val="fr-FR"/>
              </w:rPr>
              <w:t>ST/SG/AC.10/C.3/2018/59 (France et RECHARGE)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B96EE7">
              <w:rPr>
                <w:lang w:val="fr-FR"/>
              </w:rPr>
              <w:t>Rapport du groupe de travail informel du système de classification des piles au lithium en fonction du danger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lastRenderedPageBreak/>
        <w:tab/>
      </w:r>
      <w:r w:rsidR="00F40182" w:rsidRPr="00B96EE7">
        <w:rPr>
          <w:lang w:val="fr-FR"/>
        </w:rPr>
        <w:t>c)</w:t>
      </w:r>
      <w:r w:rsidR="00F40182" w:rsidRPr="00B96EE7">
        <w:rPr>
          <w:lang w:val="fr-FR"/>
        </w:rPr>
        <w:tab/>
        <w:t>Dispositions relatives au transport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E031A9" w:rsidRDefault="00F40182" w:rsidP="00E031A9">
            <w:pPr>
              <w:keepNext/>
              <w:keepLines/>
              <w:rPr>
                <w:lang w:val="en-US"/>
              </w:rPr>
            </w:pPr>
            <w:r w:rsidRPr="00E031A9">
              <w:rPr>
                <w:lang w:val="en-US"/>
              </w:rPr>
              <w:t>ST/SG/AC.10/C.3/2018/37 (RECHARGE, PRBA)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031A9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 xml:space="preserve">Harmonisation de la désignation officielle de transport des </w:t>
            </w:r>
            <w:r w:rsidR="003877EF" w:rsidRPr="003877EF">
              <w:rPr>
                <w:rFonts w:eastAsia="MS Mincho"/>
                <w:lang w:val="fr-FR"/>
              </w:rPr>
              <w:t>n</w:t>
            </w:r>
            <w:r w:rsidR="003877EF" w:rsidRPr="003877EF">
              <w:rPr>
                <w:rFonts w:eastAsia="MS Mincho"/>
                <w:vertAlign w:val="superscript"/>
                <w:lang w:val="fr-FR"/>
              </w:rPr>
              <w:t>o</w:t>
            </w:r>
            <w:r w:rsidR="003877EF">
              <w:rPr>
                <w:rFonts w:eastAsia="MS Mincho"/>
                <w:vertAlign w:val="superscript"/>
                <w:lang w:val="fr-FR"/>
              </w:rPr>
              <w:t>s</w:t>
            </w:r>
            <w:r w:rsidR="003877EF">
              <w:rPr>
                <w:lang w:val="fr-FR"/>
              </w:rPr>
              <w:t> </w:t>
            </w:r>
            <w:r w:rsidRPr="00B96EE7">
              <w:rPr>
                <w:lang w:val="fr-FR"/>
              </w:rPr>
              <w:t>ONU 3481 et 3091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d)</w:t>
      </w:r>
      <w:r w:rsidR="00F40182" w:rsidRPr="00B96EE7">
        <w:rPr>
          <w:lang w:val="fr-FR"/>
        </w:rPr>
        <w:tab/>
        <w:t>Batteries au lithium endommagées ou défectueuses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9F5BF8">
            <w:pPr>
              <w:rPr>
                <w:lang w:val="en-US"/>
              </w:rPr>
            </w:pPr>
            <w:r w:rsidRPr="00B96EE7">
              <w:rPr>
                <w:lang w:val="en-US"/>
              </w:rPr>
              <w:t>ST/SG/AC.10/C.3/2018/51 (PRBA, MDBTC, RECHARGE)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B96EE7">
              <w:rPr>
                <w:lang w:val="fr-FR"/>
              </w:rPr>
              <w:t>Prescriptions relatives aux piles et batteries au lithium endommagées ou défectueus</w:t>
            </w:r>
            <w:r w:rsidR="00E92EEF">
              <w:rPr>
                <w:lang w:val="fr-FR"/>
              </w:rPr>
              <w:t>es dans la disposition spéciale </w:t>
            </w:r>
            <w:r w:rsidRPr="00B96EE7">
              <w:rPr>
                <w:lang w:val="fr-FR"/>
              </w:rPr>
              <w:t>376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e)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Batteries au sodium ionique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B96EE7">
              <w:rPr>
                <w:lang w:val="fr-FR"/>
              </w:rPr>
              <w:t>ST/SG/AC.10/C.3/2018/3 (Royaume-Uni).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92EEF">
            <w:pPr>
              <w:spacing w:after="120"/>
            </w:pPr>
            <w:r w:rsidRPr="00E92EEF">
              <w:t>Batteries</w:t>
            </w:r>
            <w:r w:rsidRPr="00B96EE7">
              <w:rPr>
                <w:lang w:val="fr-FR"/>
              </w:rPr>
              <w:t xml:space="preserve"> au sodium ionique</w:t>
            </w:r>
          </w:p>
        </w:tc>
      </w:tr>
    </w:tbl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f)</w:t>
      </w:r>
      <w:r w:rsidR="00F40182" w:rsidRPr="00B96EE7">
        <w:rPr>
          <w:lang w:val="fr-FR"/>
        </w:rPr>
        <w:tab/>
        <w:t>Questions diverses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5.</w:t>
      </w:r>
      <w:r w:rsidR="00F40182" w:rsidRPr="00B96EE7">
        <w:rPr>
          <w:lang w:val="fr-FR"/>
        </w:rPr>
        <w:tab/>
        <w:t>Transport de gaz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a)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Reconnaissance universelle des r</w:t>
      </w:r>
      <w:r w:rsidR="001F1434">
        <w:rPr>
          <w:lang w:val="fr-FR"/>
        </w:rPr>
        <w:t xml:space="preserve">écipients à pression ONU et non </w:t>
      </w:r>
      <w:r w:rsidR="00F40182" w:rsidRPr="00B96EE7">
        <w:rPr>
          <w:lang w:val="fr-FR"/>
        </w:rPr>
        <w:t>ONU</w:t>
      </w:r>
    </w:p>
    <w:p w:rsidR="00F40182" w:rsidRPr="00B96EE7" w:rsidRDefault="00F40182" w:rsidP="00E92EEF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E92EEF" w:rsidP="00E92EEF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b)</w:t>
      </w:r>
      <w:r w:rsidR="00F40182" w:rsidRPr="00B96EE7"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ST/SG/AC.10/C.3/2018/8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954226">
            <w:pPr>
              <w:spacing w:after="120"/>
            </w:pPr>
            <w:r w:rsidRPr="00B96EE7">
              <w:rPr>
                <w:lang w:val="fr-FR"/>
              </w:rPr>
              <w:t>Enveloppes pour bouteilles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 xml:space="preserve">acétylène </w:t>
            </w:r>
            <w:r w:rsidR="00954226">
              <w:rPr>
                <w:lang w:val="fr-FR"/>
              </w:rPr>
              <w:t>« </w:t>
            </w:r>
            <w:r w:rsidRPr="00B96EE7">
              <w:rPr>
                <w:lang w:val="fr-FR"/>
              </w:rPr>
              <w:t>UN</w:t>
            </w:r>
            <w:r w:rsidR="00954226">
              <w:rPr>
                <w:lang w:val="fr-FR"/>
              </w:rPr>
              <w:t> »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ST/SG/AC.10/C.3/2018/22 (ISO)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Précisions à propos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une disposition concernant le marquage des récipients à pression ONU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ST/SG/AC.10/C.3/2018/23 (ISO)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Ajout de nouvelles normes ISO relatives à la classe 2 et mises à jour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ST/SG/AC.10/C.3/2018/24 (ISO)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Mise à jour des valeurs de la CL</w:t>
            </w:r>
            <w:r w:rsidRPr="00B96EE7">
              <w:rPr>
                <w:vertAlign w:val="subscript"/>
                <w:lang w:val="fr-FR"/>
              </w:rPr>
              <w:t>50</w:t>
            </w:r>
            <w:r w:rsidRPr="00B96EE7">
              <w:rPr>
                <w:lang w:val="fr-FR"/>
              </w:rPr>
              <w:t xml:space="preserve"> dans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instruction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emballage P200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ST/SG/AC.10/C.3/2018/36 (Irlande)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Dispositions relatives au transport des cartouches à gaz mises au rebut (</w:t>
            </w:r>
            <w:r w:rsidR="001F1434" w:rsidRPr="001F1434">
              <w:rPr>
                <w:rFonts w:eastAsia="MS Mincho"/>
                <w:lang w:val="fr-FR"/>
              </w:rPr>
              <w:t>n</w:t>
            </w:r>
            <w:r w:rsidR="001F1434" w:rsidRPr="001F1434">
              <w:rPr>
                <w:rFonts w:eastAsia="MS Mincho"/>
                <w:vertAlign w:val="superscript"/>
                <w:lang w:val="fr-FR"/>
              </w:rPr>
              <w:t>o</w:t>
            </w:r>
            <w:r w:rsidR="001F1434" w:rsidRPr="001F1434">
              <w:rPr>
                <w:lang w:val="fr-FR"/>
              </w:rPr>
              <w:t> </w:t>
            </w:r>
            <w:r w:rsidRPr="00B96EE7">
              <w:rPr>
                <w:lang w:val="fr-FR"/>
              </w:rPr>
              <w:t>ONU 2037)</w:t>
            </w:r>
          </w:p>
        </w:tc>
      </w:tr>
    </w:tbl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6.</w:t>
      </w:r>
      <w:r w:rsidR="00F40182" w:rsidRPr="00B96EE7">
        <w:rPr>
          <w:lang w:val="fr-FR"/>
        </w:rPr>
        <w:tab/>
        <w:t>Propositions diverses d</w:t>
      </w:r>
      <w:r w:rsidR="00F40182">
        <w:rPr>
          <w:lang w:val="fr-FR"/>
        </w:rPr>
        <w:t>’</w:t>
      </w:r>
      <w:r>
        <w:rPr>
          <w:lang w:val="fr-FR"/>
        </w:rPr>
        <w:t>amendements au Règlement type</w:t>
      </w:r>
      <w:r>
        <w:rPr>
          <w:lang w:val="fr-FR"/>
        </w:rPr>
        <w:br/>
      </w:r>
      <w:r w:rsidR="00F40182" w:rsidRPr="00B96EE7">
        <w:rPr>
          <w:lang w:val="fr-FR"/>
        </w:rPr>
        <w:t>pour le transport des marchandises dangereuses</w:t>
      </w:r>
    </w:p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a)</w:t>
      </w:r>
      <w:r w:rsidR="00F40182" w:rsidRPr="00B96EE7">
        <w:rPr>
          <w:lang w:val="fr-FR"/>
        </w:rPr>
        <w:tab/>
        <w:t>Marquage et étiquetage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3877EF" w:rsidRDefault="00F40182" w:rsidP="00F241D7">
            <w:pPr>
              <w:spacing w:after="120"/>
              <w:rPr>
                <w:lang w:val="en-US"/>
              </w:rPr>
            </w:pPr>
            <w:r w:rsidRPr="003877EF">
              <w:rPr>
                <w:lang w:val="en-US"/>
              </w:rPr>
              <w:t>ST/SG/AC.10/C.3/2018/10 (France)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Couleur de la marque pour les matières transportées à chaud selon le 5.3.2.2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ST/SG/AC.10/C.3/2018/19 (Allemagne)</w:t>
            </w:r>
          </w:p>
        </w:tc>
        <w:tc>
          <w:tcPr>
            <w:tcW w:w="4920" w:type="dxa"/>
            <w:shd w:val="clear" w:color="auto" w:fill="auto"/>
          </w:tcPr>
          <w:p w:rsidR="00F40182" w:rsidRPr="00CB486E" w:rsidRDefault="00F40182" w:rsidP="00F241D7">
            <w:pPr>
              <w:spacing w:after="120"/>
            </w:pPr>
            <w:r w:rsidRPr="00CB486E">
              <w:rPr>
                <w:lang w:val="fr-FR"/>
              </w:rPr>
              <w:t>Rectifications concernant la disposition spéciale 363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lastRenderedPageBreak/>
        <w:tab/>
      </w:r>
      <w:r w:rsidR="00F40182" w:rsidRPr="00B96EE7">
        <w:rPr>
          <w:lang w:val="fr-FR"/>
        </w:rPr>
        <w:t>b)</w:t>
      </w:r>
      <w:r w:rsidR="00F40182" w:rsidRPr="00B96EE7">
        <w:rPr>
          <w:lang w:val="fr-FR"/>
        </w:rPr>
        <w:tab/>
        <w:t>Emballages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54807">
            <w:pPr>
              <w:keepNext/>
              <w:keepLines/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ST/SG/AC.10/C.3/2018/27 (ICPP)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54807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>Charge de gerbage maximale autorisée des GRV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54807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>ST/SG/AC.10/C.3/2018/32 (Italie)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54807">
            <w:pPr>
              <w:keepNext/>
              <w:keepLines/>
              <w:spacing w:after="120"/>
            </w:pPr>
            <w:r w:rsidRPr="00B96EE7">
              <w:rPr>
                <w:lang w:val="fr-FR"/>
              </w:rPr>
              <w:t>Fûts en aluminium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ST/SG/AC.10/C.3/2018/34 (SSCA)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Épaisseur minimale de la paroi des grands récipients pour vrac en métal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ST/SG/AC.10/C.3/2018/44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Entretien régulier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un GRV métallique − prescriptions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ST/SG/AC.10/C.3/2018/45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Grands récipients pour vrac (GRV) composites</w:t>
            </w:r>
            <w:r w:rsidR="00A875AC">
              <w:rPr>
                <w:lang w:val="fr-FR"/>
              </w:rPr>
              <w:t xml:space="preserve"> :</w:t>
            </w:r>
            <w:r w:rsidRPr="00B96EE7">
              <w:rPr>
                <w:lang w:val="fr-FR"/>
              </w:rPr>
              <w:t xml:space="preserve"> marquage des récipients intérieurs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ST/SG/AC.10/C.3/2018/46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F241D7">
            <w:pPr>
              <w:spacing w:after="120"/>
            </w:pPr>
            <w:r w:rsidRPr="00B96EE7">
              <w:rPr>
                <w:lang w:val="fr-FR"/>
              </w:rPr>
              <w:t>Marquage de la date de fabrication sur les emballages des types 1H et 3H et sur les récipients intérieurs des grands récipients pour vrac (GRV) composites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F241D7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ST/SG/AC.10/C.3/2018/49 (CEFIC, DGAC).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7964AE">
            <w:pPr>
              <w:spacing w:after="120"/>
            </w:pPr>
            <w:r w:rsidRPr="00B96EE7">
              <w:rPr>
                <w:lang w:val="fr-FR"/>
              </w:rPr>
              <w:t>Marquage multiple des emballages (y compris les grands récipients pour vrac et les grands emballages), indiquant la conformité</w:t>
            </w:r>
            <w:r>
              <w:rPr>
                <w:lang w:val="fr-FR"/>
              </w:rPr>
              <w:t xml:space="preserve"> </w:t>
            </w:r>
            <w:r w:rsidRPr="00B96EE7">
              <w:rPr>
                <w:lang w:val="fr-FR"/>
              </w:rPr>
              <w:t>avec plus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un modèle type éprouvé avec succès (2</w:t>
            </w:r>
            <w:r w:rsidRPr="00B96EE7">
              <w:rPr>
                <w:vertAlign w:val="superscript"/>
                <w:lang w:val="fr-FR"/>
              </w:rPr>
              <w:t>e</w:t>
            </w:r>
            <w:r w:rsidR="007964AE" w:rsidRPr="007964AE">
              <w:rPr>
                <w:lang w:val="fr-FR"/>
              </w:rPr>
              <w:t> </w:t>
            </w:r>
            <w:r w:rsidRPr="00B96EE7">
              <w:rPr>
                <w:lang w:val="fr-FR"/>
              </w:rPr>
              <w:t>partie)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c)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Citernes mobiles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43504F" w:rsidRDefault="00F40182" w:rsidP="00E164D3">
            <w:pPr>
              <w:spacing w:after="120"/>
              <w:rPr>
                <w:lang w:val="en-US"/>
              </w:rPr>
            </w:pPr>
            <w:r w:rsidRPr="0043504F">
              <w:rPr>
                <w:lang w:val="en-US"/>
              </w:rPr>
              <w:t>ST/SG/AC.10/C.3/2018/18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 xml:space="preserve">Dispositions supplémentaires applicables au transport de matières de la </w:t>
            </w:r>
            <w:r w:rsidR="007964AE">
              <w:rPr>
                <w:lang w:val="fr-FR"/>
              </w:rPr>
              <w:t>classe </w:t>
            </w:r>
            <w:r w:rsidRPr="00B96EE7">
              <w:rPr>
                <w:lang w:val="fr-FR"/>
              </w:rPr>
              <w:t>8 en citernes mobiles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ST/SG/AC.10/C.3/2018/41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Épaisseur minimale du réservoir des citernes mobiles utilisées pour le transport de gaz liquéfiés non réfrigérés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ST/SG/AC.10/C.3/2018/42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83CE6" w:rsidP="00F241D7">
            <w:pPr>
              <w:spacing w:after="120"/>
            </w:pPr>
            <w:r>
              <w:rPr>
                <w:lang w:val="fr-FR"/>
              </w:rPr>
              <w:t>Temps de retenue :</w:t>
            </w:r>
            <w:r w:rsidR="00F40182" w:rsidRPr="00B96EE7">
              <w:rPr>
                <w:lang w:val="fr-FR"/>
              </w:rPr>
              <w:t xml:space="preserve"> informations contenues dans le document de transport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ST/SG/AC.10/C.3/2018/43 (Belgique)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Précisions à propos de la disposition spéciale TP19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d)</w:t>
      </w:r>
      <w:r w:rsidR="00F40182" w:rsidRPr="00B96EE7">
        <w:rPr>
          <w:lang w:val="fr-FR"/>
        </w:rPr>
        <w:tab/>
        <w:t>Autres propositions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ST/SG/AC.10/C.3/2018/15 (Allemagne)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Corrections de forme à apporter au Règlement type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ST/SG/AC.10/C.3/2018/31 (Allemagne)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Suppression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instructions de transport en citernes mobiles périmées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ST/SG/AC.10/C.3/2018/40 (Pays-Bas)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7964AE">
            <w:pPr>
              <w:spacing w:after="120"/>
            </w:pPr>
            <w:r w:rsidRPr="00B96EE7">
              <w:rPr>
                <w:lang w:val="fr-FR"/>
              </w:rPr>
              <w:t>Incohérences entre les versions linguistiques à l</w:t>
            </w:r>
            <w:r>
              <w:rPr>
                <w:lang w:val="fr-FR"/>
              </w:rPr>
              <w:t>’</w:t>
            </w:r>
            <w:r w:rsidR="007964AE">
              <w:rPr>
                <w:lang w:val="fr-FR"/>
              </w:rPr>
              <w:t>alinéa </w:t>
            </w:r>
            <w:r w:rsidRPr="00B96EE7">
              <w:rPr>
                <w:lang w:val="fr-FR"/>
              </w:rPr>
              <w:t>a) du paragraphe</w:t>
            </w:r>
            <w:r w:rsidR="007964AE">
              <w:rPr>
                <w:lang w:val="fr-FR"/>
              </w:rPr>
              <w:t> </w:t>
            </w:r>
            <w:r w:rsidRPr="00B96EE7">
              <w:rPr>
                <w:lang w:val="fr-FR"/>
              </w:rPr>
              <w:t>1.1.1.2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E164D3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ST/SG/AC.10/C.3/2018/56 (France)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E164D3">
            <w:pPr>
              <w:spacing w:after="120"/>
            </w:pPr>
            <w:r w:rsidRPr="00B96EE7">
              <w:rPr>
                <w:lang w:val="fr-FR"/>
              </w:rPr>
              <w:t>Utilisation des termes conductivité et conductance au chapitre 6.7</w:t>
            </w:r>
          </w:p>
        </w:tc>
      </w:tr>
    </w:tbl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7.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Harmonisation générale des règlements de transport des marchandises dangereuses avec le Règlement type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2E7CE4">
            <w:pPr>
              <w:spacing w:after="80" w:line="200" w:lineRule="atLeast"/>
              <w:rPr>
                <w:lang w:val="en-US"/>
              </w:rPr>
            </w:pPr>
            <w:r w:rsidRPr="00B96EE7">
              <w:rPr>
                <w:lang w:val="en-US"/>
              </w:rPr>
              <w:t>ST/SG/AC.10/C.3/2018/16 (EIGA)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E7CE4">
            <w:pPr>
              <w:spacing w:after="80" w:line="200" w:lineRule="atLeast"/>
            </w:pPr>
            <w:r w:rsidRPr="00B96EE7">
              <w:rPr>
                <w:lang w:val="fr-FR"/>
              </w:rPr>
              <w:t>Proposition visant à insérer la disposition spéciale 653 de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ADR dans le Règlement type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2E7CE4">
            <w:pPr>
              <w:spacing w:after="80" w:line="200" w:lineRule="atLeast"/>
              <w:rPr>
                <w:lang w:val="en-US"/>
              </w:rPr>
            </w:pPr>
            <w:r w:rsidRPr="00B96EE7">
              <w:rPr>
                <w:lang w:val="en-US"/>
              </w:rPr>
              <w:t>ST/SG/AC.10/C.3/2018/17 (Canada)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E7CE4">
            <w:pPr>
              <w:spacing w:after="80" w:line="200" w:lineRule="atLeast"/>
            </w:pPr>
            <w:r w:rsidRPr="00B96EE7">
              <w:rPr>
                <w:lang w:val="fr-FR"/>
              </w:rPr>
              <w:t>Examen des prescriptions du Canada relatives à la formation en matière de transport de marchandises dangereuses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2E7CE4">
            <w:pPr>
              <w:spacing w:after="80" w:line="200" w:lineRule="atLeast"/>
            </w:pPr>
            <w:r w:rsidRPr="00B96EE7">
              <w:rPr>
                <w:lang w:val="fr-FR"/>
              </w:rPr>
              <w:t>ST/SG/AC.10/C.3/2018/39 (Pays-Bas)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E7CE4">
            <w:pPr>
              <w:spacing w:after="80" w:line="200" w:lineRule="atLeast"/>
            </w:pPr>
            <w:r w:rsidRPr="00B96EE7">
              <w:rPr>
                <w:lang w:val="fr-FR"/>
              </w:rPr>
              <w:t>Modification du 7.1.5.4.5</w:t>
            </w:r>
          </w:p>
        </w:tc>
      </w:tr>
    </w:tbl>
    <w:p w:rsidR="00F40182" w:rsidRPr="00B96EE7" w:rsidRDefault="00187C03" w:rsidP="00187C03">
      <w:pPr>
        <w:pStyle w:val="H1G"/>
      </w:pPr>
      <w:r>
        <w:rPr>
          <w:lang w:val="fr-FR"/>
        </w:rPr>
        <w:lastRenderedPageBreak/>
        <w:tab/>
      </w:r>
      <w:r w:rsidR="00F40182" w:rsidRPr="00B96EE7">
        <w:rPr>
          <w:lang w:val="fr-FR"/>
        </w:rPr>
        <w:t>8.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Coopération avec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Agence internationale de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énergie atomique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10"/>
        <w:gridCol w:w="5345"/>
      </w:tblGrid>
      <w:tr w:rsidR="00F40182" w:rsidRPr="001364CA" w:rsidTr="001364CA">
        <w:tc>
          <w:tcPr>
            <w:tcW w:w="2410" w:type="dxa"/>
            <w:shd w:val="clear" w:color="auto" w:fill="auto"/>
          </w:tcPr>
          <w:p w:rsidR="00F40182" w:rsidRPr="001364CA" w:rsidRDefault="00F40182" w:rsidP="002B05C1">
            <w:pPr>
              <w:keepNext/>
              <w:keepLines/>
              <w:spacing w:after="120"/>
              <w:rPr>
                <w:lang w:val="en-US"/>
              </w:rPr>
            </w:pPr>
            <w:bookmarkStart w:id="1" w:name="_Hlk511028045"/>
            <w:r w:rsidRPr="001364CA">
              <w:rPr>
                <w:lang w:val="en-US"/>
              </w:rPr>
              <w:t>ST/SG/AC.10/C.3/2017/33/Rev.1 (WNTI)</w:t>
            </w:r>
          </w:p>
        </w:tc>
        <w:tc>
          <w:tcPr>
            <w:tcW w:w="5345" w:type="dxa"/>
            <w:shd w:val="clear" w:color="auto" w:fill="auto"/>
          </w:tcPr>
          <w:p w:rsidR="00F40182" w:rsidRPr="001364CA" w:rsidRDefault="00F40182" w:rsidP="002B05C1">
            <w:pPr>
              <w:keepNext/>
              <w:keepLines/>
              <w:spacing w:after="120"/>
            </w:pPr>
            <w:r w:rsidRPr="001364CA">
              <w:rPr>
                <w:lang w:val="fr-FR"/>
              </w:rPr>
              <w:t>Harmonisation entre la circulaire INFCIRC/225/Rev.5 de l’AIEA et le Règlement type</w:t>
            </w:r>
          </w:p>
        </w:tc>
      </w:tr>
      <w:tr w:rsidR="00F40182" w:rsidRPr="001364CA" w:rsidTr="001364CA">
        <w:tc>
          <w:tcPr>
            <w:tcW w:w="2410" w:type="dxa"/>
            <w:shd w:val="clear" w:color="auto" w:fill="auto"/>
          </w:tcPr>
          <w:p w:rsidR="00F40182" w:rsidRPr="001364CA" w:rsidRDefault="00F40182" w:rsidP="002B05C1">
            <w:pPr>
              <w:keepNext/>
              <w:keepLines/>
              <w:spacing w:after="120"/>
              <w:rPr>
                <w:lang w:val="en-US"/>
              </w:rPr>
            </w:pPr>
            <w:r w:rsidRPr="001364CA">
              <w:rPr>
                <w:lang w:val="en-US"/>
              </w:rPr>
              <w:t>ST/SG/AC.10/C.3/2018/54 (AIEA)</w:t>
            </w:r>
          </w:p>
        </w:tc>
        <w:tc>
          <w:tcPr>
            <w:tcW w:w="5345" w:type="dxa"/>
            <w:shd w:val="clear" w:color="auto" w:fill="auto"/>
          </w:tcPr>
          <w:p w:rsidR="00F40182" w:rsidRPr="001364CA" w:rsidRDefault="00F40182" w:rsidP="002B05C1">
            <w:pPr>
              <w:keepNext/>
              <w:keepLines/>
              <w:spacing w:after="120"/>
            </w:pPr>
            <w:r w:rsidRPr="001364CA">
              <w:rPr>
                <w:lang w:val="fr-FR"/>
              </w:rPr>
              <w:t>Harmonisation avec le Règlement de transport des matières radioactives de l’Agence internationale de l’énergie atomique</w:t>
            </w:r>
          </w:p>
        </w:tc>
      </w:tr>
    </w:tbl>
    <w:bookmarkEnd w:id="1"/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9.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Principes directeurs du Règlement type</w:t>
      </w:r>
    </w:p>
    <w:p w:rsidR="00F40182" w:rsidRPr="00B96EE7" w:rsidRDefault="00F40182" w:rsidP="00187C03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10.</w:t>
      </w:r>
      <w:r w:rsidR="00F40182" w:rsidRPr="00B96EE7">
        <w:rPr>
          <w:lang w:val="fr-FR"/>
        </w:rPr>
        <w:tab/>
        <w:t>Questions relatives au Système général harmonisé d</w:t>
      </w:r>
      <w:r>
        <w:rPr>
          <w:lang w:val="fr-FR"/>
        </w:rPr>
        <w:t>e classification</w:t>
      </w:r>
      <w:r>
        <w:rPr>
          <w:lang w:val="fr-FR"/>
        </w:rPr>
        <w:br/>
      </w:r>
      <w:r w:rsidR="00F40182" w:rsidRPr="00B96EE7">
        <w:rPr>
          <w:lang w:val="fr-FR"/>
        </w:rPr>
        <w:t>et d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étiquetage des produits chimiques (SGH)</w:t>
      </w:r>
    </w:p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a)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Critères relatifs à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hydroréactivité</w:t>
      </w:r>
    </w:p>
    <w:p w:rsidR="00F40182" w:rsidRPr="00B96EE7" w:rsidRDefault="00F40182" w:rsidP="00187C03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b)</w:t>
      </w:r>
      <w:r w:rsidR="00F40182" w:rsidRPr="00B96EE7">
        <w:rPr>
          <w:lang w:val="fr-FR"/>
        </w:rPr>
        <w:tab/>
        <w:t>Épreuves relatives aux matières comburantes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2B05C1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ST/SG/AC.10/C.3/2018/35 (France)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D2104">
            <w:pPr>
              <w:spacing w:after="120"/>
            </w:pPr>
            <w:r w:rsidRPr="00B96EE7">
              <w:rPr>
                <w:lang w:val="fr-FR"/>
              </w:rPr>
              <w:t>Épreuves pour les matière</w:t>
            </w:r>
            <w:r w:rsidR="001364CA">
              <w:rPr>
                <w:lang w:val="fr-FR"/>
              </w:rPr>
              <w:t>s liquides comburantes (épreuve </w:t>
            </w:r>
            <w:r w:rsidR="002D2104">
              <w:rPr>
                <w:lang w:val="fr-FR"/>
              </w:rPr>
              <w:t>0</w:t>
            </w:r>
            <w:r w:rsidRPr="00B96EE7">
              <w:rPr>
                <w:lang w:val="fr-FR"/>
              </w:rPr>
              <w:t xml:space="preserve">.2) et les matières solides comburantes (épreuves </w:t>
            </w:r>
            <w:r w:rsidR="002D2104">
              <w:rPr>
                <w:lang w:val="fr-FR"/>
              </w:rPr>
              <w:t>0</w:t>
            </w:r>
            <w:r w:rsidRPr="00B96EE7">
              <w:rPr>
                <w:lang w:val="fr-FR"/>
              </w:rPr>
              <w:t xml:space="preserve">.1 et </w:t>
            </w:r>
            <w:r w:rsidR="002D2104">
              <w:rPr>
                <w:lang w:val="fr-FR"/>
              </w:rPr>
              <w:t>0</w:t>
            </w:r>
            <w:r w:rsidR="001364CA">
              <w:rPr>
                <w:lang w:val="fr-FR"/>
              </w:rPr>
              <w:t>.3) </w:t>
            </w:r>
            <w:r w:rsidRPr="00B96EE7">
              <w:rPr>
                <w:lang w:val="fr-FR"/>
              </w:rPr>
              <w:t>: amendements corollaires aux descriptifs des épreuves à la suite du remplacement de la cellulose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c)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Mise à jour des références aux directives de l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OCDE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2B05C1">
            <w:pPr>
              <w:spacing w:after="120"/>
            </w:pPr>
            <w:r w:rsidRPr="00B96EE7">
              <w:rPr>
                <w:lang w:val="fr-FR"/>
              </w:rPr>
              <w:t>ST/SG/AC.10/C.3/2018/30 (Union européenne)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B05C1">
            <w:pPr>
              <w:spacing w:after="120"/>
            </w:pPr>
            <w:r w:rsidRPr="00B96EE7">
              <w:rPr>
                <w:lang w:val="fr-FR"/>
              </w:rPr>
              <w:t>Ligne directrice 431 révisée de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OCDE devant permettre l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utilisation de sous-catégories pour la corrosion cutanée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d)</w:t>
      </w:r>
      <w:r w:rsidR="00F40182" w:rsidRPr="00B96EE7">
        <w:rPr>
          <w:lang w:val="fr-FR"/>
        </w:rPr>
        <w:tab/>
        <w:t>Utilisation du Manuel d</w:t>
      </w:r>
      <w:r w:rsidR="00F40182">
        <w:rPr>
          <w:lang w:val="fr-FR"/>
        </w:rPr>
        <w:t>’</w:t>
      </w:r>
      <w:r w:rsidR="00F40182" w:rsidRPr="00B96EE7">
        <w:rPr>
          <w:lang w:val="fr-FR"/>
        </w:rPr>
        <w:t>épreuves et de critères</w:t>
      </w:r>
      <w:r w:rsidR="00F40182">
        <w:rPr>
          <w:lang w:val="fr-FR"/>
        </w:rPr>
        <w:t xml:space="preserve"> </w:t>
      </w:r>
      <w:r w:rsidR="00F40182" w:rsidRPr="00B96EE7">
        <w:rPr>
          <w:lang w:val="fr-FR"/>
        </w:rPr>
        <w:t>dans le contexte du SGH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2B05C1">
            <w:pPr>
              <w:spacing w:after="120"/>
            </w:pPr>
            <w:r w:rsidRPr="00B96EE7">
              <w:rPr>
                <w:lang w:val="fr-FR"/>
              </w:rPr>
              <w:t>ST/SG/AC.10/C.3/2018/1 (Président du Groupe de travail des explosifs)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2B05C1">
            <w:pPr>
              <w:spacing w:after="120"/>
            </w:pPr>
            <w:r w:rsidRPr="00B96EE7">
              <w:rPr>
                <w:lang w:val="fr-FR"/>
              </w:rPr>
              <w:t>Utilisation du Manuel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épreuves et de critères dans le contexte du SGH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e)</w:t>
      </w:r>
      <w:r w:rsidR="00F40182" w:rsidRPr="00B96EE7">
        <w:rPr>
          <w:lang w:val="fr-FR"/>
        </w:rPr>
        <w:tab/>
        <w:t>Travaux à mener conjointement avec le Sous-Comité SGH</w:t>
      </w:r>
    </w:p>
    <w:p w:rsidR="00F40182" w:rsidRPr="00B96EE7" w:rsidRDefault="00F40182" w:rsidP="00187C03">
      <w:pPr>
        <w:pStyle w:val="SingleTxtG"/>
        <w:ind w:firstLine="567"/>
      </w:pPr>
      <w:r w:rsidRPr="00B96EE7">
        <w:rPr>
          <w:lang w:val="fr-FR"/>
        </w:rPr>
        <w:t>Les sous-comités TMD et SGH ont décidé</w:t>
      </w:r>
      <w:r>
        <w:rPr>
          <w:lang w:val="fr-FR"/>
        </w:rPr>
        <w:t>,</w:t>
      </w:r>
      <w:r w:rsidR="006318F7">
        <w:rPr>
          <w:lang w:val="fr-FR"/>
        </w:rPr>
        <w:t xml:space="preserve"> lors de leurs cinquante-deuxième et trente</w:t>
      </w:r>
      <w:r w:rsidR="006318F7">
        <w:rPr>
          <w:lang w:val="fr-FR"/>
        </w:rPr>
        <w:noBreakHyphen/>
      </w:r>
      <w:r w:rsidRPr="00B96EE7">
        <w:rPr>
          <w:lang w:val="fr-FR"/>
        </w:rPr>
        <w:t>quatrième sessions respectivement, qu</w:t>
      </w:r>
      <w:r>
        <w:rPr>
          <w:lang w:val="fr-FR"/>
        </w:rPr>
        <w:t>’</w:t>
      </w:r>
      <w:r w:rsidRPr="00B96EE7">
        <w:rPr>
          <w:lang w:val="fr-FR"/>
        </w:rPr>
        <w:t>il serait approprié de tenir une session conjointe en juillet 2018 pour examiner des sujets d</w:t>
      </w:r>
      <w:r>
        <w:rPr>
          <w:lang w:val="fr-FR"/>
        </w:rPr>
        <w:t>’</w:t>
      </w:r>
      <w:r w:rsidRPr="00B96EE7">
        <w:rPr>
          <w:lang w:val="fr-FR"/>
        </w:rPr>
        <w:t>intérêt commun</w:t>
      </w:r>
      <w:r w:rsidR="00EB1A90">
        <w:rPr>
          <w:lang w:val="fr-FR"/>
        </w:rPr>
        <w:t xml:space="preserve"> (voir ST/SG/AC.10/C.3/104, par. </w:t>
      </w:r>
      <w:r w:rsidRPr="00B96EE7">
        <w:rPr>
          <w:lang w:val="fr-FR"/>
        </w:rPr>
        <w:t>30 et</w:t>
      </w:r>
      <w:r w:rsidR="00DF215E">
        <w:rPr>
          <w:lang w:val="fr-FR"/>
        </w:rPr>
        <w:t xml:space="preserve"> ST/SG/AC.10/C.4/68, par. </w:t>
      </w:r>
      <w:r w:rsidRPr="00B96EE7">
        <w:rPr>
          <w:lang w:val="fr-FR"/>
        </w:rPr>
        <w:t>62). La session conjointe aura lieu dans l</w:t>
      </w:r>
      <w:r>
        <w:rPr>
          <w:lang w:val="fr-FR"/>
        </w:rPr>
        <w:t>’</w:t>
      </w:r>
      <w:r w:rsidRPr="00B96EE7">
        <w:rPr>
          <w:lang w:val="fr-FR"/>
        </w:rPr>
        <w:t>après-midi du mardi 3 juillet 2018.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3877EF" w:rsidRDefault="00F40182" w:rsidP="00DF215E">
            <w:pPr>
              <w:spacing w:after="120"/>
              <w:rPr>
                <w:lang w:val="en-US"/>
              </w:rPr>
            </w:pPr>
            <w:r w:rsidRPr="003877EF">
              <w:rPr>
                <w:lang w:val="en-US"/>
              </w:rPr>
              <w:t>ST/SG/AC.10/C.3/2018/2 (EIGA)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Mise à jour de la référence à la norme ISO 10156 dans le Règlement type et le Système général harmonisé de classification 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étiquetage des produits chimiques (SGH)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DF215E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ST/SG/AC.10/C.3/2018/5 (CEFIC, DGAC).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Proposition tendant à classer les produits chimiques sous pression dans le chapitre 2.3 du SGH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DF215E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ST/SG/AC.10/C.3/2018/60 (FEA)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DF215E" w:rsidP="00DF215E">
            <w:pPr>
              <w:spacing w:after="120"/>
            </w:pPr>
            <w:r>
              <w:rPr>
                <w:lang w:val="fr-FR"/>
              </w:rPr>
              <w:t>Aérosols −</w:t>
            </w:r>
            <w:r w:rsidR="00F40182" w:rsidRPr="00B96EE7">
              <w:rPr>
                <w:lang w:val="fr-FR"/>
              </w:rPr>
              <w:t xml:space="preserve"> Amendements corollaires résultant des propositions du ST/SG/AC.10/C.3/2018/5 et du ST/SG/AC.10/C.4/2018/9</w:t>
            </w:r>
            <w:r w:rsidR="00F40182" w:rsidRPr="0043504F">
              <w:rPr>
                <w:rStyle w:val="FootnoteReference"/>
              </w:rPr>
              <w:footnoteReference w:id="2"/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DF215E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lastRenderedPageBreak/>
              <w:t>ST/SG/AC.10/C.3/2018/33 (Suède)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Présentation du projet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éventuel nouveau système de classification des matières et objets explosifs dans le Système harmonisé de classification et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étiquetage des produits (SGH)</w:t>
            </w:r>
          </w:p>
        </w:tc>
      </w:tr>
    </w:tbl>
    <w:p w:rsidR="00F40182" w:rsidRPr="00B96EE7" w:rsidRDefault="00187C03" w:rsidP="00187C03">
      <w:pPr>
        <w:pStyle w:val="H23G"/>
      </w:pPr>
      <w:r>
        <w:rPr>
          <w:lang w:val="fr-FR"/>
        </w:rPr>
        <w:tab/>
      </w:r>
      <w:r w:rsidR="00F40182" w:rsidRPr="00B96EE7">
        <w:rPr>
          <w:lang w:val="fr-FR"/>
        </w:rPr>
        <w:t>f)</w:t>
      </w:r>
      <w:r w:rsidR="00F40182">
        <w:rPr>
          <w:lang w:val="fr-FR"/>
        </w:rPr>
        <w:tab/>
      </w:r>
      <w:r w:rsidR="00F40182" w:rsidRPr="00B96EE7">
        <w:rPr>
          <w:lang w:val="fr-FR"/>
        </w:rPr>
        <w:t>Divers</w:t>
      </w:r>
    </w:p>
    <w:p w:rsidR="00F40182" w:rsidRPr="00B96EE7" w:rsidRDefault="00F40182" w:rsidP="00187C03">
      <w:pPr>
        <w:pStyle w:val="SingleTxtG"/>
        <w:ind w:firstLine="567"/>
      </w:pPr>
      <w:r w:rsidRPr="00B96EE7">
        <w:rPr>
          <w:lang w:val="fr-FR"/>
        </w:rPr>
        <w:t>Aucun document n</w:t>
      </w:r>
      <w:r>
        <w:rPr>
          <w:lang w:val="fr-FR"/>
        </w:rPr>
        <w:t>’</w:t>
      </w:r>
      <w:r w:rsidRPr="00B96EE7">
        <w:rPr>
          <w:lang w:val="fr-FR"/>
        </w:rPr>
        <w:t>avait été soumis au titre de ce point de l</w:t>
      </w:r>
      <w:r>
        <w:rPr>
          <w:lang w:val="fr-FR"/>
        </w:rPr>
        <w:t>’</w:t>
      </w:r>
      <w:r w:rsidRPr="00B96EE7">
        <w:rPr>
          <w:lang w:val="fr-FR"/>
        </w:rPr>
        <w:t>ordre du jour au moment de la rédaction du présent document.</w:t>
      </w:r>
    </w:p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11.</w:t>
      </w:r>
      <w:r w:rsidR="00F40182" w:rsidRPr="00B96EE7"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ST/SG/AC.10/C.3/2018/12 (Suisse)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Mise à disposition électronique des modèles d</w:t>
            </w:r>
            <w:r>
              <w:rPr>
                <w:lang w:val="fr-FR"/>
              </w:rPr>
              <w:t>’</w:t>
            </w:r>
            <w:r w:rsidRPr="00B96EE7">
              <w:rPr>
                <w:lang w:val="fr-FR"/>
              </w:rPr>
              <w:t>étiquettes et marques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CB486E" w:rsidRDefault="00F40182" w:rsidP="00DF215E">
            <w:pPr>
              <w:spacing w:after="120"/>
              <w:rPr>
                <w:lang w:val="en-US"/>
              </w:rPr>
            </w:pPr>
            <w:r w:rsidRPr="00B96EE7">
              <w:rPr>
                <w:lang w:val="en-US"/>
              </w:rPr>
              <w:t>ST/SG/AC.10/C.3/2018/55 (France)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Corrections à apporter à la version française du Règlement type</w:t>
            </w:r>
          </w:p>
        </w:tc>
      </w:tr>
      <w:tr w:rsidR="00F40182" w:rsidRPr="00B96EE7" w:rsidTr="009F5BF8">
        <w:tc>
          <w:tcPr>
            <w:tcW w:w="245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ST/SG/AC.10/C.3/2018/57 (Pays-Bas)</w:t>
            </w:r>
          </w:p>
        </w:tc>
        <w:tc>
          <w:tcPr>
            <w:tcW w:w="4920" w:type="dxa"/>
            <w:shd w:val="clear" w:color="auto" w:fill="auto"/>
          </w:tcPr>
          <w:p w:rsidR="00F40182" w:rsidRPr="00B96EE7" w:rsidRDefault="00F40182" w:rsidP="00DF215E">
            <w:pPr>
              <w:spacing w:after="120"/>
            </w:pPr>
            <w:r w:rsidRPr="00B96EE7">
              <w:rPr>
                <w:lang w:val="fr-FR"/>
              </w:rPr>
              <w:t>Champ d</w:t>
            </w:r>
            <w:r>
              <w:rPr>
                <w:lang w:val="fr-FR"/>
              </w:rPr>
              <w:t>’</w:t>
            </w:r>
            <w:r w:rsidR="00DF215E">
              <w:rPr>
                <w:lang w:val="fr-FR"/>
              </w:rPr>
              <w:t>application du 1.1.1.2 :</w:t>
            </w:r>
            <w:r w:rsidRPr="00B96EE7">
              <w:rPr>
                <w:lang w:val="fr-FR"/>
              </w:rPr>
              <w:t xml:space="preserve"> informations à jour sur les travaux</w:t>
            </w:r>
          </w:p>
        </w:tc>
      </w:tr>
    </w:tbl>
    <w:p w:rsidR="00F40182" w:rsidRPr="00B96EE7" w:rsidRDefault="00187C03" w:rsidP="00187C03">
      <w:pPr>
        <w:pStyle w:val="H1G"/>
      </w:pPr>
      <w:r>
        <w:rPr>
          <w:lang w:val="fr-FR"/>
        </w:rPr>
        <w:tab/>
      </w:r>
      <w:r w:rsidR="00F40182" w:rsidRPr="00B96EE7">
        <w:rPr>
          <w:lang w:val="fr-FR"/>
        </w:rPr>
        <w:t>12.</w:t>
      </w:r>
      <w:r w:rsidR="00F40182" w:rsidRPr="00B96EE7">
        <w:rPr>
          <w:lang w:val="fr-FR"/>
        </w:rPr>
        <w:tab/>
        <w:t>Adoption du rapport</w:t>
      </w:r>
    </w:p>
    <w:p w:rsidR="00F40182" w:rsidRDefault="00F40182" w:rsidP="00187C03">
      <w:pPr>
        <w:pStyle w:val="SingleTxtG"/>
        <w:ind w:firstLine="567"/>
        <w:rPr>
          <w:lang w:val="fr-FR"/>
        </w:rPr>
      </w:pPr>
      <w:r w:rsidRPr="00B96EE7">
        <w:rPr>
          <w:lang w:val="fr-FR"/>
        </w:rPr>
        <w:t>Conformément à l</w:t>
      </w:r>
      <w:r>
        <w:rPr>
          <w:lang w:val="fr-FR"/>
        </w:rPr>
        <w:t>’</w:t>
      </w:r>
      <w:r w:rsidRPr="00B96EE7">
        <w:rPr>
          <w:lang w:val="fr-FR"/>
        </w:rPr>
        <w:t>usage, le Sous-Comité voudra sans doute adopter le rapport de sa cinquante-troisième session sur la base d</w:t>
      </w:r>
      <w:r>
        <w:rPr>
          <w:lang w:val="fr-FR"/>
        </w:rPr>
        <w:t>’</w:t>
      </w:r>
      <w:r w:rsidRPr="00B96EE7">
        <w:rPr>
          <w:lang w:val="fr-FR"/>
        </w:rPr>
        <w:t>un projet établi par le secrétariat.</w:t>
      </w:r>
    </w:p>
    <w:p w:rsidR="00FD7909" w:rsidRPr="00FD7909" w:rsidRDefault="00FD7909" w:rsidP="00FD79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7909" w:rsidRPr="00FD7909" w:rsidSect="00E74D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8C" w:rsidRDefault="0033508C" w:rsidP="00F95C08">
      <w:pPr>
        <w:spacing w:line="240" w:lineRule="auto"/>
      </w:pPr>
    </w:p>
  </w:endnote>
  <w:endnote w:type="continuationSeparator" w:id="0">
    <w:p w:rsidR="0033508C" w:rsidRPr="00AC3823" w:rsidRDefault="0033508C" w:rsidP="00AC3823">
      <w:pPr>
        <w:pStyle w:val="Footer"/>
      </w:pPr>
    </w:p>
  </w:endnote>
  <w:endnote w:type="continuationNotice" w:id="1">
    <w:p w:rsidR="0033508C" w:rsidRDefault="003350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1" w:rsidRPr="00E74D61" w:rsidRDefault="00E74D61" w:rsidP="00E74D61">
    <w:pPr>
      <w:pStyle w:val="Footer"/>
      <w:tabs>
        <w:tab w:val="right" w:pos="9638"/>
      </w:tabs>
    </w:pPr>
    <w:r w:rsidRPr="00E74D61">
      <w:rPr>
        <w:b/>
        <w:sz w:val="18"/>
      </w:rPr>
      <w:fldChar w:fldCharType="begin"/>
    </w:r>
    <w:r w:rsidRPr="00E74D61">
      <w:rPr>
        <w:b/>
        <w:sz w:val="18"/>
      </w:rPr>
      <w:instrText xml:space="preserve"> PAGE  \* MERGEFORMAT </w:instrText>
    </w:r>
    <w:r w:rsidRPr="00E74D61">
      <w:rPr>
        <w:b/>
        <w:sz w:val="18"/>
      </w:rPr>
      <w:fldChar w:fldCharType="separate"/>
    </w:r>
    <w:r w:rsidR="00623331">
      <w:rPr>
        <w:b/>
        <w:noProof/>
        <w:sz w:val="18"/>
      </w:rPr>
      <w:t>6</w:t>
    </w:r>
    <w:r w:rsidRPr="00E74D61">
      <w:rPr>
        <w:b/>
        <w:sz w:val="18"/>
      </w:rPr>
      <w:fldChar w:fldCharType="end"/>
    </w:r>
    <w:r>
      <w:rPr>
        <w:b/>
        <w:sz w:val="18"/>
      </w:rPr>
      <w:tab/>
    </w:r>
    <w:r>
      <w:t>GE.18-05917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1" w:rsidRPr="00E74D61" w:rsidRDefault="00E74D61" w:rsidP="00E74D61">
    <w:pPr>
      <w:pStyle w:val="Footer"/>
      <w:tabs>
        <w:tab w:val="right" w:pos="9638"/>
      </w:tabs>
      <w:rPr>
        <w:b/>
        <w:sz w:val="18"/>
      </w:rPr>
    </w:pPr>
    <w:r>
      <w:t>GE.18-05917</w:t>
    </w:r>
    <w:r>
      <w:tab/>
    </w:r>
    <w:r w:rsidRPr="00E74D61">
      <w:rPr>
        <w:b/>
        <w:sz w:val="18"/>
      </w:rPr>
      <w:fldChar w:fldCharType="begin"/>
    </w:r>
    <w:r w:rsidRPr="00E74D61">
      <w:rPr>
        <w:b/>
        <w:sz w:val="18"/>
      </w:rPr>
      <w:instrText xml:space="preserve"> PAGE  \* MERGEFORMAT </w:instrText>
    </w:r>
    <w:r w:rsidRPr="00E74D61">
      <w:rPr>
        <w:b/>
        <w:sz w:val="18"/>
      </w:rPr>
      <w:fldChar w:fldCharType="separate"/>
    </w:r>
    <w:r w:rsidR="00623331">
      <w:rPr>
        <w:b/>
        <w:noProof/>
        <w:sz w:val="18"/>
      </w:rPr>
      <w:t>7</w:t>
    </w:r>
    <w:r w:rsidRPr="00E74D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74D61" w:rsidRDefault="00E74D61" w:rsidP="00E74D6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18-05917  (F)    020518     030518</w:t>
    </w:r>
    <w:r>
      <w:rPr>
        <w:sz w:val="20"/>
      </w:rPr>
      <w:br/>
    </w:r>
    <w:r w:rsidRPr="00E74D61">
      <w:rPr>
        <w:rFonts w:ascii="C39T30Lfz" w:hAnsi="C39T30Lfz"/>
        <w:sz w:val="56"/>
      </w:rPr>
      <w:t></w:t>
    </w:r>
    <w:r w:rsidRPr="00E74D61">
      <w:rPr>
        <w:rFonts w:ascii="C39T30Lfz" w:hAnsi="C39T30Lfz"/>
        <w:sz w:val="56"/>
      </w:rPr>
      <w:t></w:t>
    </w:r>
    <w:r w:rsidRPr="00E74D61">
      <w:rPr>
        <w:rFonts w:ascii="C39T30Lfz" w:hAnsi="C39T30Lfz"/>
        <w:sz w:val="56"/>
      </w:rPr>
      <w:t></w:t>
    </w:r>
    <w:r w:rsidRPr="00E74D61">
      <w:rPr>
        <w:rFonts w:ascii="C39T30Lfz" w:hAnsi="C39T30Lfz"/>
        <w:sz w:val="56"/>
      </w:rPr>
      <w:t></w:t>
    </w:r>
    <w:r w:rsidRPr="00E74D61">
      <w:rPr>
        <w:rFonts w:ascii="C39T30Lfz" w:hAnsi="C39T30Lfz"/>
        <w:sz w:val="56"/>
      </w:rPr>
      <w:t></w:t>
    </w:r>
    <w:r w:rsidRPr="00E74D61">
      <w:rPr>
        <w:rFonts w:ascii="C39T30Lfz" w:hAnsi="C39T30Lfz"/>
        <w:sz w:val="56"/>
      </w:rPr>
      <w:t></w:t>
    </w:r>
    <w:r w:rsidRPr="00E74D61">
      <w:rPr>
        <w:rFonts w:ascii="C39T30Lfz" w:hAnsi="C39T30Lfz"/>
        <w:sz w:val="56"/>
      </w:rPr>
      <w:t></w:t>
    </w:r>
    <w:r w:rsidRPr="00E74D61">
      <w:rPr>
        <w:rFonts w:ascii="C39T30Lfz" w:hAnsi="C39T30Lfz"/>
        <w:sz w:val="56"/>
      </w:rPr>
      <w:t></w:t>
    </w:r>
    <w:r w:rsidRPr="00E74D6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05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05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8C" w:rsidRPr="00AC3823" w:rsidRDefault="003350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508C" w:rsidRPr="00AC3823" w:rsidRDefault="003350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508C" w:rsidRPr="00AC3823" w:rsidRDefault="0033508C">
      <w:pPr>
        <w:spacing w:line="240" w:lineRule="auto"/>
        <w:rPr>
          <w:sz w:val="2"/>
          <w:szCs w:val="2"/>
        </w:rPr>
      </w:pPr>
    </w:p>
  </w:footnote>
  <w:footnote w:id="2">
    <w:p w:rsidR="00F40182" w:rsidRPr="00B96EE7" w:rsidRDefault="00F40182" w:rsidP="00F40182">
      <w:pPr>
        <w:pStyle w:val="FootnoteText"/>
        <w:rPr>
          <w:lang w:val="fr-FR"/>
        </w:rPr>
      </w:pPr>
      <w:r>
        <w:rPr>
          <w:lang w:val="fr-FR"/>
        </w:rPr>
        <w:tab/>
      </w:r>
      <w:r w:rsidRPr="0043504F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http://www.unece.org/trans/main/dgdb/dgsubc4/c42018.html</w:t>
      </w:r>
      <w:r w:rsidR="00FD790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1" w:rsidRPr="00E74D61" w:rsidRDefault="006233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61" w:rsidRPr="00E74D61" w:rsidRDefault="00623331" w:rsidP="00E74D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C"/>
    <w:rsid w:val="00017F94"/>
    <w:rsid w:val="00023842"/>
    <w:rsid w:val="000305D3"/>
    <w:rsid w:val="000334F9"/>
    <w:rsid w:val="0007796D"/>
    <w:rsid w:val="000B7790"/>
    <w:rsid w:val="00111F2F"/>
    <w:rsid w:val="00132EA9"/>
    <w:rsid w:val="001364CA"/>
    <w:rsid w:val="0014365E"/>
    <w:rsid w:val="00176178"/>
    <w:rsid w:val="00187C03"/>
    <w:rsid w:val="001F1434"/>
    <w:rsid w:val="001F525A"/>
    <w:rsid w:val="00223272"/>
    <w:rsid w:val="0024779E"/>
    <w:rsid w:val="00283190"/>
    <w:rsid w:val="002832AC"/>
    <w:rsid w:val="002B05C1"/>
    <w:rsid w:val="002D2104"/>
    <w:rsid w:val="002D7C93"/>
    <w:rsid w:val="002E7CE4"/>
    <w:rsid w:val="0033508C"/>
    <w:rsid w:val="003877EF"/>
    <w:rsid w:val="00402A9E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23331"/>
    <w:rsid w:val="006318F7"/>
    <w:rsid w:val="0068456F"/>
    <w:rsid w:val="006B6E84"/>
    <w:rsid w:val="0071601D"/>
    <w:rsid w:val="00772C87"/>
    <w:rsid w:val="007964AE"/>
    <w:rsid w:val="007A62E6"/>
    <w:rsid w:val="007F4B55"/>
    <w:rsid w:val="0080684C"/>
    <w:rsid w:val="00871C75"/>
    <w:rsid w:val="008776DC"/>
    <w:rsid w:val="008B40CD"/>
    <w:rsid w:val="00954226"/>
    <w:rsid w:val="009705C8"/>
    <w:rsid w:val="009C1CF4"/>
    <w:rsid w:val="00A30353"/>
    <w:rsid w:val="00A36F17"/>
    <w:rsid w:val="00A875AC"/>
    <w:rsid w:val="00AC3823"/>
    <w:rsid w:val="00AE2321"/>
    <w:rsid w:val="00AE323C"/>
    <w:rsid w:val="00B00181"/>
    <w:rsid w:val="00B00B0D"/>
    <w:rsid w:val="00B765F7"/>
    <w:rsid w:val="00BA0CA9"/>
    <w:rsid w:val="00C02897"/>
    <w:rsid w:val="00D1795B"/>
    <w:rsid w:val="00D3439C"/>
    <w:rsid w:val="00DB1831"/>
    <w:rsid w:val="00DD3BFD"/>
    <w:rsid w:val="00DF215E"/>
    <w:rsid w:val="00DF6678"/>
    <w:rsid w:val="00E031A9"/>
    <w:rsid w:val="00E164D3"/>
    <w:rsid w:val="00E74D61"/>
    <w:rsid w:val="00E92EEF"/>
    <w:rsid w:val="00EB1A90"/>
    <w:rsid w:val="00EE5B3D"/>
    <w:rsid w:val="00EF2E22"/>
    <w:rsid w:val="00EF33FE"/>
    <w:rsid w:val="00F01738"/>
    <w:rsid w:val="00F241D7"/>
    <w:rsid w:val="00F40182"/>
    <w:rsid w:val="00F54807"/>
    <w:rsid w:val="00F660DF"/>
    <w:rsid w:val="00F730C8"/>
    <w:rsid w:val="00F83CE6"/>
    <w:rsid w:val="00F95C08"/>
    <w:rsid w:val="00FD790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C3ECFD-C86B-49B2-89D1-7B43A24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ST/SG/AC.10/C.3/105/Add.1</vt:lpstr>
      <vt:lpstr>ST/SG/AC.10/C.3/105/Add.1</vt:lpstr>
    </vt:vector>
  </TitlesOfParts>
  <Company>DCM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ST/SG/AC.10/C.3/105/Add.1</dc:title>
  <dc:subject/>
  <dc:creator>Sylvie LAMY</dc:creator>
  <cp:keywords/>
  <cp:lastModifiedBy>Laurence Berthet</cp:lastModifiedBy>
  <cp:revision>3</cp:revision>
  <cp:lastPrinted>2018-05-03T07:26:00Z</cp:lastPrinted>
  <dcterms:created xsi:type="dcterms:W3CDTF">2018-05-03T07:26:00Z</dcterms:created>
  <dcterms:modified xsi:type="dcterms:W3CDTF">2018-05-03T07:26:00Z</dcterms:modified>
</cp:coreProperties>
</file>