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03520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035200" w:rsidP="00035200">
            <w:pPr>
              <w:jc w:val="right"/>
            </w:pPr>
            <w:r w:rsidRPr="00035200">
              <w:rPr>
                <w:sz w:val="40"/>
              </w:rPr>
              <w:t>ST</w:t>
            </w:r>
            <w:r>
              <w:t>/SG/AC.10/C.3/2018/84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035200" w:rsidP="00F01738">
            <w:pPr>
              <w:spacing w:before="240"/>
            </w:pPr>
            <w:r>
              <w:t>Distr. générale</w:t>
            </w:r>
          </w:p>
          <w:p w:rsidR="00035200" w:rsidRDefault="00035200" w:rsidP="00035200">
            <w:pPr>
              <w:spacing w:line="240" w:lineRule="exact"/>
            </w:pPr>
            <w:r>
              <w:t>4 septembre 2018</w:t>
            </w:r>
          </w:p>
          <w:p w:rsidR="00035200" w:rsidRDefault="00035200" w:rsidP="00035200">
            <w:pPr>
              <w:spacing w:line="240" w:lineRule="exact"/>
            </w:pPr>
            <w:r>
              <w:t>Français</w:t>
            </w:r>
          </w:p>
          <w:p w:rsidR="00035200" w:rsidRPr="00DB58B5" w:rsidRDefault="00035200" w:rsidP="00035200">
            <w:pPr>
              <w:spacing w:line="240" w:lineRule="exact"/>
            </w:pPr>
            <w:r>
              <w:t>Original : anglais</w:t>
            </w:r>
          </w:p>
        </w:tc>
      </w:tr>
    </w:tbl>
    <w:p w:rsidR="00035200" w:rsidRPr="00CA0680" w:rsidRDefault="00035200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035200" w:rsidRPr="00CA0680" w:rsidRDefault="00035200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035200" w:rsidRDefault="00035200" w:rsidP="000305D3">
      <w:pPr>
        <w:spacing w:before="120"/>
        <w:rPr>
          <w:b/>
        </w:rPr>
      </w:pPr>
      <w:r w:rsidRPr="003A39F5">
        <w:rPr>
          <w:b/>
        </w:rPr>
        <w:t>Cinquante-quatrième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:rsidR="00035200" w:rsidRDefault="00035200" w:rsidP="000305D3">
      <w:r>
        <w:t xml:space="preserve">Genève, </w:t>
      </w:r>
      <w:r w:rsidRPr="003A39F5">
        <w:t>26 novembre</w:t>
      </w:r>
      <w:r>
        <w:t>-</w:t>
      </w:r>
      <w:r w:rsidRPr="003A39F5">
        <w:t>4 décembre 2018</w:t>
      </w:r>
    </w:p>
    <w:p w:rsidR="00035200" w:rsidRDefault="00035200" w:rsidP="000305D3">
      <w:r>
        <w:t>Point 6 de l’ordre du jour provisoire</w:t>
      </w:r>
    </w:p>
    <w:p w:rsidR="00035200" w:rsidRDefault="00035200" w:rsidP="00AC3823">
      <w:r w:rsidRPr="003A39F5">
        <w:rPr>
          <w:b/>
          <w:bCs/>
        </w:rPr>
        <w:t>Nouvelles propositions d</w:t>
      </w:r>
      <w:r>
        <w:rPr>
          <w:b/>
          <w:bCs/>
        </w:rPr>
        <w:t>’</w:t>
      </w:r>
      <w:r w:rsidRPr="003A39F5">
        <w:rPr>
          <w:b/>
          <w:bCs/>
        </w:rPr>
        <w:t xml:space="preserve">amendements au Règlement type </w:t>
      </w:r>
      <w:r>
        <w:rPr>
          <w:b/>
          <w:bCs/>
        </w:rPr>
        <w:br/>
      </w:r>
      <w:r w:rsidRPr="003A39F5">
        <w:rPr>
          <w:b/>
          <w:bCs/>
        </w:rPr>
        <w:t>pour le transport des marchandises dangereuses</w:t>
      </w:r>
    </w:p>
    <w:p w:rsidR="00035200" w:rsidRPr="00035200" w:rsidRDefault="00E773E1" w:rsidP="00035200">
      <w:pPr>
        <w:pStyle w:val="HChG"/>
      </w:pPr>
      <w:r>
        <w:tab/>
      </w:r>
      <w:r>
        <w:tab/>
        <w:t>Modification du paragraphe 38.3.3 </w:t>
      </w:r>
      <w:r w:rsidR="00035200" w:rsidRPr="00035200">
        <w:t>g) du Manuel d</w:t>
      </w:r>
      <w:r w:rsidR="00035200">
        <w:t>’</w:t>
      </w:r>
      <w:r w:rsidR="00035200" w:rsidRPr="00035200">
        <w:t>épreuves et de critères</w:t>
      </w:r>
    </w:p>
    <w:p w:rsidR="00035200" w:rsidRPr="00035200" w:rsidRDefault="00035200" w:rsidP="00035200">
      <w:pPr>
        <w:pStyle w:val="H1G"/>
      </w:pPr>
      <w:r w:rsidRPr="00035200">
        <w:tab/>
      </w:r>
      <w:r w:rsidRPr="00035200">
        <w:tab/>
      </w:r>
      <w:r w:rsidRPr="00E773E1">
        <w:rPr>
          <w:rFonts w:ascii="Times New Roman Gras" w:hAnsi="Times New Roman Gras"/>
          <w:spacing w:val="-2"/>
        </w:rPr>
        <w:t>Communication de la European Association for Advanced Rechargeable</w:t>
      </w:r>
      <w:r w:rsidRPr="00035200">
        <w:t xml:space="preserve"> </w:t>
      </w:r>
      <w:r w:rsidR="00E773E1" w:rsidRPr="00035200">
        <w:t>B</w:t>
      </w:r>
      <w:r w:rsidRPr="00035200">
        <w:t>atteries (RECHARGE) et de la Rechargeable Battery Association (PRBA)</w:t>
      </w:r>
      <w:r w:rsidRPr="0003520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35200" w:rsidRPr="00035200" w:rsidRDefault="00035200" w:rsidP="00035200">
      <w:pPr>
        <w:pStyle w:val="HChG"/>
      </w:pPr>
      <w:r>
        <w:tab/>
      </w:r>
      <w:r>
        <w:tab/>
      </w:r>
      <w:r w:rsidRPr="00035200">
        <w:t>Introduction</w:t>
      </w:r>
    </w:p>
    <w:p w:rsidR="00035200" w:rsidRPr="00035200" w:rsidRDefault="00035200" w:rsidP="00035200">
      <w:pPr>
        <w:pStyle w:val="SingleTxtG"/>
      </w:pPr>
      <w:r>
        <w:t>1.</w:t>
      </w:r>
      <w:r>
        <w:tab/>
      </w:r>
      <w:r w:rsidRPr="00035200">
        <w:t>L</w:t>
      </w:r>
      <w:r>
        <w:t>’</w:t>
      </w:r>
      <w:r w:rsidRPr="00035200">
        <w:t>utilisation de plus en plus fréquente des batteries au lithium-ion dans les moyens de transport électriques et le stockage d</w:t>
      </w:r>
      <w:r>
        <w:t>’</w:t>
      </w:r>
      <w:r w:rsidRPr="00035200">
        <w:t>énergie provoque un certain nombre de nouvelles situations dans les transports, situations qui ne sont prévues ni dans le Règlement type ni dans les épreuves du Manuel d</w:t>
      </w:r>
      <w:r>
        <w:t>’</w:t>
      </w:r>
      <w:r w:rsidRPr="00035200">
        <w:t>épreuves et de critères rév</w:t>
      </w:r>
      <w:r w:rsidR="00E773E1">
        <w:t>ision </w:t>
      </w:r>
      <w:r w:rsidRPr="00035200">
        <w:t>6</w:t>
      </w:r>
      <w:r w:rsidR="00E773E1">
        <w:t>, amendement </w:t>
      </w:r>
      <w:r w:rsidRPr="00035200">
        <w:t>1. Notamment, l</w:t>
      </w:r>
      <w:r>
        <w:t>’</w:t>
      </w:r>
      <w:r w:rsidRPr="00035200">
        <w:t>assemblage et l</w:t>
      </w:r>
      <w:r>
        <w:t>’</w:t>
      </w:r>
      <w:r w:rsidRPr="00035200">
        <w:t>entretien des grandes batteries utilisées pour les moyens de transport électriques et le stockage d</w:t>
      </w:r>
      <w:r>
        <w:t>’</w:t>
      </w:r>
      <w:r w:rsidRPr="00035200">
        <w:t>énergie nécessitent le transport des éléments constituant ces grandes batteries. Ces éléments sont eux-mêmes constitués de batteries assemblées, qui sont raccordées entre elles. Bien que lesdits éléments puissent être de grande taille, ils ne sont pas toujours équipés d</w:t>
      </w:r>
      <w:r>
        <w:t>’</w:t>
      </w:r>
      <w:r w:rsidRPr="00035200">
        <w:t>une protection contre la surcharge, protection qui est généralement assurée par l</w:t>
      </w:r>
      <w:r>
        <w:t>’</w:t>
      </w:r>
      <w:r w:rsidRPr="00035200">
        <w:t>équipement ou la batterie dont ils font partie, mais ils doivent tout de même être transportés.</w:t>
      </w:r>
    </w:p>
    <w:p w:rsidR="00035200" w:rsidRPr="00035200" w:rsidRDefault="00035200" w:rsidP="00035200">
      <w:pPr>
        <w:pStyle w:val="SingleTxtG"/>
      </w:pPr>
      <w:r>
        <w:t>2.</w:t>
      </w:r>
      <w:r>
        <w:tab/>
      </w:r>
      <w:r w:rsidRPr="00035200">
        <w:rPr>
          <w:bCs/>
        </w:rPr>
        <w:t>Lorsque ces éléments on</w:t>
      </w:r>
      <w:r w:rsidR="00832AEA">
        <w:rPr>
          <w:bCs/>
        </w:rPr>
        <w:t>t une énergie supérieure à 6 200 </w:t>
      </w:r>
      <w:r w:rsidRPr="00035200">
        <w:rPr>
          <w:bCs/>
        </w:rPr>
        <w:t xml:space="preserve">Wh, ils devraient être soumis aux épreuves prescrites au </w:t>
      </w:r>
      <w:r w:rsidR="00832AEA">
        <w:rPr>
          <w:bCs/>
        </w:rPr>
        <w:t>paragraphe 38.3.3 </w:t>
      </w:r>
      <w:r w:rsidRPr="00035200">
        <w:rPr>
          <w:bCs/>
        </w:rPr>
        <w:t>g) du Manuel, en sachant qu</w:t>
      </w:r>
      <w:r>
        <w:rPr>
          <w:bCs/>
        </w:rPr>
        <w:t>’</w:t>
      </w:r>
      <w:r w:rsidRPr="00035200">
        <w:rPr>
          <w:bCs/>
        </w:rPr>
        <w:t>ils font partie de batteries qui ont satisfait à toutes les épreuves requises et à condition qu</w:t>
      </w:r>
      <w:r>
        <w:rPr>
          <w:bCs/>
        </w:rPr>
        <w:t>’</w:t>
      </w:r>
      <w:r w:rsidRPr="00035200">
        <w:rPr>
          <w:bCs/>
        </w:rPr>
        <w:t>ils présentent un certain niveau de protection. Ils doivent notamment être munis d</w:t>
      </w:r>
      <w:r>
        <w:rPr>
          <w:bCs/>
        </w:rPr>
        <w:t>’</w:t>
      </w:r>
      <w:r w:rsidRPr="00035200">
        <w:rPr>
          <w:bCs/>
        </w:rPr>
        <w:t xml:space="preserve">un dispositif de protection contre la surcharge, </w:t>
      </w:r>
      <w:r w:rsidR="00832AEA">
        <w:rPr>
          <w:bCs/>
        </w:rPr>
        <w:t>comme le prescrit le paragraphe 38.3.3 </w:t>
      </w:r>
      <w:r w:rsidRPr="00035200">
        <w:rPr>
          <w:bCs/>
        </w:rPr>
        <w:t xml:space="preserve">g). </w:t>
      </w:r>
    </w:p>
    <w:p w:rsidR="00035200" w:rsidRPr="00035200" w:rsidRDefault="00035200" w:rsidP="00035200">
      <w:pPr>
        <w:pStyle w:val="SingleTxtG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832AEA">
        <w:rPr>
          <w:bCs/>
        </w:rPr>
        <w:t>Le paragraphe 38.3.3 </w:t>
      </w:r>
      <w:r w:rsidRPr="00035200">
        <w:rPr>
          <w:bCs/>
        </w:rPr>
        <w:t xml:space="preserve">d) du Manuel dispense de dispositif de protection contre la surcharge les éléments de batterie qui sont contenus dans une batterie ou un équipement </w:t>
      </w:r>
      <w:r w:rsidRPr="00035200">
        <w:rPr>
          <w:bCs/>
        </w:rPr>
        <w:lastRenderedPageBreak/>
        <w:t>muni d</w:t>
      </w:r>
      <w:r>
        <w:rPr>
          <w:bCs/>
        </w:rPr>
        <w:t>’</w:t>
      </w:r>
      <w:r w:rsidR="00832AEA">
        <w:rPr>
          <w:bCs/>
        </w:rPr>
        <w:t>un tel dispositif</w:t>
      </w:r>
      <w:r w:rsidRPr="00035200">
        <w:rPr>
          <w:bCs/>
        </w:rPr>
        <w:t>. Dans ce cas, la dispense de protection contre la surcharge est accordée quelles que soient la dimension ou l</w:t>
      </w:r>
      <w:r>
        <w:rPr>
          <w:bCs/>
        </w:rPr>
        <w:t>’</w:t>
      </w:r>
      <w:r w:rsidRPr="00035200">
        <w:rPr>
          <w:bCs/>
        </w:rPr>
        <w:t>énergie de la batterie.</w:t>
      </w:r>
    </w:p>
    <w:p w:rsidR="00035200" w:rsidRPr="00035200" w:rsidRDefault="00035200" w:rsidP="00035200">
      <w:pPr>
        <w:pStyle w:val="SingleTxtG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Pr="00035200">
        <w:rPr>
          <w:bCs/>
        </w:rPr>
        <w:t>Le texte du pa</w:t>
      </w:r>
      <w:r w:rsidR="00832AEA">
        <w:rPr>
          <w:bCs/>
        </w:rPr>
        <w:t>ragraphe </w:t>
      </w:r>
      <w:r w:rsidRPr="00035200">
        <w:rPr>
          <w:bCs/>
        </w:rPr>
        <w:t>38.3.3</w:t>
      </w:r>
      <w:r w:rsidR="00832AEA">
        <w:rPr>
          <w:bCs/>
        </w:rPr>
        <w:t> </w:t>
      </w:r>
      <w:r w:rsidRPr="00035200">
        <w:rPr>
          <w:bCs/>
        </w:rPr>
        <w:t>g) du Manuel ne prévoit pas une telle dispense alors qu</w:t>
      </w:r>
      <w:r>
        <w:rPr>
          <w:bCs/>
        </w:rPr>
        <w:t>’</w:t>
      </w:r>
      <w:r w:rsidRPr="00035200">
        <w:rPr>
          <w:bCs/>
        </w:rPr>
        <w:t>elle devrait être possible pour les éléments de batterie d</w:t>
      </w:r>
      <w:r>
        <w:rPr>
          <w:bCs/>
        </w:rPr>
        <w:t>’</w:t>
      </w:r>
      <w:r w:rsidRPr="00035200">
        <w:rPr>
          <w:bCs/>
        </w:rPr>
        <w:t>une énergie supérieure à 6</w:t>
      </w:r>
      <w:r w:rsidR="00832AEA">
        <w:rPr>
          <w:bCs/>
        </w:rPr>
        <w:t> </w:t>
      </w:r>
      <w:r w:rsidRPr="00035200">
        <w:rPr>
          <w:bCs/>
        </w:rPr>
        <w:t>200</w:t>
      </w:r>
      <w:r w:rsidR="00832AEA">
        <w:rPr>
          <w:bCs/>
        </w:rPr>
        <w:t> </w:t>
      </w:r>
      <w:r w:rsidRPr="00035200">
        <w:rPr>
          <w:bCs/>
        </w:rPr>
        <w:t xml:space="preserve">Wh. </w:t>
      </w:r>
    </w:p>
    <w:p w:rsidR="00035200" w:rsidRPr="00035200" w:rsidRDefault="00035200" w:rsidP="00035200">
      <w:pPr>
        <w:pStyle w:val="SingleTxtG"/>
      </w:pPr>
      <w:r>
        <w:t>5.</w:t>
      </w:r>
      <w:r>
        <w:tab/>
      </w:r>
      <w:r w:rsidRPr="00035200">
        <w:rPr>
          <w:bCs/>
        </w:rPr>
        <w:t>Nous proposons donc d</w:t>
      </w:r>
      <w:r>
        <w:rPr>
          <w:bCs/>
        </w:rPr>
        <w:t>’</w:t>
      </w:r>
      <w:r w:rsidRPr="00035200">
        <w:rPr>
          <w:bCs/>
        </w:rPr>
        <w:t xml:space="preserve">ajouter </w:t>
      </w:r>
      <w:r w:rsidR="00832AEA">
        <w:rPr>
          <w:bCs/>
        </w:rPr>
        <w:t>une phrase au paragraphe 38.3.3 </w:t>
      </w:r>
      <w:r w:rsidRPr="00035200">
        <w:rPr>
          <w:bCs/>
        </w:rPr>
        <w:t xml:space="preserve">g).  </w:t>
      </w:r>
    </w:p>
    <w:p w:rsidR="00035200" w:rsidRPr="00035200" w:rsidRDefault="00035200" w:rsidP="00035200">
      <w:pPr>
        <w:pStyle w:val="HChG"/>
      </w:pPr>
      <w:r>
        <w:tab/>
      </w:r>
      <w:r>
        <w:tab/>
      </w:r>
      <w:r w:rsidRPr="00035200">
        <w:t xml:space="preserve">Proposition </w:t>
      </w:r>
    </w:p>
    <w:p w:rsidR="00035200" w:rsidRPr="00035200" w:rsidRDefault="00035200" w:rsidP="00035200">
      <w:pPr>
        <w:pStyle w:val="SingleTxtG"/>
      </w:pPr>
      <w:r w:rsidRPr="00035200">
        <w:t>6</w:t>
      </w:r>
      <w:r>
        <w:t>.</w:t>
      </w:r>
      <w:r w:rsidRPr="00035200">
        <w:tab/>
      </w:r>
      <w:r w:rsidRPr="00035200">
        <w:rPr>
          <w:bCs/>
        </w:rPr>
        <w:t>Ajouter un nouve</w:t>
      </w:r>
      <w:r w:rsidR="00832AEA">
        <w:rPr>
          <w:bCs/>
        </w:rPr>
        <w:t>l alinéa à la fin du paragraphe 38.3.3 </w:t>
      </w:r>
      <w:r w:rsidRPr="00035200">
        <w:rPr>
          <w:bCs/>
        </w:rPr>
        <w:t xml:space="preserve">g) comme suit (le nouveau texte est </w:t>
      </w:r>
      <w:r w:rsidRPr="00456692">
        <w:rPr>
          <w:bCs/>
          <w:u w:val="single"/>
        </w:rPr>
        <w:t>souligné</w:t>
      </w:r>
      <w:r w:rsidRPr="00035200">
        <w:rPr>
          <w:bCs/>
        </w:rPr>
        <w:t>) :</w:t>
      </w:r>
    </w:p>
    <w:p w:rsidR="00035200" w:rsidRPr="00035200" w:rsidRDefault="00035200" w:rsidP="00456692">
      <w:pPr>
        <w:pStyle w:val="SingleTxtG"/>
        <w:ind w:left="1701" w:firstLine="567"/>
      </w:pPr>
      <w:r w:rsidRPr="00035200">
        <w:t>« Lorsque des batteries qui ont passé toutes les épreuves applicables sont électriquement reliées pour former une batterie dans laquelle le contenu total de lithium de l</w:t>
      </w:r>
      <w:r>
        <w:t>’</w:t>
      </w:r>
      <w:r w:rsidRPr="00035200">
        <w:t>ensemble des anodes à l</w:t>
      </w:r>
      <w:r>
        <w:t>’</w:t>
      </w:r>
      <w:r w:rsidRPr="00035200">
        <w:t>état complètemen</w:t>
      </w:r>
      <w:r w:rsidR="00456692">
        <w:t xml:space="preserve">t chargé est supérieur à 500 g, </w:t>
      </w:r>
      <w:r w:rsidRPr="00035200">
        <w:t xml:space="preserve">ou, dans le cas de batteries au lithium-ion, ayant une </w:t>
      </w:r>
      <w:r w:rsidR="00456692">
        <w:t xml:space="preserve">énergie nominale en wattheures </w:t>
      </w:r>
      <w:r w:rsidRPr="00035200">
        <w:t>dépassant 6</w:t>
      </w:r>
      <w:r w:rsidR="00456692">
        <w:t> 200 </w:t>
      </w:r>
      <w:r w:rsidRPr="00035200">
        <w:t>Wh, la batterie assemblée n</w:t>
      </w:r>
      <w:r>
        <w:t>’</w:t>
      </w:r>
      <w:r w:rsidRPr="00035200">
        <w:t>a pas besoin d</w:t>
      </w:r>
      <w:r>
        <w:t>’</w:t>
      </w:r>
      <w:r w:rsidRPr="00035200">
        <w:t>être éprouvée si la batt</w:t>
      </w:r>
      <w:r w:rsidR="00456692">
        <w:t xml:space="preserve">erie </w:t>
      </w:r>
      <w:r w:rsidRPr="00035200">
        <w:t>assemblée est d</w:t>
      </w:r>
      <w:r>
        <w:t>’</w:t>
      </w:r>
      <w:r w:rsidRPr="00035200">
        <w:t>un type qui a été vérifié comme protégeant contre</w:t>
      </w:r>
    </w:p>
    <w:p w:rsidR="00035200" w:rsidRPr="00035200" w:rsidRDefault="00035200" w:rsidP="00456692">
      <w:pPr>
        <w:pStyle w:val="SingleTxtG"/>
        <w:ind w:left="1701" w:firstLine="567"/>
      </w:pPr>
      <w:r w:rsidRPr="00035200">
        <w:t>i)</w:t>
      </w:r>
      <w:r w:rsidR="00456692">
        <w:tab/>
      </w:r>
      <w:r w:rsidR="00456692" w:rsidRPr="00035200">
        <w:t>L</w:t>
      </w:r>
      <w:r w:rsidRPr="00035200">
        <w:t>a surcharge ;</w:t>
      </w:r>
    </w:p>
    <w:p w:rsidR="00035200" w:rsidRPr="00035200" w:rsidRDefault="00456692" w:rsidP="00456692">
      <w:pPr>
        <w:pStyle w:val="SingleTxtG"/>
        <w:ind w:left="1701" w:firstLine="567"/>
      </w:pPr>
      <w:r>
        <w:t>ii)</w:t>
      </w:r>
      <w:r>
        <w:tab/>
      </w:r>
      <w:r w:rsidRPr="00035200">
        <w:t>L</w:t>
      </w:r>
      <w:r w:rsidR="00035200" w:rsidRPr="00035200">
        <w:t>es court-circuits ; et</w:t>
      </w:r>
    </w:p>
    <w:p w:rsidR="00035200" w:rsidRPr="00035200" w:rsidRDefault="00456692" w:rsidP="00456692">
      <w:pPr>
        <w:pStyle w:val="SingleTxtG"/>
        <w:ind w:left="1701" w:firstLine="567"/>
      </w:pPr>
      <w:r>
        <w:t>iii)</w:t>
      </w:r>
      <w:r>
        <w:tab/>
      </w:r>
      <w:r w:rsidRPr="00035200">
        <w:t>L</w:t>
      </w:r>
      <w:r w:rsidR="00035200" w:rsidRPr="00035200">
        <w:t>a décharge excessive entre les batteries.</w:t>
      </w:r>
    </w:p>
    <w:p w:rsidR="00446FE5" w:rsidRDefault="00035200" w:rsidP="002B2CF7">
      <w:pPr>
        <w:pStyle w:val="SingleTxtG"/>
        <w:ind w:left="1701" w:firstLine="567"/>
        <w:rPr>
          <w:u w:val="single"/>
        </w:rPr>
      </w:pPr>
      <w:r w:rsidRPr="00035200">
        <w:rPr>
          <w:u w:val="single"/>
        </w:rPr>
        <w:t>Une batterie assemblée dépourvue de dispositif de protection contre la surcharge, qui est conçue uniquement comme un élément d</w:t>
      </w:r>
      <w:r>
        <w:rPr>
          <w:u w:val="single"/>
        </w:rPr>
        <w:t>’</w:t>
      </w:r>
      <w:r w:rsidRPr="00035200">
        <w:rPr>
          <w:u w:val="single"/>
        </w:rPr>
        <w:t>une batterie assemblée de grande taille, d</w:t>
      </w:r>
      <w:r>
        <w:rPr>
          <w:u w:val="single"/>
        </w:rPr>
        <w:t>’</w:t>
      </w:r>
      <w:r w:rsidRPr="00035200">
        <w:rPr>
          <w:u w:val="single"/>
        </w:rPr>
        <w:t>un équipement ou d</w:t>
      </w:r>
      <w:r>
        <w:rPr>
          <w:u w:val="single"/>
        </w:rPr>
        <w:t>’</w:t>
      </w:r>
      <w:r w:rsidRPr="00035200">
        <w:rPr>
          <w:u w:val="single"/>
        </w:rPr>
        <w:t>un véhicule, n</w:t>
      </w:r>
      <w:r>
        <w:rPr>
          <w:u w:val="single"/>
        </w:rPr>
        <w:t>’</w:t>
      </w:r>
      <w:r w:rsidRPr="00035200">
        <w:rPr>
          <w:u w:val="single"/>
        </w:rPr>
        <w:t>est pas soumise à la vérification de la protection contre la surcharge. ».</w:t>
      </w:r>
    </w:p>
    <w:p w:rsidR="002B2CF7" w:rsidRPr="002B2CF7" w:rsidRDefault="002B2CF7" w:rsidP="002B2CF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2CF7" w:rsidRPr="002B2CF7" w:rsidSect="000352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061" w:rsidRDefault="00350061" w:rsidP="00F95C08">
      <w:pPr>
        <w:spacing w:line="240" w:lineRule="auto"/>
      </w:pPr>
    </w:p>
  </w:endnote>
  <w:endnote w:type="continuationSeparator" w:id="0">
    <w:p w:rsidR="00350061" w:rsidRPr="00AC3823" w:rsidRDefault="00350061" w:rsidP="00AC3823">
      <w:pPr>
        <w:pStyle w:val="Footer"/>
      </w:pPr>
    </w:p>
  </w:endnote>
  <w:endnote w:type="continuationNotice" w:id="1">
    <w:p w:rsidR="00350061" w:rsidRDefault="003500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200" w:rsidRPr="00035200" w:rsidRDefault="00035200" w:rsidP="00035200">
    <w:pPr>
      <w:pStyle w:val="Footer"/>
      <w:tabs>
        <w:tab w:val="right" w:pos="9638"/>
      </w:tabs>
    </w:pPr>
    <w:r w:rsidRPr="00035200">
      <w:rPr>
        <w:b/>
        <w:sz w:val="18"/>
      </w:rPr>
      <w:fldChar w:fldCharType="begin"/>
    </w:r>
    <w:r w:rsidRPr="00035200">
      <w:rPr>
        <w:b/>
        <w:sz w:val="18"/>
      </w:rPr>
      <w:instrText xml:space="preserve"> PAGE  \* MERGEFORMAT </w:instrText>
    </w:r>
    <w:r w:rsidRPr="00035200">
      <w:rPr>
        <w:b/>
        <w:sz w:val="18"/>
      </w:rPr>
      <w:fldChar w:fldCharType="separate"/>
    </w:r>
    <w:r w:rsidR="0055187E">
      <w:rPr>
        <w:b/>
        <w:noProof/>
        <w:sz w:val="18"/>
      </w:rPr>
      <w:t>2</w:t>
    </w:r>
    <w:r w:rsidRPr="00035200">
      <w:rPr>
        <w:b/>
        <w:sz w:val="18"/>
      </w:rPr>
      <w:fldChar w:fldCharType="end"/>
    </w:r>
    <w:r>
      <w:rPr>
        <w:b/>
        <w:sz w:val="18"/>
      </w:rPr>
      <w:tab/>
    </w:r>
    <w:r>
      <w:t>GE.18-14619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200" w:rsidRPr="00035200" w:rsidRDefault="00035200" w:rsidP="00035200">
    <w:pPr>
      <w:pStyle w:val="Footer"/>
      <w:tabs>
        <w:tab w:val="right" w:pos="9638"/>
      </w:tabs>
      <w:rPr>
        <w:b/>
        <w:sz w:val="18"/>
      </w:rPr>
    </w:pPr>
    <w:r>
      <w:t>GE.18-14619</w:t>
    </w:r>
    <w:r>
      <w:tab/>
    </w:r>
    <w:r w:rsidRPr="00035200">
      <w:rPr>
        <w:b/>
        <w:sz w:val="18"/>
      </w:rPr>
      <w:fldChar w:fldCharType="begin"/>
    </w:r>
    <w:r w:rsidRPr="00035200">
      <w:rPr>
        <w:b/>
        <w:sz w:val="18"/>
      </w:rPr>
      <w:instrText xml:space="preserve"> PAGE  \* MERGEFORMAT </w:instrText>
    </w:r>
    <w:r w:rsidRPr="0003520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352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035200" w:rsidRDefault="00035200" w:rsidP="00035200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18-14619  (F)    041018    041018</w:t>
    </w:r>
    <w:r>
      <w:rPr>
        <w:sz w:val="20"/>
      </w:rPr>
      <w:br/>
    </w:r>
    <w:r w:rsidRPr="00035200">
      <w:rPr>
        <w:rFonts w:ascii="C39T30Lfz" w:hAnsi="C39T30Lfz"/>
        <w:sz w:val="56"/>
      </w:rPr>
      <w:t></w:t>
    </w:r>
    <w:r w:rsidRPr="00035200">
      <w:rPr>
        <w:rFonts w:ascii="C39T30Lfz" w:hAnsi="C39T30Lfz"/>
        <w:sz w:val="56"/>
      </w:rPr>
      <w:t></w:t>
    </w:r>
    <w:r w:rsidRPr="00035200">
      <w:rPr>
        <w:rFonts w:ascii="C39T30Lfz" w:hAnsi="C39T30Lfz"/>
        <w:sz w:val="56"/>
      </w:rPr>
      <w:t></w:t>
    </w:r>
    <w:r w:rsidRPr="00035200">
      <w:rPr>
        <w:rFonts w:ascii="C39T30Lfz" w:hAnsi="C39T30Lfz"/>
        <w:sz w:val="56"/>
      </w:rPr>
      <w:t></w:t>
    </w:r>
    <w:r w:rsidRPr="00035200">
      <w:rPr>
        <w:rFonts w:ascii="C39T30Lfz" w:hAnsi="C39T30Lfz"/>
        <w:sz w:val="56"/>
      </w:rPr>
      <w:t></w:t>
    </w:r>
    <w:r w:rsidRPr="00035200">
      <w:rPr>
        <w:rFonts w:ascii="C39T30Lfz" w:hAnsi="C39T30Lfz"/>
        <w:sz w:val="56"/>
      </w:rPr>
      <w:t></w:t>
    </w:r>
    <w:r w:rsidRPr="00035200">
      <w:rPr>
        <w:rFonts w:ascii="C39T30Lfz" w:hAnsi="C39T30Lfz"/>
        <w:sz w:val="56"/>
      </w:rPr>
      <w:t></w:t>
    </w:r>
    <w:r w:rsidRPr="00035200">
      <w:rPr>
        <w:rFonts w:ascii="C39T30Lfz" w:hAnsi="C39T30Lfz"/>
        <w:sz w:val="56"/>
      </w:rPr>
      <w:t></w:t>
    </w:r>
    <w:r w:rsidRPr="0003520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8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8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061" w:rsidRPr="00AC3823" w:rsidRDefault="0035006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0061" w:rsidRPr="00AC3823" w:rsidRDefault="0035006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50061" w:rsidRPr="00AC3823" w:rsidRDefault="00350061">
      <w:pPr>
        <w:spacing w:line="240" w:lineRule="auto"/>
        <w:rPr>
          <w:sz w:val="2"/>
          <w:szCs w:val="2"/>
        </w:rPr>
      </w:pPr>
    </w:p>
  </w:footnote>
  <w:footnote w:id="2">
    <w:p w:rsidR="00035200" w:rsidRPr="00035200" w:rsidRDefault="00035200" w:rsidP="00035200">
      <w:pPr>
        <w:pStyle w:val="FootnoteText"/>
      </w:pPr>
      <w:r>
        <w:rPr>
          <w:rStyle w:val="FootnoteReference"/>
        </w:rPr>
        <w:tab/>
      </w:r>
      <w:r w:rsidRPr="0003520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35200">
        <w:rPr>
          <w:lang w:val="fr-FR"/>
        </w:rPr>
        <w:t xml:space="preserve">Conformément au programme de travail du Sous-Comité pour la </w:t>
      </w:r>
      <w:r w:rsidRPr="00035200">
        <w:t>période</w:t>
      </w:r>
      <w:r w:rsidRPr="00035200">
        <w:rPr>
          <w:lang w:val="fr-FR"/>
        </w:rPr>
        <w:t xml:space="preserve"> biennale 2017-2018, approuvé par le Comité à sa huitième session (voir ST/SG/AC.10/C.3/100, p</w:t>
      </w:r>
      <w:r w:rsidR="00832AEA">
        <w:rPr>
          <w:lang w:val="fr-FR"/>
        </w:rPr>
        <w:t>ar. 98, et ST/SG/AC.10/44, par. </w:t>
      </w:r>
      <w:r w:rsidRPr="00035200">
        <w:rPr>
          <w:lang w:val="fr-FR"/>
        </w:rPr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200" w:rsidRPr="00035200" w:rsidRDefault="00D71CA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ST/SG/AC.10/C.3/2018/84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200" w:rsidRPr="00035200" w:rsidRDefault="00D71CAC" w:rsidP="00035200">
    <w:pPr>
      <w:pStyle w:val="Header"/>
      <w:jc w:val="right"/>
    </w:pPr>
    <w:r>
      <w:fldChar w:fldCharType="begin"/>
    </w:r>
    <w:r>
      <w:instrText xml:space="preserve"> TITLE  \* </w:instrText>
    </w:r>
    <w:r>
      <w:instrText xml:space="preserve">MERGEFORMAT </w:instrText>
    </w:r>
    <w:r>
      <w:fldChar w:fldCharType="separate"/>
    </w:r>
    <w:r>
      <w:t>ST/SG/AC.10/C.3/2018/84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44C35"/>
    <w:multiLevelType w:val="hybridMultilevel"/>
    <w:tmpl w:val="AD004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B0B5BEE"/>
    <w:multiLevelType w:val="hybridMultilevel"/>
    <w:tmpl w:val="CCF0A294"/>
    <w:lvl w:ilvl="0" w:tplc="5F1408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61"/>
    <w:rsid w:val="00017F94"/>
    <w:rsid w:val="00023842"/>
    <w:rsid w:val="000305D3"/>
    <w:rsid w:val="000334F9"/>
    <w:rsid w:val="00035200"/>
    <w:rsid w:val="0007796D"/>
    <w:rsid w:val="000B7790"/>
    <w:rsid w:val="00111F2F"/>
    <w:rsid w:val="00132EA9"/>
    <w:rsid w:val="0014365E"/>
    <w:rsid w:val="00176178"/>
    <w:rsid w:val="001F525A"/>
    <w:rsid w:val="00223272"/>
    <w:rsid w:val="002335A4"/>
    <w:rsid w:val="0024779E"/>
    <w:rsid w:val="00283190"/>
    <w:rsid w:val="002832AC"/>
    <w:rsid w:val="002B2CF7"/>
    <w:rsid w:val="002D7C93"/>
    <w:rsid w:val="00350061"/>
    <w:rsid w:val="00441C3B"/>
    <w:rsid w:val="00446FE5"/>
    <w:rsid w:val="00452396"/>
    <w:rsid w:val="00456692"/>
    <w:rsid w:val="004E468C"/>
    <w:rsid w:val="005505B7"/>
    <w:rsid w:val="0055187E"/>
    <w:rsid w:val="00573BE5"/>
    <w:rsid w:val="00584DC4"/>
    <w:rsid w:val="00586ED3"/>
    <w:rsid w:val="00596AA9"/>
    <w:rsid w:val="0068456F"/>
    <w:rsid w:val="0071601D"/>
    <w:rsid w:val="007A62E6"/>
    <w:rsid w:val="0080684C"/>
    <w:rsid w:val="00832AEA"/>
    <w:rsid w:val="00871C75"/>
    <w:rsid w:val="008776DC"/>
    <w:rsid w:val="008B40CD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D3439C"/>
    <w:rsid w:val="00D71CAC"/>
    <w:rsid w:val="00DB1831"/>
    <w:rsid w:val="00DD3BFD"/>
    <w:rsid w:val="00DF6678"/>
    <w:rsid w:val="00E773E1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EF01FC-56AB-4A7B-B611-7A959F7E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ST/SG/AC.10/C.3/2018/84</vt:lpstr>
      <vt:lpstr>ST/SG/AC.10/C.3/2018/84</vt:lpstr>
    </vt:vector>
  </TitlesOfParts>
  <Company>DCM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ST/SG/AC.10/C.3/2018/84</dc:title>
  <dc:subject/>
  <dc:creator>Sandrine CLERE</dc:creator>
  <cp:keywords/>
  <cp:lastModifiedBy>Laurence Berthet</cp:lastModifiedBy>
  <cp:revision>3</cp:revision>
  <cp:lastPrinted>2018-10-04T14:31:00Z</cp:lastPrinted>
  <dcterms:created xsi:type="dcterms:W3CDTF">2018-10-04T14:31:00Z</dcterms:created>
  <dcterms:modified xsi:type="dcterms:W3CDTF">2018-10-04T14:31:00Z</dcterms:modified>
</cp:coreProperties>
</file>