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3B782D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F02A23">
              <w:t>8</w:t>
            </w:r>
            <w:r>
              <w:t>/</w:t>
            </w:r>
            <w:r w:rsidR="00274224">
              <w:t>7</w:t>
            </w:r>
            <w:r w:rsidR="00A04328">
              <w:t>7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420AF7" w:rsidP="006D12B1">
            <w:pPr>
              <w:spacing w:line="240" w:lineRule="exact"/>
            </w:pPr>
            <w:r>
              <w:t>7 September</w:t>
            </w:r>
            <w:r w:rsidR="0045354F">
              <w:t xml:space="preserve"> 2018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3B782D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3B782D">
            <w:pPr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>
              <w:rPr>
                <w:b/>
              </w:rPr>
              <w:t>ifty-</w:t>
            </w:r>
            <w:r w:rsidR="00D96268">
              <w:rPr>
                <w:b/>
              </w:rPr>
              <w:t>fourth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D96268" w:rsidRPr="00D96268">
              <w:rPr>
                <w:lang w:val="en-US"/>
              </w:rPr>
              <w:t>2</w:t>
            </w:r>
            <w:r w:rsidR="00D96268">
              <w:rPr>
                <w:lang w:val="en-US"/>
              </w:rPr>
              <w:t>6</w:t>
            </w:r>
            <w:r w:rsidR="00D96268" w:rsidRPr="00D96268">
              <w:rPr>
                <w:lang w:val="en-US"/>
              </w:rPr>
              <w:t xml:space="preserve"> November-</w:t>
            </w:r>
            <w:r w:rsidR="00D96268">
              <w:rPr>
                <w:lang w:val="en-US"/>
              </w:rPr>
              <w:t>4</w:t>
            </w:r>
            <w:r w:rsidR="00D96268" w:rsidRPr="00D96268">
              <w:rPr>
                <w:lang w:val="en-US"/>
              </w:rPr>
              <w:t xml:space="preserve"> December</w:t>
            </w:r>
            <w:r w:rsidR="00004671" w:rsidRPr="00A55C80">
              <w:rPr>
                <w:lang w:val="en-US"/>
              </w:rPr>
              <w:t xml:space="preserve"> </w:t>
            </w:r>
            <w:r w:rsidRPr="00876878">
              <w:t>201</w:t>
            </w:r>
            <w:r w:rsidR="00F02A23">
              <w:t>8</w:t>
            </w:r>
          </w:p>
          <w:p w:rsidR="00832EED" w:rsidRPr="00F54DDA" w:rsidRDefault="00832EED" w:rsidP="00832EED">
            <w:pPr>
              <w:ind w:left="34" w:hanging="34"/>
            </w:pPr>
            <w:r w:rsidRPr="00F54DDA">
              <w:t>Item</w:t>
            </w:r>
            <w:r>
              <w:t xml:space="preserve"> </w:t>
            </w:r>
            <w:r w:rsidR="00380867">
              <w:t>2 (e)</w:t>
            </w:r>
            <w:r w:rsidRPr="00F54DDA">
              <w:t xml:space="preserve"> of the provisional agenda</w:t>
            </w:r>
          </w:p>
          <w:p w:rsidR="009B371C" w:rsidRPr="00380867" w:rsidRDefault="00380867" w:rsidP="00832EED">
            <w:pPr>
              <w:spacing w:after="120"/>
              <w:ind w:right="199"/>
              <w:rPr>
                <w:b/>
                <w:bCs/>
              </w:rPr>
            </w:pPr>
            <w:r w:rsidRPr="00380867">
              <w:rPr>
                <w:b/>
                <w:bCs/>
              </w:rPr>
              <w:t xml:space="preserve">Recommendations made by the Sub-Committee on its fifty-first, </w:t>
            </w:r>
            <w:r w:rsidRPr="00380867">
              <w:rPr>
                <w:b/>
                <w:bCs/>
              </w:rPr>
              <w:br/>
              <w:t>fifty-second and fifty-third sessions and pending issues:</w:t>
            </w:r>
            <w:r w:rsidRPr="00380867">
              <w:rPr>
                <w:b/>
                <w:bCs/>
              </w:rPr>
              <w:br/>
              <w:t>transport of gases</w:t>
            </w:r>
            <w:r w:rsidR="00274224" w:rsidRPr="00380867">
              <w:rPr>
                <w:b/>
                <w:bCs/>
              </w:rPr>
              <w:t xml:space="preserve"> </w:t>
            </w:r>
          </w:p>
        </w:tc>
      </w:tr>
    </w:tbl>
    <w:p w:rsidR="00A04328" w:rsidRDefault="00A04328" w:rsidP="00A04328">
      <w:pPr>
        <w:pStyle w:val="HChG"/>
        <w:spacing w:before="120"/>
      </w:pPr>
      <w:r>
        <w:tab/>
      </w:r>
      <w:r>
        <w:tab/>
        <w:t>Chemicals under pressure</w:t>
      </w:r>
      <w:r w:rsidR="00420AF7">
        <w:t>: extinguishing agents (UN 3500)</w:t>
      </w:r>
    </w:p>
    <w:p w:rsidR="00A04328" w:rsidRDefault="00A04328" w:rsidP="00A04328">
      <w:pPr>
        <w:pStyle w:val="H1G"/>
      </w:pPr>
      <w:r>
        <w:tab/>
      </w:r>
      <w:r>
        <w:tab/>
        <w:t>Transmitted by the European Chemical Industry Council (CEFIC)</w:t>
      </w:r>
      <w:r>
        <w:rPr>
          <w:rStyle w:val="FootnoteReference"/>
        </w:rPr>
        <w:footnoteReference w:customMarkFollows="1" w:id="2"/>
        <w:t>*</w:t>
      </w:r>
    </w:p>
    <w:p w:rsidR="00A04328" w:rsidRDefault="00A04328" w:rsidP="00A04328">
      <w:pPr>
        <w:pStyle w:val="HChG"/>
      </w:pPr>
      <w:r>
        <w:tab/>
      </w:r>
      <w:r>
        <w:tab/>
        <w:t>Situation</w:t>
      </w:r>
    </w:p>
    <w:p w:rsidR="00A04328" w:rsidRDefault="00A04328" w:rsidP="00A04328">
      <w:pPr>
        <w:pStyle w:val="SingleTxtG"/>
        <w:tabs>
          <w:tab w:val="left" w:pos="1701"/>
        </w:tabs>
      </w:pPr>
      <w:r>
        <w:t>1.</w:t>
      </w:r>
      <w:r>
        <w:tab/>
        <w:t xml:space="preserve">Chemicals under pressure without any subsidiary risks (UN No. 3500) are widely used in the area of </w:t>
      </w:r>
      <w:proofErr w:type="gramStart"/>
      <w:r>
        <w:t>gas based</w:t>
      </w:r>
      <w:proofErr w:type="gramEnd"/>
      <w:r>
        <w:t xml:space="preserve"> </w:t>
      </w:r>
      <w:r w:rsidR="00420AF7">
        <w:t>suppression systems (see Annex</w:t>
      </w:r>
      <w:r>
        <w:t>), and other terms connected to fire control. UN No.1044 FIRE EXTINGUISHERS were initially considered t</w:t>
      </w:r>
      <w:r w:rsidR="00380867">
        <w:t xml:space="preserve">o be assigned to this product. </w:t>
      </w:r>
      <w:r>
        <w:t xml:space="preserve">Nevertheless, this UN number cannot be used for this type of extinguishing agents because they are carried separately and meet the Note of </w:t>
      </w:r>
      <w:r w:rsidR="00420AF7">
        <w:t xml:space="preserve">special provision </w:t>
      </w:r>
      <w:r>
        <w:t xml:space="preserve">SP225: </w:t>
      </w:r>
    </w:p>
    <w:p w:rsidR="00A04328" w:rsidRDefault="00A04328" w:rsidP="00A04328">
      <w:pPr>
        <w:pStyle w:val="SingleTxtG"/>
        <w:ind w:left="1701"/>
      </w:pPr>
      <w:r>
        <w:t>“Pressure receptacles which contain gases for the use in the above-mentioned fire extinguishers or for use in stationary fire-fighting installations shall meet the requirements of Chapter 6.2 and all requirements applicable to the relevant dangerous goods when these pressure receptacles are carried separately</w:t>
      </w:r>
      <w:r w:rsidR="00380867">
        <w:t>.</w:t>
      </w:r>
      <w:r>
        <w:t>”.</w:t>
      </w:r>
    </w:p>
    <w:p w:rsidR="00A04328" w:rsidRDefault="00A04328" w:rsidP="00A04328">
      <w:pPr>
        <w:pStyle w:val="SingleTxtG"/>
        <w:ind w:left="1395" w:firstLine="306"/>
      </w:pPr>
      <w:r>
        <w:t xml:space="preserve">Therefore, they do not meet the definition of a fire extinguisher.  </w:t>
      </w:r>
    </w:p>
    <w:p w:rsidR="00A04328" w:rsidRDefault="00A04328" w:rsidP="00A04328">
      <w:pPr>
        <w:pStyle w:val="SingleTxtG"/>
        <w:tabs>
          <w:tab w:val="left" w:pos="1701"/>
        </w:tabs>
      </w:pPr>
      <w:r>
        <w:t>2.</w:t>
      </w:r>
      <w:r>
        <w:tab/>
        <w:t xml:space="preserve">Most of the </w:t>
      </w:r>
      <w:proofErr w:type="gramStart"/>
      <w:r>
        <w:t>gas based</w:t>
      </w:r>
      <w:proofErr w:type="gramEnd"/>
      <w:r>
        <w:t xml:space="preserve"> suppression systems products are assigned to UN No. 1956 compressed gas, as they are gas/gas mixtures. These have a </w:t>
      </w:r>
      <w:r>
        <w:rPr>
          <w:rFonts w:eastAsiaTheme="minorHAnsi"/>
          <w:lang w:val="en-US"/>
        </w:rPr>
        <w:t>maximum test period for periodic inspection of 10 years, whereas the liquid/gas system must be assigned to UN No. 3500 and therefore has a maximum test period for periodic inspection of 5 years, although the pressure in the receptacle with the liquid/gas mixture is less.</w:t>
      </w:r>
      <w:r>
        <w:rPr>
          <w:lang w:val="en-US"/>
        </w:rPr>
        <w:t xml:space="preserve"> </w:t>
      </w:r>
      <w:r>
        <w:t>Befo</w:t>
      </w:r>
      <w:r w:rsidR="00420AF7">
        <w:t>re the implementation of the UN numbers for c</w:t>
      </w:r>
      <w:r>
        <w:t>hemicals under Pressure assigned to UN1956 as well. This means that the maximum test period has been reduced for these systems to 50%.</w:t>
      </w:r>
    </w:p>
    <w:p w:rsidR="00A04328" w:rsidRDefault="00A04328" w:rsidP="00A04328">
      <w:pPr>
        <w:pStyle w:val="SingleTxtG"/>
        <w:tabs>
          <w:tab w:val="left" w:pos="1701"/>
        </w:tabs>
      </w:pPr>
      <w:r>
        <w:lastRenderedPageBreak/>
        <w:t>3.</w:t>
      </w:r>
      <w:r>
        <w:tab/>
        <w:t xml:space="preserve">This is, at least for the gas suppression systems and other fire extinguishing systems, which are known to have no subsidiary hazards, not reasonable. </w:t>
      </w:r>
    </w:p>
    <w:p w:rsidR="00A04328" w:rsidRDefault="00A04328" w:rsidP="00A04328">
      <w:pPr>
        <w:pStyle w:val="SingleTxtG"/>
        <w:tabs>
          <w:tab w:val="left" w:pos="1701"/>
        </w:tabs>
      </w:pPr>
      <w:r>
        <w:t>4.</w:t>
      </w:r>
      <w:r>
        <w:tab/>
        <w:t>This means that these products are generally of inert nature and the generally accepted practice of these devices is that they are used in protected storage with minimal handling.</w:t>
      </w:r>
    </w:p>
    <w:p w:rsidR="00A04328" w:rsidRDefault="00A04328" w:rsidP="00A04328">
      <w:pPr>
        <w:pStyle w:val="SingleTxtG"/>
        <w:tabs>
          <w:tab w:val="left" w:pos="1701"/>
        </w:tabs>
      </w:pPr>
      <w:r>
        <w:t xml:space="preserve">5. </w:t>
      </w:r>
      <w:r>
        <w:tab/>
        <w:t>These two factors work in combination to profoundly reduce:</w:t>
      </w:r>
    </w:p>
    <w:p w:rsidR="00A04328" w:rsidRDefault="00A04328" w:rsidP="00A04328">
      <w:pPr>
        <w:pStyle w:val="SingleTxtG"/>
        <w:ind w:left="2268" w:hanging="567"/>
      </w:pPr>
      <w:r>
        <w:t>(a)</w:t>
      </w:r>
      <w:r>
        <w:tab/>
        <w:t>internal corrosion, and degradation of “wetted component” of the units;</w:t>
      </w:r>
    </w:p>
    <w:p w:rsidR="00A04328" w:rsidRDefault="00A04328" w:rsidP="00A04328">
      <w:pPr>
        <w:pStyle w:val="SingleTxtG"/>
        <w:ind w:left="2268" w:hanging="567"/>
      </w:pPr>
      <w:r>
        <w:t>(b)</w:t>
      </w:r>
      <w:r>
        <w:tab/>
        <w:t xml:space="preserve">internal mechanical wear of valves; and </w:t>
      </w:r>
    </w:p>
    <w:p w:rsidR="00A04328" w:rsidRDefault="00A04328" w:rsidP="00A04328">
      <w:pPr>
        <w:pStyle w:val="SingleTxtG"/>
        <w:ind w:left="2268" w:hanging="567"/>
      </w:pPr>
      <w:r>
        <w:t>(c)</w:t>
      </w:r>
      <w:r>
        <w:tab/>
        <w:t xml:space="preserve">external damage from nicks, scuffs and abrasion of receptacle </w:t>
      </w:r>
    </w:p>
    <w:p w:rsidR="00A04328" w:rsidRDefault="00A04328" w:rsidP="00A04328">
      <w:pPr>
        <w:pStyle w:val="SingleTxtG"/>
        <w:tabs>
          <w:tab w:val="left" w:pos="1701"/>
        </w:tabs>
      </w:pPr>
      <w:r>
        <w:t>6.</w:t>
      </w:r>
      <w:r>
        <w:tab/>
        <w:t>For fire extinguishing agents there are also huge pressure receptacles used. Therefore, we also ask to allow tubes of a maximum water capacity of 450 l.</w:t>
      </w:r>
    </w:p>
    <w:p w:rsidR="00A04328" w:rsidRDefault="00A04328" w:rsidP="00A04328">
      <w:pPr>
        <w:pStyle w:val="SingleTxtG"/>
        <w:tabs>
          <w:tab w:val="left" w:pos="1701"/>
        </w:tabs>
      </w:pPr>
      <w:r>
        <w:t>7.</w:t>
      </w:r>
      <w:r>
        <w:tab/>
        <w:t>The proposal was submitted as an inf</w:t>
      </w:r>
      <w:r w:rsidR="00420AF7">
        <w:t xml:space="preserve">ormal document INF.11 (CEFIC) (fifty-third session). </w:t>
      </w:r>
      <w:r>
        <w:t xml:space="preserve">This </w:t>
      </w:r>
      <w:r w:rsidR="00420AF7">
        <w:t>informal document</w:t>
      </w:r>
      <w:r>
        <w:t xml:space="preserve"> included 2 options to change the packing instruction P206:</w:t>
      </w:r>
    </w:p>
    <w:p w:rsidR="00A04328" w:rsidRDefault="00A04328" w:rsidP="00420AF7">
      <w:pPr>
        <w:pStyle w:val="Bullet1G"/>
      </w:pPr>
      <w:r>
        <w:t xml:space="preserve">Option 1: Allow a </w:t>
      </w:r>
      <w:r>
        <w:rPr>
          <w:rFonts w:eastAsiaTheme="minorHAnsi"/>
          <w:lang w:val="en-US"/>
        </w:rPr>
        <w:t>periodic inspection for UN3500 of 10 years and add tubes</w:t>
      </w:r>
      <w:r>
        <w:t xml:space="preserve"> of a maximum water capacity of 450 l.</w:t>
      </w:r>
    </w:p>
    <w:p w:rsidR="00A04328" w:rsidRDefault="00420AF7" w:rsidP="00420AF7">
      <w:pPr>
        <w:pStyle w:val="Bullet1G"/>
      </w:pPr>
      <w:r>
        <w:t>Option 2: Add a special packing p</w:t>
      </w:r>
      <w:r w:rsidR="00A04328">
        <w:t>rovision for fire extinguishing agents not meeti</w:t>
      </w:r>
      <w:r>
        <w:t>ng the provisions of Note 2 of s</w:t>
      </w:r>
      <w:r w:rsidR="00A04328">
        <w:t>pecial provision 225, which extends the periodic inspection to 10 years and allows Tubes of a water capacity of 450 L.</w:t>
      </w:r>
    </w:p>
    <w:p w:rsidR="00A04328" w:rsidRDefault="00A04328" w:rsidP="00A04328">
      <w:pPr>
        <w:pStyle w:val="SingleTxtG"/>
        <w:tabs>
          <w:tab w:val="left" w:pos="1701"/>
        </w:tabs>
      </w:pPr>
      <w:r>
        <w:t>8.</w:t>
      </w:r>
      <w:r>
        <w:tab/>
        <w:t>There was broad support for Option 2 and therefore the proposal now contains this second option.</w:t>
      </w:r>
    </w:p>
    <w:p w:rsidR="00A04328" w:rsidRDefault="00A04328" w:rsidP="00A04328">
      <w:pPr>
        <w:pStyle w:val="HChG"/>
        <w:rPr>
          <w:lang w:val="en-US"/>
        </w:rPr>
      </w:pPr>
      <w:r>
        <w:tab/>
      </w:r>
      <w:r>
        <w:tab/>
        <w:t>Proposal</w:t>
      </w:r>
      <w:r>
        <w:rPr>
          <w:lang w:val="en-US"/>
        </w:rPr>
        <w:t xml:space="preserve"> </w:t>
      </w:r>
    </w:p>
    <w:p w:rsidR="00A04328" w:rsidRDefault="00A04328" w:rsidP="00A04328">
      <w:pPr>
        <w:pStyle w:val="SingleTxtG"/>
        <w:tabs>
          <w:tab w:val="left" w:pos="1701"/>
        </w:tabs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  <w:t xml:space="preserve">Amend P206 as follows </w:t>
      </w:r>
      <w:r>
        <w:rPr>
          <w:i/>
          <w:iCs/>
          <w:lang w:val="en-US"/>
        </w:rPr>
        <w:t xml:space="preserve">(deleted text is </w:t>
      </w:r>
      <w:r>
        <w:rPr>
          <w:i/>
          <w:iCs/>
          <w:strike/>
          <w:lang w:val="en-US"/>
        </w:rPr>
        <w:t>struck through</w:t>
      </w:r>
      <w:r>
        <w:rPr>
          <w:i/>
          <w:iCs/>
          <w:lang w:val="en-US"/>
        </w:rPr>
        <w:t xml:space="preserve">; new text is </w:t>
      </w:r>
      <w:r>
        <w:rPr>
          <w:i/>
          <w:iCs/>
          <w:u w:val="single"/>
          <w:lang w:val="en-US"/>
        </w:rPr>
        <w:t>underlined</w:t>
      </w:r>
      <w:r>
        <w:rPr>
          <w:i/>
          <w:iCs/>
          <w:lang w:val="en-US"/>
        </w:rPr>
        <w:t>)</w:t>
      </w:r>
      <w:r>
        <w:rPr>
          <w:lang w:val="en-US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216"/>
      </w:tblGrid>
      <w:tr w:rsidR="00A04328" w:rsidRPr="00420AF7" w:rsidTr="00A043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28" w:rsidRPr="00420AF7" w:rsidRDefault="00A0432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b/>
                <w:bCs/>
                <w:lang w:val="en-US"/>
              </w:rPr>
            </w:pPr>
            <w:r w:rsidRPr="00420AF7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>P206                                                    PACKING INSTRUCTION                                          P206</w:t>
            </w:r>
          </w:p>
        </w:tc>
      </w:tr>
      <w:tr w:rsidR="00A04328" w:rsidRPr="00420AF7" w:rsidTr="00A043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28" w:rsidRPr="00420AF7" w:rsidRDefault="00A0432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lang w:val="en-US"/>
              </w:rPr>
            </w:pPr>
            <w:r w:rsidRPr="00420AF7">
              <w:rPr>
                <w:rFonts w:asciiTheme="majorBidi" w:eastAsiaTheme="minorHAnsi" w:hAnsiTheme="majorBidi" w:cstheme="majorBidi"/>
                <w:lang w:val="en-US"/>
              </w:rPr>
              <w:t>This instruction applies to UN Nos. 3500, 3501, 3502, 3503, 3504 and 3505</w:t>
            </w:r>
          </w:p>
        </w:tc>
      </w:tr>
      <w:tr w:rsidR="00A04328" w:rsidRPr="00420AF7" w:rsidTr="00A043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420AF7" w:rsidRDefault="00A0432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lang w:val="en-US"/>
              </w:rPr>
            </w:pPr>
            <w:r w:rsidRPr="00420AF7">
              <w:rPr>
                <w:rFonts w:asciiTheme="majorBidi" w:eastAsiaTheme="minorHAnsi" w:hAnsiTheme="majorBidi" w:cstheme="majorBidi"/>
                <w:lang w:val="en-US"/>
              </w:rPr>
              <w:t>Unless otherwise indicated in these Regulations, cylinders and pressure drums conforming to the applicable requirements of Chapter 6.2 are authorized.</w:t>
            </w:r>
          </w:p>
          <w:p w:rsidR="00A04328" w:rsidRPr="00420AF7" w:rsidRDefault="00420AF7" w:rsidP="00420AF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(1)</w:t>
            </w:r>
            <w:r>
              <w:rPr>
                <w:rFonts w:asciiTheme="majorBidi" w:eastAsiaTheme="minorHAnsi" w:hAnsiTheme="majorBidi" w:cstheme="majorBidi"/>
              </w:rPr>
              <w:tab/>
            </w:r>
            <w:r w:rsidR="00A04328" w:rsidRPr="00420AF7">
              <w:rPr>
                <w:rFonts w:asciiTheme="majorBidi" w:eastAsiaTheme="minorHAnsi" w:hAnsiTheme="majorBidi" w:cstheme="majorBidi"/>
              </w:rPr>
              <w:t xml:space="preserve">The general packing requirements of </w:t>
            </w:r>
            <w:r w:rsidR="00A04328" w:rsidRPr="00420AF7">
              <w:rPr>
                <w:rFonts w:asciiTheme="majorBidi" w:eastAsiaTheme="minorHAnsi" w:hAnsiTheme="majorBidi" w:cstheme="majorBidi"/>
                <w:b/>
              </w:rPr>
              <w:t>4.1.6.1</w:t>
            </w:r>
            <w:r w:rsidR="00A04328" w:rsidRPr="00420AF7">
              <w:rPr>
                <w:rFonts w:asciiTheme="majorBidi" w:eastAsiaTheme="minorHAnsi" w:hAnsiTheme="majorBidi" w:cstheme="majorBidi"/>
              </w:rPr>
              <w:t xml:space="preserve"> shall be met.</w:t>
            </w:r>
          </w:p>
          <w:p w:rsidR="00A04328" w:rsidRPr="00420AF7" w:rsidRDefault="00420AF7" w:rsidP="00420AF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(2)</w:t>
            </w:r>
            <w:r>
              <w:rPr>
                <w:rFonts w:asciiTheme="majorBidi" w:eastAsiaTheme="minorHAnsi" w:hAnsiTheme="majorBidi" w:cstheme="majorBidi"/>
              </w:rPr>
              <w:tab/>
            </w:r>
            <w:r w:rsidR="00A04328" w:rsidRPr="00420AF7">
              <w:rPr>
                <w:rFonts w:asciiTheme="majorBidi" w:eastAsiaTheme="minorHAnsi" w:hAnsiTheme="majorBidi" w:cstheme="majorBidi"/>
              </w:rPr>
              <w:t>The maximum test period for periodic inspection shall be 5 years.</w:t>
            </w:r>
          </w:p>
          <w:p w:rsidR="00A04328" w:rsidRPr="00420AF7" w:rsidRDefault="00420AF7" w:rsidP="00420AF7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ajorBidi" w:eastAsiaTheme="minorHAnsi" w:hAnsiTheme="majorBidi" w:cstheme="majorBidi"/>
              </w:rPr>
            </w:pPr>
            <w:r>
              <w:rPr>
                <w:rFonts w:asciiTheme="majorBidi" w:eastAsiaTheme="minorHAnsi" w:hAnsiTheme="majorBidi" w:cstheme="majorBidi"/>
              </w:rPr>
              <w:t>(3)</w:t>
            </w:r>
            <w:r>
              <w:rPr>
                <w:rFonts w:asciiTheme="majorBidi" w:eastAsiaTheme="minorHAnsi" w:hAnsiTheme="majorBidi" w:cstheme="majorBidi"/>
              </w:rPr>
              <w:tab/>
            </w:r>
            <w:r w:rsidR="00A04328" w:rsidRPr="00420AF7">
              <w:rPr>
                <w:rFonts w:asciiTheme="majorBidi" w:eastAsiaTheme="minorHAnsi" w:hAnsiTheme="majorBidi" w:cstheme="majorBidi"/>
              </w:rPr>
              <w:t>….</w:t>
            </w:r>
          </w:p>
          <w:p w:rsidR="00A04328" w:rsidRPr="00420AF7" w:rsidRDefault="00A04328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lang w:val="en-US"/>
              </w:rPr>
            </w:pPr>
          </w:p>
        </w:tc>
      </w:tr>
      <w:tr w:rsidR="00A04328" w:rsidRPr="00420AF7" w:rsidTr="00A04328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28" w:rsidRPr="00420AF7" w:rsidRDefault="00A0432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b/>
                <w:bCs/>
                <w:lang w:val="en-US"/>
              </w:rPr>
            </w:pPr>
            <w:r w:rsidRPr="00420AF7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>Special packing provision</w:t>
            </w:r>
            <w:r w:rsidRPr="00420AF7">
              <w:rPr>
                <w:rFonts w:asciiTheme="majorBidi" w:eastAsiaTheme="minorHAnsi" w:hAnsiTheme="majorBidi" w:cstheme="majorBidi"/>
                <w:b/>
                <w:bCs/>
                <w:u w:val="single"/>
                <w:lang w:val="en-US"/>
              </w:rPr>
              <w:t>s:</w:t>
            </w:r>
          </w:p>
          <w:p w:rsidR="00A04328" w:rsidRPr="00420AF7" w:rsidRDefault="00A0432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b/>
                <w:bCs/>
                <w:u w:val="single"/>
                <w:lang w:val="en-US"/>
              </w:rPr>
            </w:pPr>
          </w:p>
          <w:p w:rsidR="00A04328" w:rsidRPr="00420AF7" w:rsidRDefault="00A0432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lang w:val="en-US"/>
              </w:rPr>
            </w:pPr>
            <w:r w:rsidRPr="00420AF7">
              <w:rPr>
                <w:rFonts w:asciiTheme="majorBidi" w:eastAsiaTheme="minorHAnsi" w:hAnsiTheme="majorBidi" w:cstheme="majorBidi"/>
                <w:b/>
                <w:bCs/>
                <w:lang w:val="en-US"/>
              </w:rPr>
              <w:t>PP89</w:t>
            </w:r>
            <w:r w:rsidRPr="00420AF7">
              <w:rPr>
                <w:rFonts w:asciiTheme="majorBidi" w:eastAsiaTheme="minorHAnsi" w:hAnsiTheme="majorBidi" w:cstheme="majorBidi"/>
                <w:lang w:val="en-US"/>
              </w:rPr>
              <w:t xml:space="preserve"> ….</w:t>
            </w:r>
          </w:p>
          <w:p w:rsidR="00A04328" w:rsidRPr="00420AF7" w:rsidRDefault="00A0432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b/>
                <w:bCs/>
                <w:u w:val="single"/>
                <w:lang w:val="en-US"/>
              </w:rPr>
            </w:pPr>
          </w:p>
          <w:p w:rsidR="00A04328" w:rsidRPr="00420AF7" w:rsidRDefault="00A04328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eastAsiaTheme="minorHAnsi" w:hAnsiTheme="majorBidi" w:cstheme="majorBidi"/>
                <w:u w:val="single"/>
                <w:lang w:val="en-US"/>
              </w:rPr>
            </w:pPr>
            <w:r w:rsidRPr="00420AF7">
              <w:rPr>
                <w:rFonts w:asciiTheme="majorBidi" w:eastAsiaTheme="minorHAnsi" w:hAnsiTheme="majorBidi" w:cstheme="majorBidi"/>
                <w:b/>
                <w:bCs/>
                <w:u w:val="single"/>
                <w:lang w:val="en-US"/>
              </w:rPr>
              <w:t>PPXX</w:t>
            </w:r>
            <w:r w:rsidRPr="00420AF7">
              <w:rPr>
                <w:rFonts w:asciiTheme="majorBidi" w:eastAsiaTheme="minorHAnsi" w:hAnsiTheme="majorBidi" w:cstheme="majorBidi"/>
                <w:u w:val="single"/>
                <w:lang w:val="en-US"/>
              </w:rPr>
              <w:t xml:space="preserve"> </w:t>
            </w:r>
            <w:r w:rsidRPr="00420AF7">
              <w:rPr>
                <w:rFonts w:asciiTheme="majorBidi" w:eastAsiaTheme="minorHAnsi" w:hAnsiTheme="majorBidi" w:cstheme="majorBidi"/>
                <w:u w:val="single"/>
                <w:lang w:val="en-US"/>
              </w:rPr>
              <w:tab/>
            </w:r>
            <w:proofErr w:type="gramStart"/>
            <w:r w:rsidRPr="00420AF7">
              <w:rPr>
                <w:rFonts w:asciiTheme="majorBidi" w:eastAsiaTheme="minorHAnsi" w:hAnsiTheme="majorBidi" w:cstheme="majorBidi"/>
                <w:u w:val="single"/>
                <w:lang w:val="en-US"/>
              </w:rPr>
              <w:t>For</w:t>
            </w:r>
            <w:proofErr w:type="gramEnd"/>
            <w:r w:rsidRPr="00420AF7">
              <w:rPr>
                <w:rFonts w:asciiTheme="majorBidi" w:eastAsiaTheme="minorHAnsi" w:hAnsiTheme="majorBidi" w:cstheme="majorBidi"/>
                <w:u w:val="single"/>
                <w:lang w:val="en-US"/>
              </w:rPr>
              <w:t xml:space="preserve"> fire extinguishing agents assigned to UN No. 3500 the maximum test period for periodic inspection shall be 10 years and the following packing should be allowed: tubes of a maximum water capacity of 450 l.</w:t>
            </w:r>
          </w:p>
        </w:tc>
      </w:tr>
    </w:tbl>
    <w:p w:rsidR="00A04328" w:rsidRDefault="00A04328" w:rsidP="00A04328">
      <w:pPr>
        <w:rPr>
          <w:lang w:val="en-US"/>
        </w:rPr>
      </w:pPr>
    </w:p>
    <w:p w:rsidR="00A04328" w:rsidRDefault="00A04328" w:rsidP="00A04328">
      <w:pPr>
        <w:rPr>
          <w:lang w:val="en-US"/>
        </w:rPr>
      </w:pPr>
    </w:p>
    <w:p w:rsidR="00A04328" w:rsidRDefault="00A04328" w:rsidP="00A04328">
      <w:pPr>
        <w:rPr>
          <w:lang w:val="en-US"/>
        </w:rPr>
      </w:pPr>
    </w:p>
    <w:p w:rsidR="00A04328" w:rsidRDefault="00A04328" w:rsidP="00A04328">
      <w:pPr>
        <w:jc w:val="center"/>
        <w:rPr>
          <w:lang w:val="en-US"/>
        </w:rPr>
      </w:pPr>
    </w:p>
    <w:p w:rsidR="00A04328" w:rsidRDefault="00420AF7" w:rsidP="00A04328">
      <w:pPr>
        <w:pStyle w:val="HChG"/>
        <w:rPr>
          <w:lang w:val="en-US"/>
        </w:rPr>
      </w:pPr>
      <w:r>
        <w:rPr>
          <w:lang w:val="en-US"/>
        </w:rPr>
        <w:lastRenderedPageBreak/>
        <w:t xml:space="preserve">Annex </w:t>
      </w:r>
    </w:p>
    <w:p w:rsidR="00A04328" w:rsidRDefault="00A04328" w:rsidP="00A04328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 xml:space="preserve">Example of a </w:t>
      </w:r>
      <w:proofErr w:type="gramStart"/>
      <w:r>
        <w:t>gas based</w:t>
      </w:r>
      <w:proofErr w:type="gramEnd"/>
      <w:r>
        <w:t xml:space="preserve"> suppression system</w:t>
      </w:r>
    </w:p>
    <w:p w:rsidR="00A04328" w:rsidRDefault="00A04328" w:rsidP="00A04328">
      <w:pPr>
        <w:ind w:left="720" w:firstLine="720"/>
      </w:pPr>
      <w:r>
        <w:rPr>
          <w:noProof/>
          <w:lang w:val="en-US"/>
        </w:rPr>
        <w:drawing>
          <wp:inline distT="0" distB="0" distL="0" distR="0">
            <wp:extent cx="4542790" cy="1711960"/>
            <wp:effectExtent l="0" t="0" r="0" b="2540"/>
            <wp:docPr id="5" name="Picture 5" descr="Lö_Mi_Beha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ö_Mi_Behael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28" w:rsidRDefault="00A04328" w:rsidP="00A04328">
      <w:pPr>
        <w:ind w:left="720" w:firstLine="720"/>
      </w:pPr>
    </w:p>
    <w:p w:rsidR="00A04328" w:rsidRDefault="00A04328" w:rsidP="00A04328">
      <w:pPr>
        <w:ind w:left="720" w:firstLine="720"/>
      </w:pPr>
    </w:p>
    <w:p w:rsidR="00A04328" w:rsidRDefault="00A04328" w:rsidP="00A04328">
      <w:pPr>
        <w:ind w:left="720" w:firstLine="720"/>
      </w:pPr>
      <w:r>
        <w:rPr>
          <w:noProof/>
          <w:lang w:val="en-US"/>
        </w:rPr>
        <w:drawing>
          <wp:inline distT="0" distB="0" distL="0" distR="0">
            <wp:extent cx="4945380" cy="3694430"/>
            <wp:effectExtent l="0" t="0" r="7620" b="1270"/>
            <wp:docPr id="4" name="Picture 4" descr="CIMG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83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28" w:rsidRDefault="00A04328" w:rsidP="00A04328">
      <w:pPr>
        <w:ind w:left="720" w:firstLine="720"/>
      </w:pPr>
    </w:p>
    <w:p w:rsidR="00A04328" w:rsidRDefault="00A04328" w:rsidP="00A04328">
      <w:pPr>
        <w:ind w:left="720" w:firstLine="720"/>
      </w:pPr>
    </w:p>
    <w:p w:rsidR="00A04328" w:rsidRDefault="00A04328" w:rsidP="00A04328">
      <w:pPr>
        <w:ind w:left="720" w:hanging="11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3803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2268"/>
        <w:gridCol w:w="567"/>
        <w:gridCol w:w="1984"/>
      </w:tblGrid>
      <w:tr w:rsidR="00E91779" w:rsidTr="00E91779"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5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Flash</w:t>
            </w:r>
          </w:p>
        </w:tc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Electric horn</w:t>
            </w:r>
          </w:p>
        </w:tc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Selector valve</w:t>
            </w:r>
          </w:p>
        </w:tc>
      </w:tr>
      <w:tr w:rsidR="00E91779" w:rsidTr="00E91779"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85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Extinguishing nozzle</w:t>
            </w:r>
          </w:p>
        </w:tc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Extinguishing agent cylinder</w:t>
            </w:r>
          </w:p>
        </w:tc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4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Pneumatic control device</w:t>
            </w:r>
          </w:p>
        </w:tc>
      </w:tr>
      <w:tr w:rsidR="00E91779" w:rsidTr="00E91779"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Fire detector</w:t>
            </w:r>
          </w:p>
        </w:tc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E91779" w:rsidRDefault="00E91779" w:rsidP="00A04328">
            <w:pPr>
              <w:rPr>
                <w:lang w:val="en-US"/>
              </w:rPr>
            </w:pPr>
            <w:r>
              <w:rPr>
                <w:lang w:val="en-US"/>
              </w:rPr>
              <w:t>Fire detection and extinguishing control panel</w:t>
            </w:r>
          </w:p>
        </w:tc>
        <w:tc>
          <w:tcPr>
            <w:tcW w:w="567" w:type="dxa"/>
          </w:tcPr>
          <w:p w:rsidR="00E91779" w:rsidRDefault="00E91779" w:rsidP="00A04328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91779" w:rsidRDefault="00E91779" w:rsidP="00A04328">
            <w:pPr>
              <w:rPr>
                <w:lang w:val="en-US"/>
              </w:rPr>
            </w:pPr>
          </w:p>
        </w:tc>
      </w:tr>
    </w:tbl>
    <w:p w:rsidR="00E91779" w:rsidRDefault="00E91779" w:rsidP="00A04328">
      <w:pPr>
        <w:jc w:val="center"/>
        <w:rPr>
          <w:lang w:val="en-US"/>
        </w:rPr>
      </w:pPr>
    </w:p>
    <w:p w:rsidR="00A04328" w:rsidRDefault="00A04328" w:rsidP="00A04328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___________________</w:t>
      </w:r>
    </w:p>
    <w:p w:rsidR="00A04328" w:rsidRDefault="00A04328" w:rsidP="00A04328">
      <w:pPr>
        <w:rPr>
          <w:lang w:val="en-US"/>
        </w:rPr>
      </w:pPr>
    </w:p>
    <w:p w:rsidR="00A04328" w:rsidRDefault="00A04328" w:rsidP="00A04328">
      <w:pPr>
        <w:rPr>
          <w:lang w:val="en-US"/>
        </w:rPr>
      </w:pPr>
    </w:p>
    <w:p w:rsidR="00A04328" w:rsidRDefault="00A04328" w:rsidP="00A04328">
      <w:pPr>
        <w:rPr>
          <w:lang w:val="en-US"/>
        </w:rPr>
      </w:pPr>
    </w:p>
    <w:p w:rsidR="00A04328" w:rsidRPr="00A04328" w:rsidRDefault="00A04328" w:rsidP="00A04328">
      <w:pPr>
        <w:rPr>
          <w:lang w:val="en-US"/>
        </w:rPr>
      </w:pPr>
    </w:p>
    <w:sectPr w:rsidR="00A04328" w:rsidRPr="00A04328" w:rsidSect="00A238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2F" w:rsidRDefault="0052552F"/>
  </w:endnote>
  <w:endnote w:type="continuationSeparator" w:id="0">
    <w:p w:rsidR="0052552F" w:rsidRDefault="0052552F"/>
  </w:endnote>
  <w:endnote w:type="continuationNotice" w:id="1">
    <w:p w:rsidR="0052552F" w:rsidRDefault="00525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8D62E6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C40255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8D62E6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C40255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2F" w:rsidRPr="000B175B" w:rsidRDefault="005255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2552F" w:rsidRPr="00FC68B7" w:rsidRDefault="005255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2552F" w:rsidRDefault="0052552F"/>
  </w:footnote>
  <w:footnote w:id="2">
    <w:p w:rsidR="00A04328" w:rsidRPr="00A04328" w:rsidRDefault="00A04328" w:rsidP="00A04328">
      <w:pPr>
        <w:pStyle w:val="FootnoteText"/>
        <w:tabs>
          <w:tab w:val="left" w:pos="1560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>
        <w:rPr>
          <w:lang w:val="en-US"/>
        </w:rPr>
        <w:t xml:space="preserve">In accordance with </w:t>
      </w:r>
      <w:r w:rsidRPr="00C77DF8">
        <w:t>the programme</w:t>
      </w:r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3B782D">
    <w:pPr>
      <w:pStyle w:val="Header"/>
    </w:pPr>
    <w:r>
      <w:t>ST/SG/AC.10/C.3/201</w:t>
    </w:r>
    <w:r w:rsidR="00B44CA8">
      <w:t>8</w:t>
    </w:r>
    <w:r>
      <w:t>/</w:t>
    </w:r>
    <w:r w:rsidR="00A04328">
      <w:t>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Pr="006D12B1" w:rsidRDefault="003B782D" w:rsidP="006D12B1">
    <w:pPr>
      <w:pStyle w:val="Header"/>
      <w:jc w:val="right"/>
    </w:pPr>
    <w:r>
      <w:t>ST/SG/AC.10/C.3/201</w:t>
    </w:r>
    <w:r w:rsidR="006F7643">
      <w:t>8</w:t>
    </w:r>
    <w:r>
      <w:t>/</w:t>
    </w:r>
    <w:r w:rsidR="00A04328">
      <w:t>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E6" w:rsidRDefault="008D62E6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B5A4C"/>
    <w:multiLevelType w:val="hybridMultilevel"/>
    <w:tmpl w:val="4E3A82A4"/>
    <w:lvl w:ilvl="0" w:tplc="0390E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6BF4A11"/>
    <w:multiLevelType w:val="hybridMultilevel"/>
    <w:tmpl w:val="50BEEC6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80157"/>
    <w:multiLevelType w:val="hybridMultilevel"/>
    <w:tmpl w:val="5D56423A"/>
    <w:lvl w:ilvl="0" w:tplc="855C99C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C3C1392"/>
    <w:multiLevelType w:val="hybridMultilevel"/>
    <w:tmpl w:val="923CA440"/>
    <w:lvl w:ilvl="0" w:tplc="CA7A2B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172A0"/>
    <w:multiLevelType w:val="hybridMultilevel"/>
    <w:tmpl w:val="71040106"/>
    <w:lvl w:ilvl="0" w:tplc="0390E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672966EB"/>
    <w:multiLevelType w:val="hybridMultilevel"/>
    <w:tmpl w:val="F38CCF8A"/>
    <w:lvl w:ilvl="0" w:tplc="D90E7C8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6EEE75D0"/>
    <w:multiLevelType w:val="hybridMultilevel"/>
    <w:tmpl w:val="923CA440"/>
    <w:lvl w:ilvl="0" w:tplc="CA7A2BD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3"/>
  </w:num>
  <w:num w:numId="13">
    <w:abstractNumId w:val="12"/>
  </w:num>
  <w:num w:numId="14">
    <w:abstractNumId w:val="27"/>
  </w:num>
  <w:num w:numId="15">
    <w:abstractNumId w:val="32"/>
  </w:num>
  <w:num w:numId="16">
    <w:abstractNumId w:val="15"/>
  </w:num>
  <w:num w:numId="17">
    <w:abstractNumId w:val="21"/>
  </w:num>
  <w:num w:numId="18">
    <w:abstractNumId w:val="20"/>
  </w:num>
  <w:num w:numId="19">
    <w:abstractNumId w:val="31"/>
  </w:num>
  <w:num w:numId="20">
    <w:abstractNumId w:val="25"/>
  </w:num>
  <w:num w:numId="21">
    <w:abstractNumId w:val="18"/>
  </w:num>
  <w:num w:numId="22">
    <w:abstractNumId w:val="11"/>
  </w:num>
  <w:num w:numId="23">
    <w:abstractNumId w:val="28"/>
  </w:num>
  <w:num w:numId="24">
    <w:abstractNumId w:val="22"/>
  </w:num>
  <w:num w:numId="25">
    <w:abstractNumId w:val="16"/>
  </w:num>
  <w:num w:numId="26">
    <w:abstractNumId w:val="19"/>
  </w:num>
  <w:num w:numId="27">
    <w:abstractNumId w:val="10"/>
  </w:num>
  <w:num w:numId="28">
    <w:abstractNumId w:val="17"/>
  </w:num>
  <w:num w:numId="29">
    <w:abstractNumId w:val="29"/>
  </w:num>
  <w:num w:numId="30">
    <w:abstractNumId w:val="27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B1"/>
    <w:rsid w:val="00002B5B"/>
    <w:rsid w:val="00003D68"/>
    <w:rsid w:val="00004671"/>
    <w:rsid w:val="00013201"/>
    <w:rsid w:val="00014B80"/>
    <w:rsid w:val="00017038"/>
    <w:rsid w:val="00017EBB"/>
    <w:rsid w:val="00021F7C"/>
    <w:rsid w:val="00023F08"/>
    <w:rsid w:val="000357D1"/>
    <w:rsid w:val="00047D68"/>
    <w:rsid w:val="00047F82"/>
    <w:rsid w:val="000504CE"/>
    <w:rsid w:val="00050F6B"/>
    <w:rsid w:val="00056AFE"/>
    <w:rsid w:val="00062798"/>
    <w:rsid w:val="000658D1"/>
    <w:rsid w:val="0007215D"/>
    <w:rsid w:val="00072C8C"/>
    <w:rsid w:val="000750C9"/>
    <w:rsid w:val="00075858"/>
    <w:rsid w:val="00083B73"/>
    <w:rsid w:val="000855DB"/>
    <w:rsid w:val="00091419"/>
    <w:rsid w:val="0009150D"/>
    <w:rsid w:val="000931C0"/>
    <w:rsid w:val="0009345E"/>
    <w:rsid w:val="000A0ED1"/>
    <w:rsid w:val="000A254F"/>
    <w:rsid w:val="000A5147"/>
    <w:rsid w:val="000A74EE"/>
    <w:rsid w:val="000B175B"/>
    <w:rsid w:val="000B3A0F"/>
    <w:rsid w:val="000B6007"/>
    <w:rsid w:val="000C2086"/>
    <w:rsid w:val="000C7DC8"/>
    <w:rsid w:val="000D38D6"/>
    <w:rsid w:val="000D58F6"/>
    <w:rsid w:val="000D75B4"/>
    <w:rsid w:val="000D7BAE"/>
    <w:rsid w:val="000E0415"/>
    <w:rsid w:val="000E46F2"/>
    <w:rsid w:val="000E5783"/>
    <w:rsid w:val="000F19F8"/>
    <w:rsid w:val="000F7992"/>
    <w:rsid w:val="000F7AB3"/>
    <w:rsid w:val="0010159C"/>
    <w:rsid w:val="00115C6E"/>
    <w:rsid w:val="00116AD0"/>
    <w:rsid w:val="00117787"/>
    <w:rsid w:val="001206C9"/>
    <w:rsid w:val="0012636F"/>
    <w:rsid w:val="00131D42"/>
    <w:rsid w:val="00150FB7"/>
    <w:rsid w:val="00160075"/>
    <w:rsid w:val="00162C94"/>
    <w:rsid w:val="001633FB"/>
    <w:rsid w:val="00167786"/>
    <w:rsid w:val="00186060"/>
    <w:rsid w:val="001A537C"/>
    <w:rsid w:val="001A558D"/>
    <w:rsid w:val="001A5BD3"/>
    <w:rsid w:val="001A72A0"/>
    <w:rsid w:val="001B4B04"/>
    <w:rsid w:val="001C0631"/>
    <w:rsid w:val="001C6663"/>
    <w:rsid w:val="001C6877"/>
    <w:rsid w:val="001C7526"/>
    <w:rsid w:val="001C7895"/>
    <w:rsid w:val="001C7A0D"/>
    <w:rsid w:val="001D26DF"/>
    <w:rsid w:val="001D2FDC"/>
    <w:rsid w:val="001D31FD"/>
    <w:rsid w:val="001D75B9"/>
    <w:rsid w:val="001D79DB"/>
    <w:rsid w:val="001E58AB"/>
    <w:rsid w:val="001E5A95"/>
    <w:rsid w:val="001E71F6"/>
    <w:rsid w:val="001E7810"/>
    <w:rsid w:val="001F3FA0"/>
    <w:rsid w:val="001F4C6A"/>
    <w:rsid w:val="002016FA"/>
    <w:rsid w:val="00210B9C"/>
    <w:rsid w:val="002114DD"/>
    <w:rsid w:val="00211E0B"/>
    <w:rsid w:val="00212DFA"/>
    <w:rsid w:val="00213AFD"/>
    <w:rsid w:val="00220277"/>
    <w:rsid w:val="00221E51"/>
    <w:rsid w:val="002309A7"/>
    <w:rsid w:val="00235282"/>
    <w:rsid w:val="00237785"/>
    <w:rsid w:val="002403E7"/>
    <w:rsid w:val="00241466"/>
    <w:rsid w:val="00241743"/>
    <w:rsid w:val="00243932"/>
    <w:rsid w:val="002442CA"/>
    <w:rsid w:val="00253AD8"/>
    <w:rsid w:val="00260156"/>
    <w:rsid w:val="00261C88"/>
    <w:rsid w:val="00263EB2"/>
    <w:rsid w:val="002656C7"/>
    <w:rsid w:val="00266652"/>
    <w:rsid w:val="002671A8"/>
    <w:rsid w:val="002725CA"/>
    <w:rsid w:val="00274224"/>
    <w:rsid w:val="00274950"/>
    <w:rsid w:val="00276AFA"/>
    <w:rsid w:val="00280407"/>
    <w:rsid w:val="00280EB7"/>
    <w:rsid w:val="00284709"/>
    <w:rsid w:val="00286006"/>
    <w:rsid w:val="00286DC6"/>
    <w:rsid w:val="002A286C"/>
    <w:rsid w:val="002B1CDA"/>
    <w:rsid w:val="002B4AB6"/>
    <w:rsid w:val="002C1AE8"/>
    <w:rsid w:val="002C47E7"/>
    <w:rsid w:val="002D1732"/>
    <w:rsid w:val="002E3E7B"/>
    <w:rsid w:val="002F794A"/>
    <w:rsid w:val="0030379C"/>
    <w:rsid w:val="00306458"/>
    <w:rsid w:val="003107FA"/>
    <w:rsid w:val="0032058E"/>
    <w:rsid w:val="003229D8"/>
    <w:rsid w:val="00323E30"/>
    <w:rsid w:val="00337633"/>
    <w:rsid w:val="003435EA"/>
    <w:rsid w:val="0034759C"/>
    <w:rsid w:val="00351B9A"/>
    <w:rsid w:val="0036127B"/>
    <w:rsid w:val="00373BF8"/>
    <w:rsid w:val="00374D67"/>
    <w:rsid w:val="00376FC8"/>
    <w:rsid w:val="003770E6"/>
    <w:rsid w:val="003774C1"/>
    <w:rsid w:val="00380867"/>
    <w:rsid w:val="003912B8"/>
    <w:rsid w:val="0039277A"/>
    <w:rsid w:val="00397267"/>
    <w:rsid w:val="003972E0"/>
    <w:rsid w:val="003A0C75"/>
    <w:rsid w:val="003A25EB"/>
    <w:rsid w:val="003A58B0"/>
    <w:rsid w:val="003B3726"/>
    <w:rsid w:val="003B47FB"/>
    <w:rsid w:val="003B782D"/>
    <w:rsid w:val="003C24C1"/>
    <w:rsid w:val="003C2CC4"/>
    <w:rsid w:val="003C56AC"/>
    <w:rsid w:val="003C7B41"/>
    <w:rsid w:val="003D461F"/>
    <w:rsid w:val="003D4B23"/>
    <w:rsid w:val="003D6DC1"/>
    <w:rsid w:val="003E0AFF"/>
    <w:rsid w:val="003E211B"/>
    <w:rsid w:val="003E5B28"/>
    <w:rsid w:val="00407C96"/>
    <w:rsid w:val="00420AF7"/>
    <w:rsid w:val="00421AF2"/>
    <w:rsid w:val="0042233A"/>
    <w:rsid w:val="004269F4"/>
    <w:rsid w:val="004325CB"/>
    <w:rsid w:val="00437F3F"/>
    <w:rsid w:val="00442626"/>
    <w:rsid w:val="00442DF8"/>
    <w:rsid w:val="00446DE4"/>
    <w:rsid w:val="004475BC"/>
    <w:rsid w:val="00447EDD"/>
    <w:rsid w:val="00450194"/>
    <w:rsid w:val="00450806"/>
    <w:rsid w:val="0045354F"/>
    <w:rsid w:val="00454036"/>
    <w:rsid w:val="00455585"/>
    <w:rsid w:val="00465AFB"/>
    <w:rsid w:val="00477705"/>
    <w:rsid w:val="00477D30"/>
    <w:rsid w:val="00483009"/>
    <w:rsid w:val="00485492"/>
    <w:rsid w:val="00492044"/>
    <w:rsid w:val="004B1D16"/>
    <w:rsid w:val="004B2C9D"/>
    <w:rsid w:val="004C1373"/>
    <w:rsid w:val="004C1EC5"/>
    <w:rsid w:val="004C2B9F"/>
    <w:rsid w:val="004C6FBA"/>
    <w:rsid w:val="004D56C3"/>
    <w:rsid w:val="004E05DD"/>
    <w:rsid w:val="004E7719"/>
    <w:rsid w:val="004F018B"/>
    <w:rsid w:val="004F0881"/>
    <w:rsid w:val="004F3384"/>
    <w:rsid w:val="00500363"/>
    <w:rsid w:val="00517A43"/>
    <w:rsid w:val="0052552F"/>
    <w:rsid w:val="00527910"/>
    <w:rsid w:val="00527DE7"/>
    <w:rsid w:val="00534038"/>
    <w:rsid w:val="005420F2"/>
    <w:rsid w:val="00546203"/>
    <w:rsid w:val="005500DD"/>
    <w:rsid w:val="005501BE"/>
    <w:rsid w:val="00550A97"/>
    <w:rsid w:val="00553F21"/>
    <w:rsid w:val="00554826"/>
    <w:rsid w:val="00555B2C"/>
    <w:rsid w:val="005614D7"/>
    <w:rsid w:val="00563498"/>
    <w:rsid w:val="005649C7"/>
    <w:rsid w:val="00564DCF"/>
    <w:rsid w:val="00566C4F"/>
    <w:rsid w:val="005675A1"/>
    <w:rsid w:val="00575122"/>
    <w:rsid w:val="005866D9"/>
    <w:rsid w:val="00590144"/>
    <w:rsid w:val="00590E9D"/>
    <w:rsid w:val="00591271"/>
    <w:rsid w:val="0059403F"/>
    <w:rsid w:val="0059588D"/>
    <w:rsid w:val="005B03C6"/>
    <w:rsid w:val="005B151F"/>
    <w:rsid w:val="005B337B"/>
    <w:rsid w:val="005B3DB3"/>
    <w:rsid w:val="005B77F6"/>
    <w:rsid w:val="005C4FD9"/>
    <w:rsid w:val="005C60A3"/>
    <w:rsid w:val="005C6729"/>
    <w:rsid w:val="005C756D"/>
    <w:rsid w:val="005C7602"/>
    <w:rsid w:val="005D0F1A"/>
    <w:rsid w:val="005E4EC1"/>
    <w:rsid w:val="005E53D8"/>
    <w:rsid w:val="005F7326"/>
    <w:rsid w:val="00600B82"/>
    <w:rsid w:val="006115EA"/>
    <w:rsid w:val="00611FC4"/>
    <w:rsid w:val="006176FB"/>
    <w:rsid w:val="00625E3D"/>
    <w:rsid w:val="00625E79"/>
    <w:rsid w:val="00627A79"/>
    <w:rsid w:val="00630C9C"/>
    <w:rsid w:val="00632868"/>
    <w:rsid w:val="0063419C"/>
    <w:rsid w:val="00640B26"/>
    <w:rsid w:val="006444A5"/>
    <w:rsid w:val="0064599F"/>
    <w:rsid w:val="00645F74"/>
    <w:rsid w:val="006500BA"/>
    <w:rsid w:val="006547FF"/>
    <w:rsid w:val="006548D2"/>
    <w:rsid w:val="00665835"/>
    <w:rsid w:val="0066616B"/>
    <w:rsid w:val="006663B4"/>
    <w:rsid w:val="00666A12"/>
    <w:rsid w:val="00666C9B"/>
    <w:rsid w:val="00666E76"/>
    <w:rsid w:val="00666FF0"/>
    <w:rsid w:val="00674956"/>
    <w:rsid w:val="0068062A"/>
    <w:rsid w:val="006829A1"/>
    <w:rsid w:val="006946BA"/>
    <w:rsid w:val="006949CA"/>
    <w:rsid w:val="00695337"/>
    <w:rsid w:val="006A7392"/>
    <w:rsid w:val="006B0EDB"/>
    <w:rsid w:val="006B20F6"/>
    <w:rsid w:val="006B5E7A"/>
    <w:rsid w:val="006C0D34"/>
    <w:rsid w:val="006C1A2D"/>
    <w:rsid w:val="006D12B1"/>
    <w:rsid w:val="006D3172"/>
    <w:rsid w:val="006E4A89"/>
    <w:rsid w:val="006E564B"/>
    <w:rsid w:val="006E7571"/>
    <w:rsid w:val="006F2F51"/>
    <w:rsid w:val="006F6E56"/>
    <w:rsid w:val="006F7643"/>
    <w:rsid w:val="00704CDB"/>
    <w:rsid w:val="00704F08"/>
    <w:rsid w:val="007118E9"/>
    <w:rsid w:val="00711C13"/>
    <w:rsid w:val="007221B3"/>
    <w:rsid w:val="00724B47"/>
    <w:rsid w:val="0072632A"/>
    <w:rsid w:val="00731BC5"/>
    <w:rsid w:val="00734958"/>
    <w:rsid w:val="00735E94"/>
    <w:rsid w:val="00744314"/>
    <w:rsid w:val="0074549D"/>
    <w:rsid w:val="00755330"/>
    <w:rsid w:val="00755888"/>
    <w:rsid w:val="00771040"/>
    <w:rsid w:val="00774DC9"/>
    <w:rsid w:val="007777E0"/>
    <w:rsid w:val="00782D80"/>
    <w:rsid w:val="007855DD"/>
    <w:rsid w:val="00790791"/>
    <w:rsid w:val="007911AE"/>
    <w:rsid w:val="0079329B"/>
    <w:rsid w:val="00796AE1"/>
    <w:rsid w:val="007A022A"/>
    <w:rsid w:val="007A6E20"/>
    <w:rsid w:val="007B08A0"/>
    <w:rsid w:val="007B1A7E"/>
    <w:rsid w:val="007B45E1"/>
    <w:rsid w:val="007B6BA5"/>
    <w:rsid w:val="007B77FB"/>
    <w:rsid w:val="007C2411"/>
    <w:rsid w:val="007C2A74"/>
    <w:rsid w:val="007C3390"/>
    <w:rsid w:val="007C4F4B"/>
    <w:rsid w:val="007D3F4C"/>
    <w:rsid w:val="007D659A"/>
    <w:rsid w:val="007E00B9"/>
    <w:rsid w:val="007E6132"/>
    <w:rsid w:val="007E79E3"/>
    <w:rsid w:val="007F021A"/>
    <w:rsid w:val="007F1AE8"/>
    <w:rsid w:val="007F6611"/>
    <w:rsid w:val="00800367"/>
    <w:rsid w:val="008063DA"/>
    <w:rsid w:val="008135DF"/>
    <w:rsid w:val="00813C48"/>
    <w:rsid w:val="00816AC5"/>
    <w:rsid w:val="008175E9"/>
    <w:rsid w:val="008212DE"/>
    <w:rsid w:val="00823B1A"/>
    <w:rsid w:val="008242D7"/>
    <w:rsid w:val="00824C37"/>
    <w:rsid w:val="00832EED"/>
    <w:rsid w:val="0085088D"/>
    <w:rsid w:val="0085291B"/>
    <w:rsid w:val="00861943"/>
    <w:rsid w:val="008650F3"/>
    <w:rsid w:val="00871FD5"/>
    <w:rsid w:val="0087312B"/>
    <w:rsid w:val="00875FDD"/>
    <w:rsid w:val="00876878"/>
    <w:rsid w:val="0088126D"/>
    <w:rsid w:val="00884FD0"/>
    <w:rsid w:val="008910B9"/>
    <w:rsid w:val="008915DA"/>
    <w:rsid w:val="00892078"/>
    <w:rsid w:val="008939C2"/>
    <w:rsid w:val="00895E97"/>
    <w:rsid w:val="008979B1"/>
    <w:rsid w:val="008A3016"/>
    <w:rsid w:val="008A3543"/>
    <w:rsid w:val="008A63F3"/>
    <w:rsid w:val="008A6B25"/>
    <w:rsid w:val="008A6C4F"/>
    <w:rsid w:val="008B63A7"/>
    <w:rsid w:val="008B7447"/>
    <w:rsid w:val="008C0282"/>
    <w:rsid w:val="008D470D"/>
    <w:rsid w:val="008D53CE"/>
    <w:rsid w:val="008D62E6"/>
    <w:rsid w:val="008E071B"/>
    <w:rsid w:val="008E0E46"/>
    <w:rsid w:val="008E26C9"/>
    <w:rsid w:val="008E38E6"/>
    <w:rsid w:val="008F79EE"/>
    <w:rsid w:val="00904B37"/>
    <w:rsid w:val="0091079D"/>
    <w:rsid w:val="00922550"/>
    <w:rsid w:val="009255A2"/>
    <w:rsid w:val="00930114"/>
    <w:rsid w:val="00932FD6"/>
    <w:rsid w:val="0093339A"/>
    <w:rsid w:val="00933818"/>
    <w:rsid w:val="00941249"/>
    <w:rsid w:val="00943472"/>
    <w:rsid w:val="00945A5D"/>
    <w:rsid w:val="00946A04"/>
    <w:rsid w:val="00947476"/>
    <w:rsid w:val="00953FB7"/>
    <w:rsid w:val="0095534D"/>
    <w:rsid w:val="0095612C"/>
    <w:rsid w:val="0095690E"/>
    <w:rsid w:val="00956E50"/>
    <w:rsid w:val="00957117"/>
    <w:rsid w:val="00961C8B"/>
    <w:rsid w:val="00963CBA"/>
    <w:rsid w:val="00977B43"/>
    <w:rsid w:val="009854F2"/>
    <w:rsid w:val="0099124E"/>
    <w:rsid w:val="00991261"/>
    <w:rsid w:val="00996280"/>
    <w:rsid w:val="009A0835"/>
    <w:rsid w:val="009A7155"/>
    <w:rsid w:val="009A71B8"/>
    <w:rsid w:val="009A7613"/>
    <w:rsid w:val="009B371C"/>
    <w:rsid w:val="009B4C36"/>
    <w:rsid w:val="009B7D7D"/>
    <w:rsid w:val="009C047F"/>
    <w:rsid w:val="009C0A9F"/>
    <w:rsid w:val="009C2FD5"/>
    <w:rsid w:val="009C4B33"/>
    <w:rsid w:val="009C4C96"/>
    <w:rsid w:val="009D1AAE"/>
    <w:rsid w:val="009D21EA"/>
    <w:rsid w:val="009D2254"/>
    <w:rsid w:val="009E523D"/>
    <w:rsid w:val="009E5372"/>
    <w:rsid w:val="009F0F06"/>
    <w:rsid w:val="009F4BF2"/>
    <w:rsid w:val="00A04328"/>
    <w:rsid w:val="00A134AB"/>
    <w:rsid w:val="00A13947"/>
    <w:rsid w:val="00A1427D"/>
    <w:rsid w:val="00A173D0"/>
    <w:rsid w:val="00A20C74"/>
    <w:rsid w:val="00A22C21"/>
    <w:rsid w:val="00A2384F"/>
    <w:rsid w:val="00A27120"/>
    <w:rsid w:val="00A3012E"/>
    <w:rsid w:val="00A310BE"/>
    <w:rsid w:val="00A34D55"/>
    <w:rsid w:val="00A357CC"/>
    <w:rsid w:val="00A37600"/>
    <w:rsid w:val="00A464D6"/>
    <w:rsid w:val="00A50007"/>
    <w:rsid w:val="00A60C34"/>
    <w:rsid w:val="00A7002D"/>
    <w:rsid w:val="00A72F22"/>
    <w:rsid w:val="00A73040"/>
    <w:rsid w:val="00A748A6"/>
    <w:rsid w:val="00A74A73"/>
    <w:rsid w:val="00A74EF3"/>
    <w:rsid w:val="00A75B6F"/>
    <w:rsid w:val="00A75EC9"/>
    <w:rsid w:val="00A8523D"/>
    <w:rsid w:val="00A86F88"/>
    <w:rsid w:val="00A879A4"/>
    <w:rsid w:val="00A90303"/>
    <w:rsid w:val="00A9116B"/>
    <w:rsid w:val="00A93914"/>
    <w:rsid w:val="00A93EFD"/>
    <w:rsid w:val="00A941DA"/>
    <w:rsid w:val="00A9451B"/>
    <w:rsid w:val="00A959E8"/>
    <w:rsid w:val="00AA0942"/>
    <w:rsid w:val="00AA6ADE"/>
    <w:rsid w:val="00AB2B67"/>
    <w:rsid w:val="00AB4705"/>
    <w:rsid w:val="00AC12E0"/>
    <w:rsid w:val="00AC1B07"/>
    <w:rsid w:val="00AC2E70"/>
    <w:rsid w:val="00AC4017"/>
    <w:rsid w:val="00AD0CC9"/>
    <w:rsid w:val="00AE06E2"/>
    <w:rsid w:val="00AF17E0"/>
    <w:rsid w:val="00AF523B"/>
    <w:rsid w:val="00AF57EC"/>
    <w:rsid w:val="00B022B6"/>
    <w:rsid w:val="00B15166"/>
    <w:rsid w:val="00B25562"/>
    <w:rsid w:val="00B30179"/>
    <w:rsid w:val="00B3094C"/>
    <w:rsid w:val="00B314E5"/>
    <w:rsid w:val="00B31E9A"/>
    <w:rsid w:val="00B3282A"/>
    <w:rsid w:val="00B3317B"/>
    <w:rsid w:val="00B33E86"/>
    <w:rsid w:val="00B4226A"/>
    <w:rsid w:val="00B431FF"/>
    <w:rsid w:val="00B44CA8"/>
    <w:rsid w:val="00B57906"/>
    <w:rsid w:val="00B57966"/>
    <w:rsid w:val="00B6275B"/>
    <w:rsid w:val="00B63BC3"/>
    <w:rsid w:val="00B707EC"/>
    <w:rsid w:val="00B80FB1"/>
    <w:rsid w:val="00B81E12"/>
    <w:rsid w:val="00B85A05"/>
    <w:rsid w:val="00B91898"/>
    <w:rsid w:val="00B93068"/>
    <w:rsid w:val="00B94CD7"/>
    <w:rsid w:val="00BA10AE"/>
    <w:rsid w:val="00BB0133"/>
    <w:rsid w:val="00BB027F"/>
    <w:rsid w:val="00BB4C7F"/>
    <w:rsid w:val="00BB4E6C"/>
    <w:rsid w:val="00BC4682"/>
    <w:rsid w:val="00BC5903"/>
    <w:rsid w:val="00BC603D"/>
    <w:rsid w:val="00BC74E9"/>
    <w:rsid w:val="00BD23D8"/>
    <w:rsid w:val="00BD36F7"/>
    <w:rsid w:val="00BE16D0"/>
    <w:rsid w:val="00BE2559"/>
    <w:rsid w:val="00BE3BEE"/>
    <w:rsid w:val="00BE40BD"/>
    <w:rsid w:val="00BE618E"/>
    <w:rsid w:val="00BF169C"/>
    <w:rsid w:val="00BF415E"/>
    <w:rsid w:val="00BF658E"/>
    <w:rsid w:val="00BF7B3C"/>
    <w:rsid w:val="00BF7DE7"/>
    <w:rsid w:val="00C049EF"/>
    <w:rsid w:val="00C07858"/>
    <w:rsid w:val="00C07C97"/>
    <w:rsid w:val="00C1746C"/>
    <w:rsid w:val="00C32725"/>
    <w:rsid w:val="00C40255"/>
    <w:rsid w:val="00C44E98"/>
    <w:rsid w:val="00C463DD"/>
    <w:rsid w:val="00C51EAA"/>
    <w:rsid w:val="00C608D3"/>
    <w:rsid w:val="00C62F76"/>
    <w:rsid w:val="00C651CB"/>
    <w:rsid w:val="00C667E3"/>
    <w:rsid w:val="00C7192D"/>
    <w:rsid w:val="00C745C3"/>
    <w:rsid w:val="00C7487E"/>
    <w:rsid w:val="00C77DF8"/>
    <w:rsid w:val="00C80E70"/>
    <w:rsid w:val="00C933C4"/>
    <w:rsid w:val="00C97788"/>
    <w:rsid w:val="00CA1C09"/>
    <w:rsid w:val="00CA2BDD"/>
    <w:rsid w:val="00CA2FB6"/>
    <w:rsid w:val="00CB4525"/>
    <w:rsid w:val="00CB5A4F"/>
    <w:rsid w:val="00CB64AE"/>
    <w:rsid w:val="00CB74BE"/>
    <w:rsid w:val="00CC2843"/>
    <w:rsid w:val="00CC2AEA"/>
    <w:rsid w:val="00CC5473"/>
    <w:rsid w:val="00CC5FB1"/>
    <w:rsid w:val="00CD3225"/>
    <w:rsid w:val="00CD5A1E"/>
    <w:rsid w:val="00CD5FED"/>
    <w:rsid w:val="00CE46BA"/>
    <w:rsid w:val="00CE4A8F"/>
    <w:rsid w:val="00CE57DA"/>
    <w:rsid w:val="00CF03B5"/>
    <w:rsid w:val="00CF4589"/>
    <w:rsid w:val="00CF5E82"/>
    <w:rsid w:val="00CF7E49"/>
    <w:rsid w:val="00D07023"/>
    <w:rsid w:val="00D1626A"/>
    <w:rsid w:val="00D2031B"/>
    <w:rsid w:val="00D24605"/>
    <w:rsid w:val="00D25FE2"/>
    <w:rsid w:val="00D31E44"/>
    <w:rsid w:val="00D327F7"/>
    <w:rsid w:val="00D33DBC"/>
    <w:rsid w:val="00D34630"/>
    <w:rsid w:val="00D35BDD"/>
    <w:rsid w:val="00D36689"/>
    <w:rsid w:val="00D40A51"/>
    <w:rsid w:val="00D43252"/>
    <w:rsid w:val="00D46231"/>
    <w:rsid w:val="00D51B00"/>
    <w:rsid w:val="00D554D8"/>
    <w:rsid w:val="00D619B6"/>
    <w:rsid w:val="00D625F6"/>
    <w:rsid w:val="00D62C6B"/>
    <w:rsid w:val="00D64ADA"/>
    <w:rsid w:val="00D71E1A"/>
    <w:rsid w:val="00D71E33"/>
    <w:rsid w:val="00D729F2"/>
    <w:rsid w:val="00D753D8"/>
    <w:rsid w:val="00D8365F"/>
    <w:rsid w:val="00D83B2B"/>
    <w:rsid w:val="00D84A21"/>
    <w:rsid w:val="00D96268"/>
    <w:rsid w:val="00D96CC5"/>
    <w:rsid w:val="00D978C6"/>
    <w:rsid w:val="00DA41B9"/>
    <w:rsid w:val="00DA67AD"/>
    <w:rsid w:val="00DA7D7C"/>
    <w:rsid w:val="00DB2840"/>
    <w:rsid w:val="00DD0126"/>
    <w:rsid w:val="00DD1C3A"/>
    <w:rsid w:val="00DD45EA"/>
    <w:rsid w:val="00DD62B9"/>
    <w:rsid w:val="00DD66D0"/>
    <w:rsid w:val="00DE7A2F"/>
    <w:rsid w:val="00DF144B"/>
    <w:rsid w:val="00DF1892"/>
    <w:rsid w:val="00DF18E3"/>
    <w:rsid w:val="00DF293E"/>
    <w:rsid w:val="00DF4A50"/>
    <w:rsid w:val="00E05346"/>
    <w:rsid w:val="00E130AB"/>
    <w:rsid w:val="00E1345B"/>
    <w:rsid w:val="00E14A46"/>
    <w:rsid w:val="00E1679E"/>
    <w:rsid w:val="00E16A7F"/>
    <w:rsid w:val="00E20217"/>
    <w:rsid w:val="00E207EC"/>
    <w:rsid w:val="00E3580F"/>
    <w:rsid w:val="00E35D04"/>
    <w:rsid w:val="00E44F53"/>
    <w:rsid w:val="00E4580E"/>
    <w:rsid w:val="00E5644E"/>
    <w:rsid w:val="00E607EB"/>
    <w:rsid w:val="00E7260F"/>
    <w:rsid w:val="00E74A38"/>
    <w:rsid w:val="00E81230"/>
    <w:rsid w:val="00E852DA"/>
    <w:rsid w:val="00E8535A"/>
    <w:rsid w:val="00E86AD3"/>
    <w:rsid w:val="00E90C5D"/>
    <w:rsid w:val="00E91779"/>
    <w:rsid w:val="00E933C4"/>
    <w:rsid w:val="00E96386"/>
    <w:rsid w:val="00E96630"/>
    <w:rsid w:val="00E96952"/>
    <w:rsid w:val="00EA23B2"/>
    <w:rsid w:val="00EA34E1"/>
    <w:rsid w:val="00EA6E78"/>
    <w:rsid w:val="00EA772F"/>
    <w:rsid w:val="00EB3322"/>
    <w:rsid w:val="00EB6832"/>
    <w:rsid w:val="00EC271A"/>
    <w:rsid w:val="00EC4D9F"/>
    <w:rsid w:val="00ED14CB"/>
    <w:rsid w:val="00ED4A3F"/>
    <w:rsid w:val="00ED7077"/>
    <w:rsid w:val="00ED7A2A"/>
    <w:rsid w:val="00EE01DB"/>
    <w:rsid w:val="00EE7FDC"/>
    <w:rsid w:val="00EF1D7F"/>
    <w:rsid w:val="00F0012D"/>
    <w:rsid w:val="00F0135D"/>
    <w:rsid w:val="00F02A23"/>
    <w:rsid w:val="00F03464"/>
    <w:rsid w:val="00F170DF"/>
    <w:rsid w:val="00F22FBC"/>
    <w:rsid w:val="00F247F0"/>
    <w:rsid w:val="00F36A8B"/>
    <w:rsid w:val="00F37510"/>
    <w:rsid w:val="00F40E75"/>
    <w:rsid w:val="00F46C61"/>
    <w:rsid w:val="00F51FB6"/>
    <w:rsid w:val="00F52545"/>
    <w:rsid w:val="00F525DE"/>
    <w:rsid w:val="00F54674"/>
    <w:rsid w:val="00F608CD"/>
    <w:rsid w:val="00F627B2"/>
    <w:rsid w:val="00F7349B"/>
    <w:rsid w:val="00F779F7"/>
    <w:rsid w:val="00F81FBF"/>
    <w:rsid w:val="00F910D0"/>
    <w:rsid w:val="00F91EA1"/>
    <w:rsid w:val="00F9331F"/>
    <w:rsid w:val="00FA1334"/>
    <w:rsid w:val="00FA2871"/>
    <w:rsid w:val="00FA7FAC"/>
    <w:rsid w:val="00FB0284"/>
    <w:rsid w:val="00FB7353"/>
    <w:rsid w:val="00FB7D3A"/>
    <w:rsid w:val="00FC4A05"/>
    <w:rsid w:val="00FC68B7"/>
    <w:rsid w:val="00FD6B2B"/>
    <w:rsid w:val="00FE1305"/>
    <w:rsid w:val="00FE4382"/>
    <w:rsid w:val="00FF03BB"/>
    <w:rsid w:val="00FF2EB1"/>
    <w:rsid w:val="00FF3AE7"/>
    <w:rsid w:val="00FF52D7"/>
    <w:rsid w:val="00FF5FC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9257F"/>
  <w15:docId w15:val="{40D308F6-BE34-489C-9FEE-5F98E0C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  <w:style w:type="paragraph" w:customStyle="1" w:styleId="Default">
    <w:name w:val="Default"/>
    <w:rsid w:val="00B44CA8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SingleTxtGZchn">
    <w:name w:val="_ Single Txt_G Zchn"/>
    <w:locked/>
    <w:rsid w:val="00A043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5EECB5C-3770-4B24-9A64-39A9594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4583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7</cp:revision>
  <cp:lastPrinted>2018-09-07T09:43:00Z</cp:lastPrinted>
  <dcterms:created xsi:type="dcterms:W3CDTF">2018-08-24T19:34:00Z</dcterms:created>
  <dcterms:modified xsi:type="dcterms:W3CDTF">2018-09-07T12:18:00Z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