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9674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29674B" w:rsidP="0029674B">
            <w:pPr>
              <w:jc w:val="right"/>
            </w:pPr>
            <w:r w:rsidRPr="0029674B">
              <w:rPr>
                <w:sz w:val="40"/>
              </w:rPr>
              <w:t>ST</w:t>
            </w:r>
            <w:r>
              <w:t>/SG/AC.10/C.3/2018/75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9674B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9674B" w:rsidRDefault="0029674B" w:rsidP="0029674B">
            <w:pPr>
              <w:spacing w:line="240" w:lineRule="exact"/>
            </w:pPr>
            <w:r>
              <w:t>27 août 2018</w:t>
            </w:r>
          </w:p>
          <w:p w:rsidR="0029674B" w:rsidRDefault="0029674B" w:rsidP="0029674B">
            <w:pPr>
              <w:spacing w:line="240" w:lineRule="exact"/>
            </w:pPr>
            <w:r>
              <w:t>Français</w:t>
            </w:r>
          </w:p>
          <w:p w:rsidR="0029674B" w:rsidRPr="00DB58B5" w:rsidRDefault="0029674B" w:rsidP="0029674B">
            <w:pPr>
              <w:spacing w:line="240" w:lineRule="exact"/>
            </w:pPr>
            <w:r>
              <w:t>Original : anglais</w:t>
            </w:r>
          </w:p>
        </w:tc>
      </w:tr>
    </w:tbl>
    <w:p w:rsidR="001157E6" w:rsidRPr="00CA0680" w:rsidRDefault="001157E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CA041A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CA041A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1157E6" w:rsidRPr="00CA0680" w:rsidRDefault="001157E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CA041A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1157E6" w:rsidRDefault="001157E6" w:rsidP="000305D3">
      <w:pPr>
        <w:spacing w:before="120"/>
        <w:rPr>
          <w:b/>
        </w:rPr>
      </w:pPr>
      <w:r w:rsidRPr="001157E6">
        <w:rPr>
          <w:b/>
          <w:bCs/>
          <w:lang w:val="fr-FR"/>
        </w:rPr>
        <w:t>Cinquante-quatrième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1157E6" w:rsidRDefault="001157E6" w:rsidP="001157E6">
      <w:pPr>
        <w:kinsoku/>
        <w:overflowPunct/>
        <w:autoSpaceDE/>
        <w:autoSpaceDN/>
        <w:adjustRightInd/>
        <w:snapToGrid/>
        <w:rPr>
          <w:lang w:val="fr-FR"/>
        </w:rPr>
      </w:pPr>
      <w:r>
        <w:t xml:space="preserve">Genève, </w:t>
      </w:r>
      <w:r w:rsidR="00CA041A">
        <w:rPr>
          <w:lang w:val="fr-FR"/>
        </w:rPr>
        <w:t>26 novembre-4 </w:t>
      </w:r>
      <w:r w:rsidRPr="00B91CBE">
        <w:rPr>
          <w:lang w:val="fr-FR"/>
        </w:rPr>
        <w:t>décembre 2018</w:t>
      </w:r>
    </w:p>
    <w:p w:rsidR="001157E6" w:rsidRPr="00B91CBE" w:rsidRDefault="001157E6" w:rsidP="001157E6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B91CBE">
        <w:rPr>
          <w:lang w:val="fr-FR"/>
        </w:rPr>
        <w:t>Point 2 c) de l</w:t>
      </w:r>
      <w:r w:rsidR="00CA041A">
        <w:rPr>
          <w:lang w:val="fr-FR"/>
        </w:rPr>
        <w:t>’</w:t>
      </w:r>
      <w:r w:rsidRPr="00B91CBE">
        <w:rPr>
          <w:lang w:val="fr-FR"/>
        </w:rPr>
        <w:t>ordre du jour provisoire</w:t>
      </w:r>
    </w:p>
    <w:p w:rsidR="001157E6" w:rsidRPr="00B91CBE" w:rsidRDefault="001157E6" w:rsidP="001157E6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after="240" w:line="240" w:lineRule="auto"/>
        <w:ind w:right="1134"/>
        <w:rPr>
          <w:rFonts w:eastAsia="Times New Roman"/>
          <w:b/>
        </w:rPr>
      </w:pPr>
      <w:r w:rsidRPr="00B91CBE">
        <w:rPr>
          <w:lang w:val="fr-FR"/>
        </w:rPr>
        <w:tab/>
      </w:r>
      <w:r w:rsidRPr="00B91CBE">
        <w:rPr>
          <w:b/>
          <w:bCs/>
          <w:lang w:val="fr-FR"/>
        </w:rPr>
        <w:t xml:space="preserve">Recommandations du Sous-Comité formulées à ses cinquante et unième, </w:t>
      </w:r>
      <w:r>
        <w:rPr>
          <w:b/>
          <w:bCs/>
          <w:lang w:val="fr-FR"/>
        </w:rPr>
        <w:br/>
        <w:t>cinquante-</w:t>
      </w:r>
      <w:r w:rsidRPr="00B91CBE">
        <w:rPr>
          <w:b/>
          <w:bCs/>
          <w:lang w:val="fr-FR"/>
        </w:rPr>
        <w:t>deuxième et cinquante</w:t>
      </w:r>
      <w:r>
        <w:rPr>
          <w:b/>
          <w:bCs/>
          <w:lang w:val="fr-FR"/>
        </w:rPr>
        <w:t>-</w:t>
      </w:r>
      <w:r w:rsidRPr="00B91CBE">
        <w:rPr>
          <w:b/>
          <w:bCs/>
          <w:lang w:val="fr-FR"/>
        </w:rPr>
        <w:t>troisième s</w:t>
      </w:r>
      <w:r w:rsidR="00CA041A">
        <w:rPr>
          <w:b/>
          <w:bCs/>
          <w:lang w:val="fr-FR"/>
        </w:rPr>
        <w:t>essions et questions en suspens </w:t>
      </w:r>
      <w:r w:rsidRPr="00B91CBE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  <w:t>I</w:t>
      </w:r>
      <w:r w:rsidRPr="00B91CBE">
        <w:rPr>
          <w:b/>
          <w:bCs/>
          <w:lang w:val="fr-FR"/>
        </w:rPr>
        <w:t>nscription, class</w:t>
      </w:r>
      <w:r>
        <w:rPr>
          <w:b/>
          <w:bCs/>
          <w:lang w:val="fr-FR"/>
        </w:rPr>
        <w:t>ification</w:t>
      </w:r>
      <w:r w:rsidRPr="00B91CBE">
        <w:rPr>
          <w:b/>
          <w:bCs/>
          <w:lang w:val="fr-FR"/>
        </w:rPr>
        <w:t xml:space="preserve"> et emballage</w:t>
      </w:r>
    </w:p>
    <w:p w:rsidR="001157E6" w:rsidRPr="00B91CBE" w:rsidRDefault="001157E6" w:rsidP="001157E6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eastAsia="Times New Roman"/>
          <w:b/>
          <w:sz w:val="28"/>
          <w:szCs w:val="28"/>
        </w:rPr>
      </w:pPr>
      <w:r w:rsidRPr="00B91CBE">
        <w:rPr>
          <w:sz w:val="28"/>
          <w:szCs w:val="28"/>
          <w:lang w:val="fr-FR"/>
        </w:rPr>
        <w:tab/>
      </w:r>
      <w:r w:rsidRPr="00B91CBE">
        <w:rPr>
          <w:sz w:val="28"/>
          <w:szCs w:val="28"/>
          <w:lang w:val="fr-FR"/>
        </w:rPr>
        <w:tab/>
      </w:r>
      <w:r w:rsidRPr="00B91CBE">
        <w:rPr>
          <w:b/>
          <w:bCs/>
          <w:sz w:val="28"/>
          <w:szCs w:val="28"/>
          <w:lang w:val="fr-FR"/>
        </w:rPr>
        <w:t>Classification des dispositifs de récupération autogonflables</w:t>
      </w:r>
    </w:p>
    <w:p w:rsidR="001157E6" w:rsidRPr="008458BF" w:rsidRDefault="001157E6" w:rsidP="001157E6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270" w:lineRule="exact"/>
        <w:ind w:left="1134" w:right="1134" w:hanging="1134"/>
        <w:rPr>
          <w:rFonts w:eastAsia="Times New Roman"/>
          <w:b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Communication de l</w:t>
      </w:r>
      <w:r w:rsidR="00CA041A">
        <w:rPr>
          <w:b/>
          <w:bCs/>
          <w:lang w:val="fr-FR"/>
        </w:rPr>
        <w:t>’</w:t>
      </w:r>
      <w:r>
        <w:rPr>
          <w:b/>
          <w:bCs/>
          <w:lang w:val="fr-FR"/>
        </w:rPr>
        <w:t>expert de l</w:t>
      </w:r>
      <w:r w:rsidR="00CA041A">
        <w:rPr>
          <w:b/>
          <w:bCs/>
          <w:lang w:val="fr-FR"/>
        </w:rPr>
        <w:t>’</w:t>
      </w:r>
      <w:r>
        <w:rPr>
          <w:b/>
          <w:bCs/>
          <w:lang w:val="fr-FR"/>
        </w:rPr>
        <w:t>Allemagne</w:t>
      </w:r>
      <w:r w:rsidR="00CA041A" w:rsidRPr="00CA041A">
        <w:rPr>
          <w:rStyle w:val="FootnoteReference"/>
          <w:bCs/>
          <w:sz w:val="20"/>
          <w:vertAlign w:val="baseline"/>
        </w:rPr>
        <w:footnoteReference w:customMarkFollows="1" w:id="2"/>
        <w:t>*</w:t>
      </w:r>
    </w:p>
    <w:p w:rsidR="001157E6" w:rsidRPr="00B91CBE" w:rsidRDefault="001157E6" w:rsidP="001157E6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eastAsia="Times New Roman"/>
          <w:b/>
          <w:sz w:val="28"/>
          <w:szCs w:val="28"/>
        </w:rPr>
      </w:pPr>
      <w:r w:rsidRPr="00B91CBE">
        <w:rPr>
          <w:sz w:val="28"/>
          <w:szCs w:val="28"/>
          <w:lang w:val="fr-FR"/>
        </w:rPr>
        <w:tab/>
      </w:r>
      <w:r w:rsidRPr="00B91CBE">
        <w:rPr>
          <w:sz w:val="28"/>
          <w:szCs w:val="28"/>
          <w:lang w:val="fr-FR"/>
        </w:rPr>
        <w:tab/>
      </w:r>
      <w:r w:rsidRPr="00B91CBE">
        <w:rPr>
          <w:b/>
          <w:bCs/>
          <w:sz w:val="28"/>
          <w:szCs w:val="28"/>
          <w:lang w:val="fr-FR"/>
        </w:rPr>
        <w:t>Introduction</w:t>
      </w:r>
    </w:p>
    <w:p w:rsidR="001157E6" w:rsidRPr="00B91CBE" w:rsidRDefault="001157E6" w:rsidP="00CA041A">
      <w:pPr>
        <w:pStyle w:val="SingleTxtG"/>
        <w:rPr>
          <w:rFonts w:eastAsia="Times New Roman"/>
        </w:rPr>
      </w:pPr>
      <w:r w:rsidRPr="00B91CBE">
        <w:rPr>
          <w:lang w:val="fr-FR"/>
        </w:rPr>
        <w:t xml:space="preserve">1. </w:t>
      </w:r>
      <w:r w:rsidRPr="00B91CBE">
        <w:rPr>
          <w:lang w:val="fr-FR"/>
        </w:rPr>
        <w:tab/>
        <w:t>À la cinquante-deuxième et la cinquante-troisième sessions du Sous-Comité, l</w:t>
      </w:r>
      <w:r w:rsidR="00CA041A">
        <w:rPr>
          <w:lang w:val="fr-FR"/>
        </w:rPr>
        <w:t>’</w:t>
      </w:r>
      <w:r w:rsidRPr="00B91CBE">
        <w:rPr>
          <w:lang w:val="fr-FR"/>
        </w:rPr>
        <w:t>expert de l</w:t>
      </w:r>
      <w:r w:rsidR="00CA041A">
        <w:rPr>
          <w:lang w:val="fr-FR"/>
        </w:rPr>
        <w:t>’</w:t>
      </w:r>
      <w:r w:rsidRPr="00B91CBE">
        <w:rPr>
          <w:lang w:val="fr-FR"/>
        </w:rPr>
        <w:t>Allemagne a présenté des propositions de classification éventuelle des dispositifs de récupération autogonflables (voir les document</w:t>
      </w:r>
      <w:r>
        <w:rPr>
          <w:lang w:val="fr-FR"/>
        </w:rPr>
        <w:t>s</w:t>
      </w:r>
      <w:r w:rsidRPr="00B91CBE">
        <w:rPr>
          <w:lang w:val="fr-FR"/>
        </w:rPr>
        <w:t xml:space="preserve"> ST/SG/AC.10/C.3/2017/29 et ST/SG/AC.10/C.3/2018/13). </w:t>
      </w:r>
    </w:p>
    <w:p w:rsidR="001157E6" w:rsidRPr="00B91CBE" w:rsidRDefault="001157E6" w:rsidP="00CA041A">
      <w:pPr>
        <w:pStyle w:val="SingleTxtG"/>
        <w:rPr>
          <w:rFonts w:eastAsia="Times New Roman"/>
        </w:rPr>
      </w:pPr>
      <w:r w:rsidRPr="00B91CBE">
        <w:rPr>
          <w:lang w:val="fr-FR"/>
        </w:rPr>
        <w:t>2.</w:t>
      </w:r>
      <w:r w:rsidRPr="00B91CBE">
        <w:rPr>
          <w:lang w:val="fr-FR"/>
        </w:rPr>
        <w:tab/>
        <w:t>Les avis étaient partagés sur les propositions présentées dans le document ST/SG/AC.10/C.3/2018/13. La plupart des experts n</w:t>
      </w:r>
      <w:r w:rsidR="00CA041A">
        <w:rPr>
          <w:lang w:val="fr-FR"/>
        </w:rPr>
        <w:t>’</w:t>
      </w:r>
      <w:r w:rsidRPr="00B91CBE">
        <w:rPr>
          <w:lang w:val="fr-FR"/>
        </w:rPr>
        <w:t>étaient pas favorables à l</w:t>
      </w:r>
      <w:r w:rsidR="00CA041A">
        <w:rPr>
          <w:lang w:val="fr-FR"/>
        </w:rPr>
        <w:t>’</w:t>
      </w:r>
      <w:r w:rsidRPr="00B91CBE">
        <w:rPr>
          <w:lang w:val="fr-FR"/>
        </w:rPr>
        <w:t>extension du champ d</w:t>
      </w:r>
      <w:r w:rsidR="00CA041A">
        <w:rPr>
          <w:lang w:val="fr-FR"/>
        </w:rPr>
        <w:t>’</w:t>
      </w:r>
      <w:r w:rsidRPr="00B91CBE">
        <w:rPr>
          <w:lang w:val="fr-FR"/>
        </w:rPr>
        <w:t>application du No</w:t>
      </w:r>
      <w:r w:rsidR="00CA041A">
        <w:rPr>
          <w:lang w:val="fr-FR"/>
        </w:rPr>
        <w:t> </w:t>
      </w:r>
      <w:r w:rsidRPr="00B91CBE">
        <w:rPr>
          <w:lang w:val="fr-FR"/>
        </w:rPr>
        <w:t>ONU</w:t>
      </w:r>
      <w:r w:rsidR="00CA041A">
        <w:rPr>
          <w:lang w:val="fr-FR"/>
        </w:rPr>
        <w:t> </w:t>
      </w:r>
      <w:r w:rsidRPr="00B91CBE">
        <w:rPr>
          <w:lang w:val="fr-FR"/>
        </w:rPr>
        <w:t>2990 (option 1) dans la mesure où cette rubrique avait été conçue spécifiquement pour les engins de sauvetage et ne devait pas être utilisée à d</w:t>
      </w:r>
      <w:r w:rsidR="00CA041A">
        <w:rPr>
          <w:lang w:val="fr-FR"/>
        </w:rPr>
        <w:t>’</w:t>
      </w:r>
      <w:r w:rsidRPr="00B91CBE">
        <w:rPr>
          <w:lang w:val="fr-FR"/>
        </w:rPr>
        <w:t xml:space="preserve">autres fins. </w:t>
      </w:r>
    </w:p>
    <w:p w:rsidR="001157E6" w:rsidRPr="00B91CBE" w:rsidRDefault="001157E6" w:rsidP="00CA041A">
      <w:pPr>
        <w:pStyle w:val="SingleTxtG"/>
        <w:rPr>
          <w:rFonts w:eastAsia="Times New Roman"/>
        </w:rPr>
      </w:pPr>
      <w:r w:rsidRPr="00B91CBE">
        <w:rPr>
          <w:lang w:val="fr-FR"/>
        </w:rPr>
        <w:t>3.</w:t>
      </w:r>
      <w:r w:rsidRPr="00B91CBE">
        <w:rPr>
          <w:lang w:val="fr-FR"/>
        </w:rPr>
        <w:tab/>
        <w:t>Après quelques échanges de vues, sachant que certains des dispositifs visés répondaient aux critères d</w:t>
      </w:r>
      <w:r w:rsidR="00CA041A">
        <w:rPr>
          <w:lang w:val="fr-FR"/>
        </w:rPr>
        <w:t>’</w:t>
      </w:r>
      <w:r w:rsidRPr="00B91CBE">
        <w:rPr>
          <w:lang w:val="fr-FR"/>
        </w:rPr>
        <w:t>exclusion de la classe 1, l</w:t>
      </w:r>
      <w:r w:rsidR="00CA041A">
        <w:rPr>
          <w:lang w:val="fr-FR"/>
        </w:rPr>
        <w:t>’</w:t>
      </w:r>
      <w:r w:rsidRPr="00B91CBE">
        <w:rPr>
          <w:lang w:val="fr-FR"/>
        </w:rPr>
        <w:t>expert des États-Unis d</w:t>
      </w:r>
      <w:r w:rsidR="00CA041A">
        <w:rPr>
          <w:lang w:val="fr-FR"/>
        </w:rPr>
        <w:t>’</w:t>
      </w:r>
      <w:r w:rsidRPr="00B91CBE">
        <w:rPr>
          <w:lang w:val="fr-FR"/>
        </w:rPr>
        <w:t>Amérique a suggéré que les dispositifs fassent l</w:t>
      </w:r>
      <w:r w:rsidR="00CA041A">
        <w:rPr>
          <w:lang w:val="fr-FR"/>
        </w:rPr>
        <w:t>’</w:t>
      </w:r>
      <w:r w:rsidRPr="00B91CBE">
        <w:rPr>
          <w:lang w:val="fr-FR"/>
        </w:rPr>
        <w:t>objet d</w:t>
      </w:r>
      <w:r w:rsidR="00CA041A">
        <w:rPr>
          <w:lang w:val="fr-FR"/>
        </w:rPr>
        <w:t>’</w:t>
      </w:r>
      <w:r w:rsidRPr="00B91CBE">
        <w:rPr>
          <w:lang w:val="fr-FR"/>
        </w:rPr>
        <w:t>une note sous le 2.1.3.6.4. Tout en observant que cette solution pourrait ne pas être adaptée à toutes les configurations possibles des dispositifs, les experts ont bien reçu la proposition et la plupart d</w:t>
      </w:r>
      <w:r w:rsidR="00CA041A">
        <w:rPr>
          <w:lang w:val="fr-FR"/>
        </w:rPr>
        <w:t>’</w:t>
      </w:r>
      <w:r w:rsidRPr="00B91CBE">
        <w:rPr>
          <w:lang w:val="fr-FR"/>
        </w:rPr>
        <w:t xml:space="preserve">entre eux </w:t>
      </w:r>
      <w:r>
        <w:rPr>
          <w:lang w:val="fr-FR"/>
        </w:rPr>
        <w:t>étaient disposés à l</w:t>
      </w:r>
      <w:r w:rsidR="00CA041A">
        <w:rPr>
          <w:lang w:val="fr-FR"/>
        </w:rPr>
        <w:t>’</w:t>
      </w:r>
      <w:r>
        <w:rPr>
          <w:lang w:val="fr-FR"/>
        </w:rPr>
        <w:t>approuver</w:t>
      </w:r>
      <w:r w:rsidRPr="00B91CBE">
        <w:rPr>
          <w:lang w:val="fr-FR"/>
        </w:rPr>
        <w:t xml:space="preserve">. Le Sous-Comité a relevé le besoin croissant de classer les dispositifs de ce type compte tenu de </w:t>
      </w:r>
      <w:r>
        <w:rPr>
          <w:lang w:val="fr-FR"/>
        </w:rPr>
        <w:t>l</w:t>
      </w:r>
      <w:r w:rsidR="00CA041A">
        <w:rPr>
          <w:lang w:val="fr-FR"/>
        </w:rPr>
        <w:t>’</w:t>
      </w:r>
      <w:r>
        <w:rPr>
          <w:lang w:val="fr-FR"/>
        </w:rPr>
        <w:t>arrivée sur le marché</w:t>
      </w:r>
      <w:r w:rsidRPr="00B91CBE">
        <w:rPr>
          <w:lang w:val="fr-FR"/>
        </w:rPr>
        <w:t xml:space="preserve"> de nouveaux produits (tels que les gilets autogonflants ou les casques autogonflants, par exemple).</w:t>
      </w:r>
    </w:p>
    <w:p w:rsidR="001157E6" w:rsidRPr="00B91CBE" w:rsidRDefault="001157E6" w:rsidP="001157E6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eastAsia="Times New Roman"/>
          <w:b/>
          <w:sz w:val="28"/>
          <w:szCs w:val="28"/>
        </w:rPr>
      </w:pPr>
      <w:r w:rsidRPr="00B91CBE">
        <w:rPr>
          <w:sz w:val="28"/>
          <w:szCs w:val="28"/>
          <w:lang w:val="fr-FR"/>
        </w:rPr>
        <w:lastRenderedPageBreak/>
        <w:tab/>
      </w:r>
      <w:r w:rsidRPr="00B91CBE">
        <w:rPr>
          <w:sz w:val="28"/>
          <w:szCs w:val="28"/>
          <w:lang w:val="fr-FR"/>
        </w:rPr>
        <w:tab/>
      </w:r>
      <w:r w:rsidRPr="00B91CBE">
        <w:rPr>
          <w:b/>
          <w:bCs/>
          <w:sz w:val="28"/>
          <w:szCs w:val="28"/>
          <w:lang w:val="fr-FR"/>
        </w:rPr>
        <w:t>Conclusions</w:t>
      </w:r>
    </w:p>
    <w:p w:rsidR="001157E6" w:rsidRPr="00B91CBE" w:rsidRDefault="001157E6" w:rsidP="001157E6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 w:rsidRPr="00B91CBE">
        <w:rPr>
          <w:lang w:val="fr-FR"/>
        </w:rPr>
        <w:t xml:space="preserve">4. </w:t>
      </w:r>
      <w:r w:rsidRPr="00B91CBE">
        <w:rPr>
          <w:lang w:val="fr-FR"/>
        </w:rPr>
        <w:tab/>
        <w:t>Les dispositifs autogonflables fonctionnent sur le même principe que les engins de sauvetage autogonflables</w:t>
      </w:r>
      <w:r w:rsidR="00CA041A">
        <w:rPr>
          <w:lang w:val="fr-FR"/>
        </w:rPr>
        <w:t xml:space="preserve"> (No ONU </w:t>
      </w:r>
      <w:r w:rsidRPr="00B91CBE">
        <w:rPr>
          <w:lang w:val="fr-FR"/>
        </w:rPr>
        <w:t>2990) et</w:t>
      </w:r>
      <w:r>
        <w:rPr>
          <w:lang w:val="fr-FR"/>
        </w:rPr>
        <w:t xml:space="preserve"> les</w:t>
      </w:r>
      <w:r w:rsidRPr="00B91CBE">
        <w:rPr>
          <w:lang w:val="fr-FR"/>
        </w:rPr>
        <w:t xml:space="preserve"> dispositifs de sécurité</w:t>
      </w:r>
      <w:r w:rsidR="00CA041A">
        <w:rPr>
          <w:lang w:val="fr-FR"/>
        </w:rPr>
        <w:t xml:space="preserve"> (No ONU 0503 et No </w:t>
      </w:r>
      <w:r w:rsidRPr="00B91CBE">
        <w:rPr>
          <w:lang w:val="fr-FR"/>
        </w:rPr>
        <w:t>ONU</w:t>
      </w:r>
      <w:r w:rsidR="00CA041A">
        <w:rPr>
          <w:lang w:val="fr-FR"/>
        </w:rPr>
        <w:t> </w:t>
      </w:r>
      <w:r w:rsidRPr="00B91CBE">
        <w:rPr>
          <w:lang w:val="fr-FR"/>
        </w:rPr>
        <w:t>3268). Ils sont composés d</w:t>
      </w:r>
      <w:r w:rsidR="00CA041A">
        <w:rPr>
          <w:lang w:val="fr-FR"/>
        </w:rPr>
        <w:t>’</w:t>
      </w:r>
      <w:r w:rsidRPr="00B91CBE">
        <w:rPr>
          <w:lang w:val="fr-FR"/>
        </w:rPr>
        <w:t xml:space="preserve">un récipient contenant un gaz non inflammable </w:t>
      </w:r>
      <w:r>
        <w:rPr>
          <w:lang w:val="fr-FR"/>
        </w:rPr>
        <w:t>et</w:t>
      </w:r>
      <w:r w:rsidRPr="00B91CBE">
        <w:rPr>
          <w:lang w:val="fr-FR"/>
        </w:rPr>
        <w:t xml:space="preserve"> ouvert au moyen d</w:t>
      </w:r>
      <w:r w:rsidR="00CA041A">
        <w:rPr>
          <w:lang w:val="fr-FR"/>
        </w:rPr>
        <w:t>’</w:t>
      </w:r>
      <w:r w:rsidRPr="00B91CBE">
        <w:rPr>
          <w:lang w:val="fr-FR"/>
        </w:rPr>
        <w:t>un système d</w:t>
      </w:r>
      <w:r w:rsidR="00CA041A">
        <w:rPr>
          <w:lang w:val="fr-FR"/>
        </w:rPr>
        <w:t>’</w:t>
      </w:r>
      <w:r w:rsidRPr="00B91CBE">
        <w:rPr>
          <w:lang w:val="fr-FR"/>
        </w:rPr>
        <w:t>activation</w:t>
      </w:r>
      <w:r w:rsidR="00CA041A">
        <w:rPr>
          <w:lang w:val="fr-FR"/>
        </w:rPr>
        <w:t xml:space="preserve"> électrique ou pyrotechnique.</w:t>
      </w:r>
    </w:p>
    <w:p w:rsidR="001157E6" w:rsidRPr="00B91CBE" w:rsidRDefault="001157E6" w:rsidP="001157E6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 w:rsidRPr="00B91CBE">
        <w:rPr>
          <w:lang w:val="fr-FR"/>
        </w:rPr>
        <w:t>5.</w:t>
      </w:r>
      <w:r w:rsidRPr="00B91CBE">
        <w:rPr>
          <w:lang w:val="fr-FR"/>
        </w:rPr>
        <w:tab/>
        <w:t>Même</w:t>
      </w:r>
      <w:r>
        <w:rPr>
          <w:lang w:val="fr-FR"/>
        </w:rPr>
        <w:t xml:space="preserve"> si</w:t>
      </w:r>
      <w:r w:rsidRPr="00B91CBE">
        <w:rPr>
          <w:lang w:val="fr-FR"/>
        </w:rPr>
        <w:t xml:space="preserve"> l</w:t>
      </w:r>
      <w:r w:rsidR="00CA041A">
        <w:rPr>
          <w:lang w:val="fr-FR"/>
        </w:rPr>
        <w:t>’</w:t>
      </w:r>
      <w:r w:rsidRPr="00B91CBE">
        <w:rPr>
          <w:lang w:val="fr-FR"/>
        </w:rPr>
        <w:t>une des options envisagées dans le document ST/SG/AC.10/C.3/2018/13 était l</w:t>
      </w:r>
      <w:r w:rsidR="00CA041A">
        <w:rPr>
          <w:lang w:val="fr-FR"/>
        </w:rPr>
        <w:t>’</w:t>
      </w:r>
      <w:r w:rsidRPr="00B91CBE">
        <w:rPr>
          <w:lang w:val="fr-FR"/>
        </w:rPr>
        <w:t>e</w:t>
      </w:r>
      <w:r>
        <w:rPr>
          <w:lang w:val="fr-FR"/>
        </w:rPr>
        <w:t>xception intégral</w:t>
      </w:r>
      <w:r w:rsidRPr="00B91CBE">
        <w:rPr>
          <w:lang w:val="fr-FR"/>
        </w:rPr>
        <w:t xml:space="preserve">e, </w:t>
      </w:r>
      <w:r>
        <w:rPr>
          <w:lang w:val="fr-FR"/>
        </w:rPr>
        <w:t>elle</w:t>
      </w:r>
      <w:r w:rsidRPr="00B91CBE">
        <w:rPr>
          <w:lang w:val="fr-FR"/>
        </w:rPr>
        <w:t xml:space="preserve"> ne semble pas justifié</w:t>
      </w:r>
      <w:r>
        <w:rPr>
          <w:lang w:val="fr-FR"/>
        </w:rPr>
        <w:t>e</w:t>
      </w:r>
      <w:r w:rsidRPr="00B91CBE">
        <w:rPr>
          <w:lang w:val="fr-FR"/>
        </w:rPr>
        <w:t xml:space="preserve"> étant donné que les objets similaires aux engins de sauvetage autogonflables et aux dispositifs de sécurité doivent être transportés comme des marchandises dangereuses.</w:t>
      </w:r>
    </w:p>
    <w:p w:rsidR="001157E6" w:rsidRPr="00B91CBE" w:rsidRDefault="001157E6" w:rsidP="00CA041A">
      <w:pPr>
        <w:pStyle w:val="SingleTxtG"/>
        <w:rPr>
          <w:rFonts w:eastAsia="Times New Roman"/>
        </w:rPr>
      </w:pPr>
      <w:r w:rsidRPr="00B91CBE">
        <w:rPr>
          <w:lang w:val="fr-FR"/>
        </w:rPr>
        <w:t>6.</w:t>
      </w:r>
      <w:r w:rsidRPr="00B91CBE">
        <w:rPr>
          <w:lang w:val="fr-FR"/>
        </w:rPr>
        <w:tab/>
        <w:t>Une autre solution envisageable serait d</w:t>
      </w:r>
      <w:r w:rsidR="00CA041A">
        <w:rPr>
          <w:lang w:val="fr-FR"/>
        </w:rPr>
        <w:t>’</w:t>
      </w:r>
      <w:r w:rsidRPr="00B91CBE">
        <w:rPr>
          <w:lang w:val="fr-FR"/>
        </w:rPr>
        <w:t>autoriser l</w:t>
      </w:r>
      <w:r w:rsidR="00CA041A">
        <w:rPr>
          <w:lang w:val="fr-FR"/>
        </w:rPr>
        <w:t>’</w:t>
      </w:r>
      <w:r w:rsidRPr="00B91CBE">
        <w:rPr>
          <w:lang w:val="fr-FR"/>
        </w:rPr>
        <w:t xml:space="preserve">assignation des objets contenant des matières explosibles aux nouveaux </w:t>
      </w:r>
      <w:r w:rsidR="00CA041A">
        <w:rPr>
          <w:lang w:val="fr-FR"/>
        </w:rPr>
        <w:t>N</w:t>
      </w:r>
      <w:r w:rsidRPr="00B91CBE">
        <w:rPr>
          <w:lang w:val="fr-FR"/>
        </w:rPr>
        <w:t>os</w:t>
      </w:r>
      <w:r w:rsidR="00CA041A">
        <w:rPr>
          <w:lang w:val="fr-FR"/>
        </w:rPr>
        <w:t> </w:t>
      </w:r>
      <w:r w:rsidRPr="00B91CBE">
        <w:rPr>
          <w:lang w:val="fr-FR"/>
        </w:rPr>
        <w:t>ONU</w:t>
      </w:r>
      <w:r w:rsidR="00CA041A">
        <w:rPr>
          <w:lang w:val="fr-FR"/>
        </w:rPr>
        <w:t> </w:t>
      </w:r>
      <w:r w:rsidRPr="00B91CBE">
        <w:rPr>
          <w:lang w:val="fr-FR"/>
        </w:rPr>
        <w:t>3537 à 3548 lorsque l</w:t>
      </w:r>
      <w:r w:rsidR="00CA041A">
        <w:rPr>
          <w:lang w:val="fr-FR"/>
        </w:rPr>
        <w:t>’</w:t>
      </w:r>
      <w:r w:rsidRPr="00B91CBE">
        <w:rPr>
          <w:lang w:val="fr-FR"/>
        </w:rPr>
        <w:t>objet satisfait aux critères</w:t>
      </w:r>
      <w:r>
        <w:rPr>
          <w:lang w:val="fr-FR"/>
        </w:rPr>
        <w:t xml:space="preserve"> de la section </w:t>
      </w:r>
      <w:r w:rsidRPr="00B91CBE">
        <w:rPr>
          <w:lang w:val="fr-FR"/>
        </w:rPr>
        <w:t>2.1.3.6.4. Ainsi, l</w:t>
      </w:r>
      <w:r w:rsidR="00CA041A">
        <w:rPr>
          <w:lang w:val="fr-FR"/>
        </w:rPr>
        <w:t>’</w:t>
      </w:r>
      <w:r w:rsidRPr="00B91CBE">
        <w:rPr>
          <w:lang w:val="fr-FR"/>
        </w:rPr>
        <w:t xml:space="preserve">engin de récupération de flûtes sismiques décrit dans le document INF.6 (cinquante-troisième session) pourrait être classé </w:t>
      </w:r>
      <w:r>
        <w:rPr>
          <w:lang w:val="fr-FR"/>
        </w:rPr>
        <w:t>sous</w:t>
      </w:r>
      <w:r w:rsidRPr="00B91CBE">
        <w:rPr>
          <w:lang w:val="fr-FR"/>
        </w:rPr>
        <w:t xml:space="preserve"> le No</w:t>
      </w:r>
      <w:r w:rsidR="00CA041A">
        <w:rPr>
          <w:lang w:val="fr-FR"/>
        </w:rPr>
        <w:t> ONU </w:t>
      </w:r>
      <w:r w:rsidRPr="00B91CBE">
        <w:rPr>
          <w:lang w:val="fr-FR"/>
        </w:rPr>
        <w:t>3538 OBJETS CONTENANT DU GAZ INFLAMMABLE, NON TOXIQUE, N.S.A</w:t>
      </w:r>
      <w:r>
        <w:rPr>
          <w:lang w:val="fr-FR"/>
        </w:rPr>
        <w:t>. (proposition </w:t>
      </w:r>
      <w:r w:rsidRPr="00B91CBE">
        <w:rPr>
          <w:lang w:val="fr-FR"/>
        </w:rPr>
        <w:t>1). De plus, il convien</w:t>
      </w:r>
      <w:r>
        <w:rPr>
          <w:lang w:val="fr-FR"/>
        </w:rPr>
        <w:t>drai</w:t>
      </w:r>
      <w:r w:rsidRPr="00B91CBE">
        <w:rPr>
          <w:lang w:val="fr-FR"/>
        </w:rPr>
        <w:t>t d</w:t>
      </w:r>
      <w:r w:rsidR="00CA041A">
        <w:rPr>
          <w:lang w:val="fr-FR"/>
        </w:rPr>
        <w:t>’</w:t>
      </w:r>
      <w:r w:rsidRPr="00B91CBE">
        <w:rPr>
          <w:lang w:val="fr-FR"/>
        </w:rPr>
        <w:t>ajouter une nouvelle rubrique dans la classe 1 pour les objets contenant des matières explosibles qui ne peuvent pas être exclus de cette dernière. Sur la base de l</w:t>
      </w:r>
      <w:r w:rsidR="00CA041A">
        <w:rPr>
          <w:lang w:val="fr-FR"/>
        </w:rPr>
        <w:t>’</w:t>
      </w:r>
      <w:r w:rsidRPr="00B91CBE">
        <w:rPr>
          <w:lang w:val="fr-FR"/>
        </w:rPr>
        <w:t>expérience acquise avec les dispositifs de sécurité, il est proposé d</w:t>
      </w:r>
      <w:r w:rsidR="00CA041A">
        <w:rPr>
          <w:lang w:val="fr-FR"/>
        </w:rPr>
        <w:t>’</w:t>
      </w:r>
      <w:r w:rsidRPr="00B91CBE">
        <w:rPr>
          <w:lang w:val="fr-FR"/>
        </w:rPr>
        <w:t>ajouter une rubrique 1.4G, à moins que d</w:t>
      </w:r>
      <w:r w:rsidR="00CA041A">
        <w:rPr>
          <w:lang w:val="fr-FR"/>
        </w:rPr>
        <w:t>’</w:t>
      </w:r>
      <w:r w:rsidRPr="00B91CBE">
        <w:rPr>
          <w:lang w:val="fr-FR"/>
        </w:rPr>
        <w:t>autres exemples de résultats ne soient présentés concernant ces produits (proposition 2).</w:t>
      </w:r>
    </w:p>
    <w:p w:rsidR="001157E6" w:rsidRPr="006102F0" w:rsidRDefault="001157E6" w:rsidP="00CA041A">
      <w:pPr>
        <w:pStyle w:val="HChG"/>
        <w:rPr>
          <w:rFonts w:eastAsia="Times New Roman"/>
        </w:rPr>
      </w:pPr>
      <w:r w:rsidRPr="006102F0">
        <w:rPr>
          <w:lang w:val="fr-FR"/>
        </w:rPr>
        <w:tab/>
      </w:r>
      <w:r w:rsidRPr="006102F0">
        <w:rPr>
          <w:lang w:val="fr-FR"/>
        </w:rPr>
        <w:tab/>
        <w:t>Proposition 1</w:t>
      </w:r>
    </w:p>
    <w:p w:rsidR="001157E6" w:rsidRPr="00B91CBE" w:rsidRDefault="001157E6" w:rsidP="00CA041A">
      <w:pPr>
        <w:pStyle w:val="SingleTxtG"/>
        <w:rPr>
          <w:rFonts w:eastAsia="Times New Roman"/>
        </w:rPr>
      </w:pPr>
      <w:r w:rsidRPr="00B91CBE">
        <w:rPr>
          <w:lang w:val="fr-FR"/>
        </w:rPr>
        <w:t>7.</w:t>
      </w:r>
      <w:r w:rsidRPr="00B91CBE">
        <w:rPr>
          <w:lang w:val="fr-FR"/>
        </w:rPr>
        <w:tab/>
        <w:t xml:space="preserve">Modifier </w:t>
      </w:r>
      <w:r>
        <w:rPr>
          <w:lang w:val="fr-FR"/>
        </w:rPr>
        <w:t xml:space="preserve">le </w:t>
      </w:r>
      <w:r w:rsidRPr="00B91CBE">
        <w:rPr>
          <w:lang w:val="fr-FR"/>
        </w:rPr>
        <w:t>2.0.5.4 comme suit (les ajouts figurent en caractères soulignés)</w:t>
      </w:r>
      <w:r w:rsidR="00CA041A">
        <w:rPr>
          <w:lang w:val="fr-FR"/>
        </w:rPr>
        <w:t> </w:t>
      </w:r>
      <w:r w:rsidRPr="00B91CBE">
        <w:rPr>
          <w:lang w:val="fr-FR"/>
        </w:rPr>
        <w:t>:</w:t>
      </w:r>
    </w:p>
    <w:p w:rsidR="001157E6" w:rsidRPr="00B91CBE" w:rsidRDefault="001157E6" w:rsidP="001157E6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</w:rPr>
      </w:pPr>
      <w:r w:rsidRPr="00B91CBE">
        <w:rPr>
          <w:lang w:val="fr-FR"/>
        </w:rPr>
        <w:t>La présente section ne s</w:t>
      </w:r>
      <w:r w:rsidR="00CA041A">
        <w:rPr>
          <w:lang w:val="fr-FR"/>
        </w:rPr>
        <w:t>’</w:t>
      </w:r>
      <w:r w:rsidRPr="00B91CBE">
        <w:rPr>
          <w:lang w:val="fr-FR"/>
        </w:rPr>
        <w:t xml:space="preserve">applique pas aux marchandises dangereuses de la classe 1, de la division 6.2 et de la classe 7 ou aux matières radioactives contenue dans des objets. </w:t>
      </w:r>
      <w:r w:rsidRPr="00B91CBE">
        <w:rPr>
          <w:u w:val="single"/>
          <w:lang w:val="fr-FR"/>
        </w:rPr>
        <w:t>Cependant, elle s</w:t>
      </w:r>
      <w:r w:rsidR="00CA041A">
        <w:rPr>
          <w:u w:val="single"/>
          <w:lang w:val="fr-FR"/>
        </w:rPr>
        <w:t>’</w:t>
      </w:r>
      <w:r w:rsidRPr="00B91CBE">
        <w:rPr>
          <w:u w:val="single"/>
          <w:lang w:val="fr-FR"/>
        </w:rPr>
        <w:t xml:space="preserve">applique aux objets contenant des matières explosibles qui sont exclus de la classe 1, conformément </w:t>
      </w:r>
      <w:r>
        <w:rPr>
          <w:u w:val="single"/>
          <w:lang w:val="fr-FR"/>
        </w:rPr>
        <w:t>à la section</w:t>
      </w:r>
      <w:r w:rsidRPr="00B91CBE">
        <w:rPr>
          <w:u w:val="single"/>
          <w:lang w:val="fr-FR"/>
        </w:rPr>
        <w:t xml:space="preserve"> 2.1.3.6.4.</w:t>
      </w:r>
    </w:p>
    <w:p w:rsidR="001157E6" w:rsidRPr="006102F0" w:rsidRDefault="001157E6" w:rsidP="00CA041A">
      <w:pPr>
        <w:pStyle w:val="HChG"/>
        <w:rPr>
          <w:rFonts w:eastAsia="Times New Roman"/>
        </w:rPr>
      </w:pPr>
      <w:r w:rsidRPr="00B91CBE">
        <w:rPr>
          <w:sz w:val="20"/>
          <w:lang w:val="fr-FR"/>
        </w:rPr>
        <w:tab/>
      </w:r>
      <w:r w:rsidRPr="00B91CBE">
        <w:rPr>
          <w:sz w:val="20"/>
          <w:lang w:val="fr-FR"/>
        </w:rPr>
        <w:tab/>
      </w:r>
      <w:r w:rsidRPr="006102F0">
        <w:rPr>
          <w:lang w:val="fr-FR"/>
        </w:rPr>
        <w:t>Proposition 2</w:t>
      </w:r>
    </w:p>
    <w:p w:rsidR="001157E6" w:rsidRDefault="001157E6" w:rsidP="00CA041A">
      <w:pPr>
        <w:pStyle w:val="SingleTxtG"/>
        <w:rPr>
          <w:lang w:val="fr-FR"/>
        </w:rPr>
      </w:pPr>
      <w:r w:rsidRPr="00B91CBE">
        <w:rPr>
          <w:lang w:val="fr-FR"/>
        </w:rPr>
        <w:t>8.</w:t>
      </w:r>
      <w:r w:rsidRPr="00B91CBE">
        <w:rPr>
          <w:lang w:val="fr-FR"/>
        </w:rPr>
        <w:tab/>
        <w:t>Insérer la rubrique suivante dans la liste des marchandises dangereuses</w:t>
      </w:r>
      <w:r w:rsidR="00CA041A">
        <w:rPr>
          <w:lang w:val="fr-FR"/>
        </w:rPr>
        <w:t> </w:t>
      </w:r>
      <w:r w:rsidRPr="00B91CBE">
        <w:rPr>
          <w:lang w:val="fr-FR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25"/>
        <w:gridCol w:w="623"/>
        <w:gridCol w:w="567"/>
        <w:gridCol w:w="680"/>
        <w:gridCol w:w="680"/>
        <w:gridCol w:w="454"/>
        <w:gridCol w:w="454"/>
        <w:gridCol w:w="907"/>
        <w:gridCol w:w="907"/>
        <w:gridCol w:w="851"/>
        <w:gridCol w:w="737"/>
      </w:tblGrid>
      <w:tr w:rsidR="001157E6" w:rsidTr="00013CF2">
        <w:trPr>
          <w:trHeight w:val="20"/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N° ONU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Classe ou division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D07832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Danger</w:t>
            </w:r>
            <w:r w:rsidR="001157E6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subsi-diaire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Groupe d</w:t>
            </w:r>
            <w:r w:rsidR="00CA041A">
              <w:rPr>
                <w:b/>
                <w:bCs/>
                <w:color w:val="000000"/>
                <w:sz w:val="16"/>
                <w:szCs w:val="16"/>
                <w:lang w:val="fr-FR"/>
              </w:rPr>
              <w:t>’</w:t>
            </w: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embal-lage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Dispo-sitions spéciales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Quantités limitées et quantités exceptées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Emballages et GRV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exact"/>
              <w:ind w:right="-52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Citernes mobiles et conteneurs pour vrac</w:t>
            </w:r>
          </w:p>
        </w:tc>
      </w:tr>
      <w:tr w:rsidR="001157E6" w:rsidTr="00013CF2">
        <w:trPr>
          <w:trHeight w:val="20"/>
          <w:tblHeader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Instructions d</w:t>
            </w:r>
            <w:r w:rsidR="00CA041A">
              <w:rPr>
                <w:b/>
                <w:bCs/>
                <w:color w:val="000000"/>
                <w:sz w:val="16"/>
                <w:szCs w:val="16"/>
                <w:lang w:val="fr-FR"/>
              </w:rPr>
              <w:t>’</w:t>
            </w: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emballage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ind w:left="-76" w:right="-76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Dispositions spéciales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Instruc-tions de transport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7E6" w:rsidRDefault="001157E6" w:rsidP="00013CF2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Disposi-tions spéciales</w:t>
            </w:r>
          </w:p>
        </w:tc>
      </w:tr>
      <w:tr w:rsidR="001157E6" w:rsidTr="00013CF2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35xx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DISPOSITIFS AUTOGONFLABLES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1157E6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1.4G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E31AD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fr-FR"/>
              </w:rPr>
              <w:t>yyy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1157E6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7E6" w:rsidRDefault="001157E6" w:rsidP="00013CF2">
            <w:pPr>
              <w:spacing w:before="60" w:after="60" w:line="200" w:lineRule="atLeast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1157E6" w:rsidRPr="00B91CBE" w:rsidRDefault="001157E6" w:rsidP="001157E6">
      <w:pPr>
        <w:kinsoku/>
        <w:overflowPunct/>
        <w:autoSpaceDE/>
        <w:autoSpaceDN/>
        <w:adjustRightInd/>
        <w:snapToGrid/>
        <w:spacing w:before="240" w:after="120"/>
        <w:ind w:left="1134" w:right="1134"/>
        <w:jc w:val="both"/>
        <w:rPr>
          <w:rFonts w:eastAsia="Times New Roman"/>
        </w:rPr>
      </w:pPr>
      <w:r w:rsidRPr="00B91CBE">
        <w:rPr>
          <w:lang w:val="fr-FR"/>
        </w:rPr>
        <w:t>Au chapitre 3.3, insérer la nouvelle disposition spéciale suivante</w:t>
      </w:r>
      <w:r>
        <w:rPr>
          <w:lang w:val="fr-FR"/>
        </w:rPr>
        <w:t> </w:t>
      </w:r>
      <w:r w:rsidRPr="00B91CBE">
        <w:rPr>
          <w:lang w:val="fr-FR"/>
        </w:rPr>
        <w:t>:</w:t>
      </w:r>
    </w:p>
    <w:p w:rsidR="00446FE5" w:rsidRDefault="001157E6" w:rsidP="001157E6">
      <w:pPr>
        <w:pStyle w:val="SingleTxtG"/>
        <w:rPr>
          <w:lang w:val="fr-FR"/>
        </w:rPr>
      </w:pPr>
      <w:r>
        <w:rPr>
          <w:lang w:val="fr-FR"/>
        </w:rPr>
        <w:t>« </w:t>
      </w:r>
      <w:proofErr w:type="gramStart"/>
      <w:r w:rsidRPr="00B91CBE">
        <w:rPr>
          <w:lang w:val="fr-FR"/>
        </w:rPr>
        <w:t>yyy</w:t>
      </w:r>
      <w:proofErr w:type="gramEnd"/>
      <w:r w:rsidRPr="00B91CBE">
        <w:rPr>
          <w:lang w:val="fr-FR"/>
        </w:rPr>
        <w:t xml:space="preserve"> Cette rubrique s</w:t>
      </w:r>
      <w:r w:rsidR="00CA041A">
        <w:rPr>
          <w:lang w:val="fr-FR"/>
        </w:rPr>
        <w:t>’</w:t>
      </w:r>
      <w:r w:rsidRPr="00B91CBE">
        <w:rPr>
          <w:lang w:val="fr-FR"/>
        </w:rPr>
        <w:t>applique aux objets contenant des matières explosibles de la classe 1 et pouvant également contenir des marchandises dangereuses d</w:t>
      </w:r>
      <w:r w:rsidR="00CA041A">
        <w:rPr>
          <w:lang w:val="fr-FR"/>
        </w:rPr>
        <w:t>’</w:t>
      </w:r>
      <w:r w:rsidRPr="00B91CBE">
        <w:rPr>
          <w:lang w:val="fr-FR"/>
        </w:rPr>
        <w:t xml:space="preserve">autres classes, autres que </w:t>
      </w:r>
      <w:r>
        <w:rPr>
          <w:lang w:val="fr-FR"/>
        </w:rPr>
        <w:t xml:space="preserve">le </w:t>
      </w:r>
      <w:r w:rsidRPr="00B91CBE">
        <w:rPr>
          <w:lang w:val="fr-FR"/>
        </w:rPr>
        <w:t>No</w:t>
      </w:r>
      <w:r>
        <w:rPr>
          <w:lang w:val="fr-FR"/>
        </w:rPr>
        <w:t> </w:t>
      </w:r>
      <w:r w:rsidRPr="00B91CBE">
        <w:rPr>
          <w:lang w:val="fr-FR"/>
        </w:rPr>
        <w:t>ONU</w:t>
      </w:r>
      <w:r>
        <w:rPr>
          <w:lang w:val="fr-FR"/>
        </w:rPr>
        <w:t> </w:t>
      </w:r>
      <w:r w:rsidRPr="00B91CBE">
        <w:rPr>
          <w:lang w:val="fr-FR"/>
        </w:rPr>
        <w:t xml:space="preserve">0503, </w:t>
      </w:r>
      <w:r>
        <w:rPr>
          <w:lang w:val="fr-FR"/>
        </w:rPr>
        <w:t xml:space="preserve">le </w:t>
      </w:r>
      <w:r w:rsidRPr="00B91CBE">
        <w:rPr>
          <w:lang w:val="fr-FR"/>
        </w:rPr>
        <w:t>No</w:t>
      </w:r>
      <w:r>
        <w:rPr>
          <w:lang w:val="fr-FR"/>
        </w:rPr>
        <w:t> </w:t>
      </w:r>
      <w:r w:rsidRPr="00B91CBE">
        <w:rPr>
          <w:lang w:val="fr-FR"/>
        </w:rPr>
        <w:t>ONU</w:t>
      </w:r>
      <w:r>
        <w:rPr>
          <w:lang w:val="fr-FR"/>
        </w:rPr>
        <w:t> </w:t>
      </w:r>
      <w:r w:rsidRPr="00B91CBE">
        <w:rPr>
          <w:lang w:val="fr-FR"/>
        </w:rPr>
        <w:t xml:space="preserve">2990 et </w:t>
      </w:r>
      <w:r>
        <w:rPr>
          <w:lang w:val="fr-FR"/>
        </w:rPr>
        <w:t xml:space="preserve">le </w:t>
      </w:r>
      <w:r w:rsidRPr="00B91CBE">
        <w:rPr>
          <w:lang w:val="fr-FR"/>
        </w:rPr>
        <w:t>No</w:t>
      </w:r>
      <w:r>
        <w:rPr>
          <w:lang w:val="fr-FR"/>
        </w:rPr>
        <w:t> </w:t>
      </w:r>
      <w:r w:rsidRPr="00B91CBE">
        <w:rPr>
          <w:lang w:val="fr-FR"/>
        </w:rPr>
        <w:t>ONU</w:t>
      </w:r>
      <w:r>
        <w:rPr>
          <w:lang w:val="fr-FR"/>
        </w:rPr>
        <w:t> </w:t>
      </w:r>
      <w:r w:rsidRPr="00B91CBE">
        <w:rPr>
          <w:lang w:val="fr-FR"/>
        </w:rPr>
        <w:t>3268. Les objets exclus de la classe 1 conf</w:t>
      </w:r>
      <w:r>
        <w:rPr>
          <w:lang w:val="fr-FR"/>
        </w:rPr>
        <w:t xml:space="preserve">ormément à la section </w:t>
      </w:r>
      <w:r w:rsidRPr="00B91CBE">
        <w:rPr>
          <w:lang w:val="fr-FR"/>
        </w:rPr>
        <w:t>2.1.3.6.4 doivent être class</w:t>
      </w:r>
      <w:r>
        <w:rPr>
          <w:lang w:val="fr-FR"/>
        </w:rPr>
        <w:t>és conformément à la section 2.0.5. ».</w:t>
      </w:r>
    </w:p>
    <w:p w:rsidR="00CA041A" w:rsidRPr="00CA041A" w:rsidRDefault="00CA041A" w:rsidP="00CA041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041A" w:rsidRPr="00CA041A" w:rsidSect="002967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32" w:rsidRDefault="00531432" w:rsidP="00F95C08">
      <w:pPr>
        <w:spacing w:line="240" w:lineRule="auto"/>
      </w:pPr>
    </w:p>
  </w:endnote>
  <w:endnote w:type="continuationSeparator" w:id="0">
    <w:p w:rsidR="00531432" w:rsidRPr="00AC3823" w:rsidRDefault="00531432" w:rsidP="00AC3823">
      <w:pPr>
        <w:pStyle w:val="Footer"/>
      </w:pPr>
    </w:p>
  </w:endnote>
  <w:endnote w:type="continuationNotice" w:id="1">
    <w:p w:rsidR="00531432" w:rsidRDefault="00531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4B" w:rsidRPr="0029674B" w:rsidRDefault="0029674B" w:rsidP="0029674B">
    <w:pPr>
      <w:pStyle w:val="Footer"/>
      <w:tabs>
        <w:tab w:val="right" w:pos="9638"/>
      </w:tabs>
    </w:pPr>
    <w:r w:rsidRPr="0029674B">
      <w:rPr>
        <w:b/>
        <w:sz w:val="18"/>
      </w:rPr>
      <w:fldChar w:fldCharType="begin"/>
    </w:r>
    <w:r w:rsidRPr="0029674B">
      <w:rPr>
        <w:b/>
        <w:sz w:val="18"/>
      </w:rPr>
      <w:instrText xml:space="preserve"> PAGE  \* MERGEFORMAT </w:instrText>
    </w:r>
    <w:r w:rsidRPr="0029674B">
      <w:rPr>
        <w:b/>
        <w:sz w:val="18"/>
      </w:rPr>
      <w:fldChar w:fldCharType="separate"/>
    </w:r>
    <w:r w:rsidR="000E15B6">
      <w:rPr>
        <w:b/>
        <w:noProof/>
        <w:sz w:val="18"/>
      </w:rPr>
      <w:t>2</w:t>
    </w:r>
    <w:r w:rsidRPr="0029674B">
      <w:rPr>
        <w:b/>
        <w:sz w:val="18"/>
      </w:rPr>
      <w:fldChar w:fldCharType="end"/>
    </w:r>
    <w:r>
      <w:rPr>
        <w:b/>
        <w:sz w:val="18"/>
      </w:rPr>
      <w:tab/>
    </w:r>
    <w:r>
      <w:t>GE.18-14022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4B" w:rsidRPr="0029674B" w:rsidRDefault="0029674B" w:rsidP="0029674B">
    <w:pPr>
      <w:pStyle w:val="Footer"/>
      <w:tabs>
        <w:tab w:val="right" w:pos="9638"/>
      </w:tabs>
      <w:rPr>
        <w:b/>
        <w:sz w:val="18"/>
      </w:rPr>
    </w:pPr>
    <w:r>
      <w:t>GE.18-14022</w:t>
    </w:r>
    <w:r>
      <w:tab/>
    </w:r>
    <w:r w:rsidRPr="0029674B">
      <w:rPr>
        <w:b/>
        <w:sz w:val="18"/>
      </w:rPr>
      <w:fldChar w:fldCharType="begin"/>
    </w:r>
    <w:r w:rsidRPr="0029674B">
      <w:rPr>
        <w:b/>
        <w:sz w:val="18"/>
      </w:rPr>
      <w:instrText xml:space="preserve"> PAGE  \* MERGEFORMAT </w:instrText>
    </w:r>
    <w:r w:rsidRPr="0029674B">
      <w:rPr>
        <w:b/>
        <w:sz w:val="18"/>
      </w:rPr>
      <w:fldChar w:fldCharType="separate"/>
    </w:r>
    <w:r w:rsidR="000E15B6">
      <w:rPr>
        <w:b/>
        <w:noProof/>
        <w:sz w:val="18"/>
      </w:rPr>
      <w:t>1</w:t>
    </w:r>
    <w:r w:rsidRPr="002967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29674B" w:rsidRDefault="0029674B" w:rsidP="0029674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14022  (</w:t>
    </w:r>
    <w:proofErr w:type="gramEnd"/>
    <w:r>
      <w:rPr>
        <w:sz w:val="20"/>
      </w:rPr>
      <w:t>F)</w:t>
    </w:r>
    <w:r w:rsidR="00CA041A">
      <w:rPr>
        <w:sz w:val="20"/>
      </w:rPr>
      <w:t xml:space="preserve">    240918    111018</w:t>
    </w:r>
    <w:r>
      <w:rPr>
        <w:sz w:val="20"/>
      </w:rPr>
      <w:br/>
    </w:r>
    <w:r w:rsidRPr="0029674B">
      <w:rPr>
        <w:rFonts w:ascii="C39T30Lfz" w:hAnsi="C39T30Lfz"/>
        <w:sz w:val="56"/>
      </w:rPr>
      <w:t></w:t>
    </w:r>
    <w:r w:rsidRPr="0029674B">
      <w:rPr>
        <w:rFonts w:ascii="C39T30Lfz" w:hAnsi="C39T30Lfz"/>
        <w:sz w:val="56"/>
      </w:rPr>
      <w:t></w:t>
    </w:r>
    <w:r w:rsidRPr="0029674B">
      <w:rPr>
        <w:rFonts w:ascii="C39T30Lfz" w:hAnsi="C39T30Lfz"/>
        <w:sz w:val="56"/>
      </w:rPr>
      <w:t></w:t>
    </w:r>
    <w:r w:rsidRPr="0029674B">
      <w:rPr>
        <w:rFonts w:ascii="C39T30Lfz" w:hAnsi="C39T30Lfz"/>
        <w:sz w:val="56"/>
      </w:rPr>
      <w:t></w:t>
    </w:r>
    <w:r w:rsidRPr="0029674B">
      <w:rPr>
        <w:rFonts w:ascii="C39T30Lfz" w:hAnsi="C39T30Lfz"/>
        <w:sz w:val="56"/>
      </w:rPr>
      <w:t></w:t>
    </w:r>
    <w:r w:rsidRPr="0029674B">
      <w:rPr>
        <w:rFonts w:ascii="C39T30Lfz" w:hAnsi="C39T30Lfz"/>
        <w:sz w:val="56"/>
      </w:rPr>
      <w:t></w:t>
    </w:r>
    <w:r w:rsidRPr="0029674B">
      <w:rPr>
        <w:rFonts w:ascii="C39T30Lfz" w:hAnsi="C39T30Lfz"/>
        <w:sz w:val="56"/>
      </w:rPr>
      <w:t></w:t>
    </w:r>
    <w:r w:rsidRPr="0029674B">
      <w:rPr>
        <w:rFonts w:ascii="C39T30Lfz" w:hAnsi="C39T30Lfz"/>
        <w:sz w:val="56"/>
      </w:rPr>
      <w:t></w:t>
    </w:r>
    <w:r w:rsidRPr="0029674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7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7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32" w:rsidRPr="00AC3823" w:rsidRDefault="005314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1432" w:rsidRPr="00AC3823" w:rsidRDefault="005314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1432" w:rsidRPr="00AC3823" w:rsidRDefault="00531432">
      <w:pPr>
        <w:spacing w:line="240" w:lineRule="auto"/>
        <w:rPr>
          <w:sz w:val="2"/>
          <w:szCs w:val="2"/>
        </w:rPr>
      </w:pPr>
    </w:p>
  </w:footnote>
  <w:footnote w:id="2">
    <w:p w:rsidR="00CA041A" w:rsidRPr="00CA041A" w:rsidRDefault="00CA041A">
      <w:pPr>
        <w:pStyle w:val="FootnoteText"/>
      </w:pPr>
      <w:r>
        <w:rPr>
          <w:rStyle w:val="FootnoteReference"/>
        </w:rPr>
        <w:tab/>
      </w:r>
      <w:r w:rsidRPr="00CA041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A1301">
        <w:rPr>
          <w:szCs w:val="18"/>
          <w:lang w:val="fr-FR"/>
        </w:rPr>
        <w:t>Conformément au programme de travail du Sous-Comité pour la période biennale 2017-2018, approuvé par le Comité à sa huitième session (voir ST/SG/AC.10/C.3/100, p</w:t>
      </w:r>
      <w:r>
        <w:rPr>
          <w:szCs w:val="18"/>
          <w:lang w:val="fr-FR"/>
        </w:rPr>
        <w:t>ar. 98, et ST/SG/AC.10/44, par. </w:t>
      </w:r>
      <w:r w:rsidRPr="003A1301">
        <w:rPr>
          <w:szCs w:val="18"/>
          <w:lang w:val="fr-FR"/>
        </w:rPr>
        <w:t>14)</w:t>
      </w:r>
      <w:r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4B" w:rsidRPr="0029674B" w:rsidRDefault="004B2F1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4B" w:rsidRPr="0029674B" w:rsidRDefault="004B2F1B" w:rsidP="0029674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32"/>
    <w:rsid w:val="00017F94"/>
    <w:rsid w:val="00023842"/>
    <w:rsid w:val="000305D3"/>
    <w:rsid w:val="000334F9"/>
    <w:rsid w:val="0007796D"/>
    <w:rsid w:val="000B7790"/>
    <w:rsid w:val="000E15B6"/>
    <w:rsid w:val="00111F2F"/>
    <w:rsid w:val="001157E6"/>
    <w:rsid w:val="00132EA9"/>
    <w:rsid w:val="0014365E"/>
    <w:rsid w:val="00176178"/>
    <w:rsid w:val="001E31AD"/>
    <w:rsid w:val="001F525A"/>
    <w:rsid w:val="00223272"/>
    <w:rsid w:val="0024779E"/>
    <w:rsid w:val="00283190"/>
    <w:rsid w:val="002832AC"/>
    <w:rsid w:val="0029674B"/>
    <w:rsid w:val="002D7C93"/>
    <w:rsid w:val="00441C3B"/>
    <w:rsid w:val="00444843"/>
    <w:rsid w:val="00446FE5"/>
    <w:rsid w:val="00452396"/>
    <w:rsid w:val="004B2F1B"/>
    <w:rsid w:val="004B5253"/>
    <w:rsid w:val="004E468C"/>
    <w:rsid w:val="00531432"/>
    <w:rsid w:val="005505B7"/>
    <w:rsid w:val="00573BE5"/>
    <w:rsid w:val="00584DC4"/>
    <w:rsid w:val="00586ED3"/>
    <w:rsid w:val="00596AA9"/>
    <w:rsid w:val="005C0536"/>
    <w:rsid w:val="0068456F"/>
    <w:rsid w:val="006D27BA"/>
    <w:rsid w:val="0071601D"/>
    <w:rsid w:val="00731735"/>
    <w:rsid w:val="007A62E6"/>
    <w:rsid w:val="0080684C"/>
    <w:rsid w:val="00871C75"/>
    <w:rsid w:val="008776DC"/>
    <w:rsid w:val="008B40CD"/>
    <w:rsid w:val="00913D98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A041A"/>
    <w:rsid w:val="00CC7033"/>
    <w:rsid w:val="00D07832"/>
    <w:rsid w:val="00D3439C"/>
    <w:rsid w:val="00DB1831"/>
    <w:rsid w:val="00DD3BFD"/>
    <w:rsid w:val="00DF6678"/>
    <w:rsid w:val="00EF2E22"/>
    <w:rsid w:val="00F01738"/>
    <w:rsid w:val="00F55FDB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A94E41-F439-4488-A5D5-BC1973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ST/SG/AC.10/C.3/2018/75</vt:lpstr>
      <vt:lpstr>ST/SG/AC.10/C.3/2018/75</vt:lpstr>
    </vt:vector>
  </TitlesOfParts>
  <Company>DCM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ST/SG/AC.10/C.3/2018/75</dc:title>
  <dc:subject/>
  <dc:creator>Fabienne CRELIER</dc:creator>
  <cp:keywords/>
  <cp:lastModifiedBy>Laurence Berthet</cp:lastModifiedBy>
  <cp:revision>3</cp:revision>
  <cp:lastPrinted>2018-10-11T12:18:00Z</cp:lastPrinted>
  <dcterms:created xsi:type="dcterms:W3CDTF">2018-10-11T12:18:00Z</dcterms:created>
  <dcterms:modified xsi:type="dcterms:W3CDTF">2018-10-11T12:18:00Z</dcterms:modified>
</cp:coreProperties>
</file>