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4FF2" w:rsidRPr="00164FF2" w:rsidTr="00F01738">
        <w:trPr>
          <w:trHeight w:hRule="exact" w:val="851"/>
        </w:trPr>
        <w:tc>
          <w:tcPr>
            <w:tcW w:w="1276" w:type="dxa"/>
            <w:tcBorders>
              <w:bottom w:val="single" w:sz="4" w:space="0" w:color="auto"/>
            </w:tcBorders>
          </w:tcPr>
          <w:p w:rsidR="00132EA9" w:rsidRPr="00164FF2" w:rsidRDefault="00132EA9" w:rsidP="00646B67">
            <w:bookmarkStart w:id="0" w:name="_GoBack"/>
            <w:bookmarkEnd w:id="0"/>
          </w:p>
        </w:tc>
        <w:tc>
          <w:tcPr>
            <w:tcW w:w="2268" w:type="dxa"/>
            <w:tcBorders>
              <w:bottom w:val="single" w:sz="4" w:space="0" w:color="auto"/>
            </w:tcBorders>
            <w:vAlign w:val="bottom"/>
          </w:tcPr>
          <w:p w:rsidR="00132EA9" w:rsidRPr="00164FF2" w:rsidRDefault="00132EA9" w:rsidP="00F01738">
            <w:pPr>
              <w:spacing w:after="80" w:line="300" w:lineRule="exact"/>
              <w:rPr>
                <w:sz w:val="28"/>
              </w:rPr>
            </w:pPr>
            <w:r w:rsidRPr="00164FF2">
              <w:rPr>
                <w:sz w:val="28"/>
              </w:rPr>
              <w:t>Nations Unies</w:t>
            </w:r>
          </w:p>
        </w:tc>
        <w:tc>
          <w:tcPr>
            <w:tcW w:w="6095" w:type="dxa"/>
            <w:gridSpan w:val="2"/>
            <w:tcBorders>
              <w:bottom w:val="single" w:sz="4" w:space="0" w:color="auto"/>
            </w:tcBorders>
            <w:vAlign w:val="bottom"/>
          </w:tcPr>
          <w:p w:rsidR="00132EA9" w:rsidRPr="00164FF2" w:rsidRDefault="00646B67" w:rsidP="00646B67">
            <w:pPr>
              <w:jc w:val="right"/>
            </w:pPr>
            <w:r w:rsidRPr="00164FF2">
              <w:rPr>
                <w:sz w:val="40"/>
              </w:rPr>
              <w:t>ST</w:t>
            </w:r>
            <w:r w:rsidRPr="00164FF2">
              <w:t>/SG/AC.10/C.3/2018/69</w:t>
            </w:r>
          </w:p>
        </w:tc>
      </w:tr>
      <w:tr w:rsidR="00164FF2" w:rsidRPr="00164FF2" w:rsidTr="00F01738">
        <w:trPr>
          <w:trHeight w:hRule="exact" w:val="2835"/>
        </w:trPr>
        <w:tc>
          <w:tcPr>
            <w:tcW w:w="1276" w:type="dxa"/>
            <w:tcBorders>
              <w:top w:val="single" w:sz="4" w:space="0" w:color="auto"/>
              <w:bottom w:val="single" w:sz="12" w:space="0" w:color="auto"/>
            </w:tcBorders>
          </w:tcPr>
          <w:p w:rsidR="00132EA9" w:rsidRPr="00164FF2" w:rsidRDefault="00132EA9" w:rsidP="00F01738">
            <w:pPr>
              <w:spacing w:before="120"/>
              <w:jc w:val="center"/>
            </w:pPr>
            <w:r w:rsidRPr="00164FF2">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164FF2" w:rsidRDefault="00132EA9" w:rsidP="00F01738">
            <w:pPr>
              <w:spacing w:before="120" w:line="420" w:lineRule="exact"/>
              <w:rPr>
                <w:b/>
                <w:sz w:val="40"/>
                <w:szCs w:val="40"/>
              </w:rPr>
            </w:pPr>
            <w:r w:rsidRPr="00164FF2">
              <w:rPr>
                <w:b/>
                <w:sz w:val="40"/>
                <w:szCs w:val="40"/>
              </w:rPr>
              <w:t>Secrétariat</w:t>
            </w:r>
          </w:p>
        </w:tc>
        <w:tc>
          <w:tcPr>
            <w:tcW w:w="2835" w:type="dxa"/>
            <w:tcBorders>
              <w:top w:val="single" w:sz="4" w:space="0" w:color="auto"/>
              <w:bottom w:val="single" w:sz="12" w:space="0" w:color="auto"/>
            </w:tcBorders>
          </w:tcPr>
          <w:p w:rsidR="00132EA9" w:rsidRPr="00164FF2" w:rsidRDefault="00646B67" w:rsidP="00F01738">
            <w:pPr>
              <w:spacing w:before="240"/>
            </w:pPr>
            <w:r w:rsidRPr="00164FF2">
              <w:t xml:space="preserve">Distr. </w:t>
            </w:r>
            <w:proofErr w:type="gramStart"/>
            <w:r w:rsidRPr="00164FF2">
              <w:t>générale</w:t>
            </w:r>
            <w:proofErr w:type="gramEnd"/>
          </w:p>
          <w:p w:rsidR="00646B67" w:rsidRPr="00164FF2" w:rsidRDefault="00646B67" w:rsidP="00646B67">
            <w:pPr>
              <w:spacing w:line="240" w:lineRule="exact"/>
            </w:pPr>
            <w:r w:rsidRPr="00164FF2">
              <w:t>27 août 2018</w:t>
            </w:r>
          </w:p>
          <w:p w:rsidR="00646B67" w:rsidRPr="00164FF2" w:rsidRDefault="00646B67" w:rsidP="00646B67">
            <w:pPr>
              <w:spacing w:line="240" w:lineRule="exact"/>
            </w:pPr>
            <w:r w:rsidRPr="00164FF2">
              <w:t>Français</w:t>
            </w:r>
          </w:p>
          <w:p w:rsidR="00646B67" w:rsidRPr="00164FF2" w:rsidRDefault="00646B67" w:rsidP="00646B67">
            <w:pPr>
              <w:spacing w:line="240" w:lineRule="exact"/>
            </w:pPr>
            <w:r w:rsidRPr="00164FF2">
              <w:t>Original : anglais</w:t>
            </w:r>
          </w:p>
        </w:tc>
      </w:tr>
    </w:tbl>
    <w:p w:rsidR="00646B67" w:rsidRPr="00164FF2" w:rsidRDefault="00646B67" w:rsidP="000305D3">
      <w:pPr>
        <w:spacing w:before="120"/>
        <w:rPr>
          <w:b/>
          <w:sz w:val="24"/>
          <w:szCs w:val="24"/>
        </w:rPr>
      </w:pPr>
      <w:r w:rsidRPr="00164FF2">
        <w:rPr>
          <w:b/>
          <w:sz w:val="24"/>
          <w:szCs w:val="24"/>
        </w:rPr>
        <w:t>Comité d’experts du transport des marchandises dangereuses</w:t>
      </w:r>
      <w:r w:rsidRPr="00164FF2">
        <w:rPr>
          <w:b/>
          <w:sz w:val="24"/>
          <w:szCs w:val="24"/>
        </w:rPr>
        <w:br/>
        <w:t>et du Système général harmonisé de classification</w:t>
      </w:r>
      <w:r w:rsidRPr="00164FF2">
        <w:rPr>
          <w:b/>
          <w:sz w:val="24"/>
          <w:szCs w:val="24"/>
        </w:rPr>
        <w:br/>
        <w:t>et d’étiquetage des produits chimiques</w:t>
      </w:r>
    </w:p>
    <w:p w:rsidR="00646B67" w:rsidRPr="00164FF2" w:rsidRDefault="00646B67" w:rsidP="000305D3">
      <w:pPr>
        <w:spacing w:before="120"/>
        <w:rPr>
          <w:b/>
        </w:rPr>
      </w:pPr>
      <w:r w:rsidRPr="00164FF2">
        <w:rPr>
          <w:b/>
        </w:rPr>
        <w:t>Sous-Comité d’experts du transport des marchandises dangereuses</w:t>
      </w:r>
    </w:p>
    <w:p w:rsidR="00646B67" w:rsidRPr="00164FF2" w:rsidRDefault="00646B67" w:rsidP="000305D3">
      <w:pPr>
        <w:spacing w:before="120"/>
        <w:rPr>
          <w:b/>
        </w:rPr>
      </w:pPr>
      <w:r w:rsidRPr="00164FF2">
        <w:rPr>
          <w:b/>
        </w:rPr>
        <w:t>Cinquante-quatrième session</w:t>
      </w:r>
    </w:p>
    <w:p w:rsidR="00646B67" w:rsidRPr="00164FF2" w:rsidRDefault="00646B67" w:rsidP="000305D3">
      <w:r w:rsidRPr="00164FF2">
        <w:t>Genève, 26 novembre-4 décembre 2018</w:t>
      </w:r>
    </w:p>
    <w:p w:rsidR="00646B67" w:rsidRPr="00164FF2" w:rsidRDefault="00646B67" w:rsidP="000305D3">
      <w:r w:rsidRPr="00164FF2">
        <w:t>Point 2 f) de l’ordre du jour provisoire</w:t>
      </w:r>
    </w:p>
    <w:p w:rsidR="00646B67" w:rsidRPr="00164FF2" w:rsidRDefault="00646B67" w:rsidP="00646B67">
      <w:pPr>
        <w:rPr>
          <w:b/>
          <w:lang w:val="fr-FR"/>
        </w:rPr>
      </w:pPr>
      <w:r w:rsidRPr="00164FF2">
        <w:rPr>
          <w:b/>
          <w:lang w:val="fr-FR"/>
        </w:rPr>
        <w:t xml:space="preserve">Recommandations du Sous-Comité formulées à ses cinquante et unième, </w:t>
      </w:r>
      <w:r w:rsidRPr="00164FF2">
        <w:rPr>
          <w:b/>
          <w:lang w:val="fr-FR"/>
        </w:rPr>
        <w:br/>
        <w:t>cinquante-deuxième et cinquante-troisième sessions</w:t>
      </w:r>
      <w:r w:rsidR="00F44642">
        <w:rPr>
          <w:b/>
          <w:lang w:val="fr-FR"/>
        </w:rPr>
        <w:t xml:space="preserve"> </w:t>
      </w:r>
      <w:r w:rsidRPr="00164FF2">
        <w:rPr>
          <w:b/>
          <w:lang w:val="fr-FR"/>
        </w:rPr>
        <w:t>et questions en suspens :</w:t>
      </w:r>
    </w:p>
    <w:p w:rsidR="00646B67" w:rsidRPr="00164FF2" w:rsidRDefault="00646B67" w:rsidP="00646B67">
      <w:pPr>
        <w:rPr>
          <w:b/>
          <w:szCs w:val="24"/>
        </w:rPr>
      </w:pPr>
      <w:r w:rsidRPr="00164FF2">
        <w:rPr>
          <w:b/>
          <w:lang w:val="fr-FR"/>
        </w:rPr>
        <w:t>Questions diverses en suspens</w:t>
      </w:r>
    </w:p>
    <w:p w:rsidR="00646B67" w:rsidRPr="00164FF2" w:rsidRDefault="00646B67" w:rsidP="00646B67">
      <w:pPr>
        <w:pStyle w:val="HChG"/>
      </w:pPr>
      <w:r w:rsidRPr="00164FF2">
        <w:tab/>
      </w:r>
      <w:r w:rsidRPr="00164FF2">
        <w:tab/>
        <w:t xml:space="preserve">Alignement des versions anglaise et française </w:t>
      </w:r>
      <w:r w:rsidRPr="00164FF2">
        <w:br/>
        <w:t>du paragraphe 5.4.1.5.1</w:t>
      </w:r>
    </w:p>
    <w:p w:rsidR="00646B67" w:rsidRPr="00164FF2" w:rsidRDefault="00646B67" w:rsidP="00646B67">
      <w:pPr>
        <w:pStyle w:val="H1G"/>
      </w:pPr>
      <w:r w:rsidRPr="00164FF2">
        <w:tab/>
      </w:r>
      <w:r w:rsidRPr="00164FF2">
        <w:tab/>
        <w:t>Communication de l’expert de la Belgique</w:t>
      </w:r>
      <w:r w:rsidRPr="00164FF2">
        <w:rPr>
          <w:rStyle w:val="FootnoteReference"/>
          <w:b w:val="0"/>
        </w:rPr>
        <w:footnoteReference w:id="2"/>
      </w:r>
    </w:p>
    <w:p w:rsidR="00646B67" w:rsidRPr="00164FF2" w:rsidRDefault="00646B67" w:rsidP="00646B67">
      <w:pPr>
        <w:pStyle w:val="HChG"/>
      </w:pPr>
      <w:r w:rsidRPr="00164FF2">
        <w:tab/>
      </w:r>
      <w:r w:rsidRPr="00164FF2">
        <w:tab/>
        <w:t>Introduction</w:t>
      </w:r>
    </w:p>
    <w:p w:rsidR="00646B67" w:rsidRPr="00164FF2" w:rsidRDefault="00646B67" w:rsidP="00646B67">
      <w:pPr>
        <w:pStyle w:val="SingleTxtG"/>
      </w:pPr>
      <w:r w:rsidRPr="00164FF2">
        <w:t>1.</w:t>
      </w:r>
      <w:r w:rsidRPr="00164FF2">
        <w:tab/>
        <w:t>À la cinquante-troisième session, la Belgique a présenté le document informel INF.25 (cinquante-troisième session) dans lequel elle fait remarquer une différence de formulation entre la version anglaise et la version française de la première phrase du paragraphe 5.4.1.5.1 du Règlement type. Cette différence donne lieu à une interprétation divergente selon que l’on lit le paragraphe 5.4.1.5.1 en anglais ou en français.</w:t>
      </w:r>
    </w:p>
    <w:p w:rsidR="00646B67" w:rsidRPr="00164FF2" w:rsidRDefault="00646B67" w:rsidP="00646B67">
      <w:pPr>
        <w:pStyle w:val="SingleTxtG"/>
      </w:pPr>
      <w:r w:rsidRPr="00164FF2">
        <w:t>2.</w:t>
      </w:r>
      <w:r w:rsidRPr="00164FF2">
        <w:tab/>
        <w:t xml:space="preserve">Lors des discussions à la cinquante-troisième session, les experts se sont accordés sur le fait qu’il </w:t>
      </w:r>
      <w:proofErr w:type="gramStart"/>
      <w:r w:rsidRPr="00164FF2">
        <w:t>fallait</w:t>
      </w:r>
      <w:proofErr w:type="gramEnd"/>
      <w:r w:rsidRPr="00164FF2">
        <w:t xml:space="preserve"> mieux aligner les versions fran</w:t>
      </w:r>
      <w:r w:rsidR="00164FF2">
        <w:t>çaise et anglaise du paragraphe </w:t>
      </w:r>
      <w:r w:rsidRPr="00164FF2">
        <w:t>5.4.1.5.1. Le Sous-Comité a décidé que l’interprétation correct</w:t>
      </w:r>
      <w:r w:rsidR="00164FF2">
        <w:t>e du paragraphe </w:t>
      </w:r>
      <w:r w:rsidRPr="00164FF2">
        <w:t>5.4.1.5.1 était la suivante</w:t>
      </w:r>
      <w:r w:rsidR="00164FF2">
        <w:t> </w:t>
      </w:r>
      <w:r w:rsidRPr="00164FF2">
        <w:t>: la quantité totale de marchandises dangereuses doit être indiquée dans le document de transport pour chaque marchandise dangereuse ayant son numéro ONU, sa désignation officielle de transport ou son groupe d’emballage propre. Il a estimé que le libellé anglais actuel reflétait clairement cette interprétation et a invité l’expert de la Belgique à présenter une pr</w:t>
      </w:r>
      <w:r w:rsidR="0037470A">
        <w:t>oposition visant à</w:t>
      </w:r>
      <w:r w:rsidRPr="00164FF2">
        <w:t xml:space="preserve"> corriger </w:t>
      </w:r>
      <w:r w:rsidR="00164FF2">
        <w:t>le texte français</w:t>
      </w:r>
      <w:r w:rsidRPr="00164FF2">
        <w:t xml:space="preserve"> en fonction de l’anglais (voir </w:t>
      </w:r>
      <w:hyperlink r:id="rId9" w:history="1">
        <w:r w:rsidRPr="00164FF2">
          <w:rPr>
            <w:rStyle w:val="Hyperlink"/>
            <w:szCs w:val="24"/>
          </w:rPr>
          <w:t>ST/SG/AC.10/C.3/106</w:t>
        </w:r>
      </w:hyperlink>
      <w:r w:rsidR="0050591E" w:rsidRPr="00164FF2">
        <w:t>, par. </w:t>
      </w:r>
      <w:r w:rsidRPr="00164FF2">
        <w:t>183).</w:t>
      </w:r>
    </w:p>
    <w:p w:rsidR="00646B67" w:rsidRPr="00164FF2" w:rsidRDefault="00646B67" w:rsidP="00646B67">
      <w:pPr>
        <w:pStyle w:val="SingleTxtG"/>
      </w:pPr>
      <w:r w:rsidRPr="00164FF2">
        <w:t>3.</w:t>
      </w:r>
      <w:r w:rsidRPr="00164FF2">
        <w:tab/>
        <w:t xml:space="preserve">La proposition figurant au paragraphe 5 du présent document intègre les suggestions du Sous-Comité et aligne la version française de la première phrase du paragraphe 5.4.1.5.1 sur l’anglaise, qui figure, quant à elle, au paragraphe 4 ci-dessous. </w:t>
      </w:r>
    </w:p>
    <w:p w:rsidR="00646B67" w:rsidRPr="00164FF2" w:rsidRDefault="00646B67" w:rsidP="00164FF2">
      <w:pPr>
        <w:pStyle w:val="SingleTxtG"/>
        <w:keepNext/>
      </w:pPr>
      <w:r w:rsidRPr="00164FF2">
        <w:lastRenderedPageBreak/>
        <w:t>4.</w:t>
      </w:r>
      <w:r w:rsidRPr="00164FF2">
        <w:tab/>
        <w:t>La première phrase du paragraphe 5.4.1.5.1 de la version anglaise actuelle du Règlement type se lit comme suit</w:t>
      </w:r>
      <w:r w:rsidR="0050591E" w:rsidRPr="00164FF2">
        <w:t> </w:t>
      </w:r>
      <w:r w:rsidRPr="00164FF2">
        <w:t>:</w:t>
      </w:r>
    </w:p>
    <w:p w:rsidR="00646B67" w:rsidRPr="00164FF2" w:rsidRDefault="00164FF2" w:rsidP="00164FF2">
      <w:pPr>
        <w:pStyle w:val="SingleTxtG"/>
        <w:ind w:left="1701" w:hanging="567"/>
        <w:rPr>
          <w:lang w:val="en-US"/>
        </w:rPr>
      </w:pPr>
      <w:r>
        <w:rPr>
          <w:lang w:val="en-US" w:eastAsia="zh-CN"/>
        </w:rPr>
        <w:tab/>
      </w:r>
      <w:r w:rsidR="00646B67" w:rsidRPr="00164FF2">
        <w:rPr>
          <w:lang w:val="en-US" w:eastAsia="zh-CN"/>
        </w:rPr>
        <w:t>“</w:t>
      </w:r>
      <w:r w:rsidR="00646B67" w:rsidRPr="00164FF2">
        <w:rPr>
          <w:i/>
          <w:lang w:val="en-US" w:eastAsia="zh-CN"/>
        </w:rPr>
        <w:t>Except for empty uncleaned packagings, the total quantity of dangerous goods covered by the description (by volume or mass as appropriate) of each item of dangerous goods bearing a different proper shipping name, UN number or packing group shall be included.</w:t>
      </w:r>
      <w:r w:rsidR="00646B67" w:rsidRPr="00164FF2">
        <w:rPr>
          <w:lang w:val="en-US" w:eastAsia="zh-CN"/>
        </w:rPr>
        <w:t>”.</w:t>
      </w:r>
    </w:p>
    <w:p w:rsidR="00646B67" w:rsidRPr="00164FF2" w:rsidRDefault="00646B67" w:rsidP="00164FF2">
      <w:pPr>
        <w:pStyle w:val="HChG"/>
      </w:pPr>
      <w:r w:rsidRPr="00164FF2">
        <w:rPr>
          <w:lang w:val="en-US"/>
        </w:rPr>
        <w:tab/>
      </w:r>
      <w:r w:rsidRPr="00164FF2">
        <w:rPr>
          <w:lang w:val="en-US"/>
        </w:rPr>
        <w:tab/>
      </w:r>
      <w:r w:rsidRPr="00164FF2">
        <w:t>Proposition</w:t>
      </w:r>
    </w:p>
    <w:p w:rsidR="00646B67" w:rsidRPr="00164FF2" w:rsidRDefault="00646B67" w:rsidP="00646B67">
      <w:pPr>
        <w:pStyle w:val="SingleTxtG"/>
      </w:pPr>
      <w:r w:rsidRPr="00164FF2">
        <w:t>5.</w:t>
      </w:r>
      <w:r w:rsidRPr="00164FF2">
        <w:tab/>
        <w:t xml:space="preserve">Modifier la première phrase du paragraphe 5.4.1.5.1 de la version française du Règlement type comme suit (texte supprimé </w:t>
      </w:r>
      <w:r w:rsidRPr="00164FF2">
        <w:rPr>
          <w:strike/>
        </w:rPr>
        <w:t>barré</w:t>
      </w:r>
      <w:r w:rsidRPr="00164FF2">
        <w:t xml:space="preserve">, nouveau texte </w:t>
      </w:r>
      <w:r w:rsidRPr="00164FF2">
        <w:rPr>
          <w:u w:val="single"/>
        </w:rPr>
        <w:t>souligné</w:t>
      </w:r>
      <w:r w:rsidRPr="00164FF2">
        <w:t>)</w:t>
      </w:r>
      <w:r w:rsidR="00164FF2">
        <w:t> </w:t>
      </w:r>
      <w:r w:rsidRPr="00164FF2">
        <w:t>:</w:t>
      </w:r>
    </w:p>
    <w:p w:rsidR="00646B67" w:rsidRPr="00164FF2" w:rsidRDefault="00164FF2" w:rsidP="00164FF2">
      <w:pPr>
        <w:pStyle w:val="SingleTxtG"/>
        <w:ind w:left="1701" w:hanging="567"/>
      </w:pPr>
      <w:r>
        <w:rPr>
          <w:i/>
          <w:iCs/>
          <w:szCs w:val="24"/>
        </w:rPr>
        <w:tab/>
      </w:r>
      <w:r w:rsidR="00646B67" w:rsidRPr="0040752E">
        <w:rPr>
          <w:iCs/>
          <w:szCs w:val="24"/>
          <w:lang w:val="fr-BE"/>
        </w:rPr>
        <w:t>«</w:t>
      </w:r>
      <w:r>
        <w:rPr>
          <w:i/>
          <w:iCs/>
          <w:szCs w:val="24"/>
          <w:lang w:val="fr-BE"/>
        </w:rPr>
        <w:t> </w:t>
      </w:r>
      <w:r w:rsidR="00646B67" w:rsidRPr="00164FF2">
        <w:rPr>
          <w:i/>
          <w:iCs/>
          <w:szCs w:val="24"/>
          <w:lang w:val="fr-BE"/>
        </w:rPr>
        <w:t xml:space="preserve">Sauf pour les emballages vides non nettoyés, la quantité totale de marchandises dangereuses à laquelle s’applique la description (volume ou masse, selon le cas) doit être indiquée pour </w:t>
      </w:r>
      <w:r w:rsidR="00646B67" w:rsidRPr="00164FF2">
        <w:rPr>
          <w:i/>
          <w:iCs/>
          <w:strike/>
          <w:szCs w:val="24"/>
          <w:lang w:val="fr-BE"/>
        </w:rPr>
        <w:t>toutes</w:t>
      </w:r>
      <w:r w:rsidR="00646B67" w:rsidRPr="00164FF2">
        <w:rPr>
          <w:i/>
          <w:iCs/>
          <w:szCs w:val="24"/>
          <w:lang w:val="fr-BE"/>
        </w:rPr>
        <w:t xml:space="preserve"> chaque marchandise dangereuse ayant </w:t>
      </w:r>
      <w:r w:rsidR="00646B67" w:rsidRPr="00164FF2">
        <w:rPr>
          <w:i/>
          <w:iCs/>
          <w:strike/>
          <w:szCs w:val="24"/>
          <w:lang w:val="fr-BE"/>
        </w:rPr>
        <w:t>son numéro ONU, sa désignation officielle de transport et son groupe d’emballage propres</w:t>
      </w:r>
      <w:r w:rsidR="00646B67" w:rsidRPr="00164FF2">
        <w:rPr>
          <w:i/>
          <w:iCs/>
          <w:szCs w:val="24"/>
          <w:lang w:val="fr-BE"/>
        </w:rPr>
        <w:t xml:space="preserve"> </w:t>
      </w:r>
      <w:r w:rsidR="00646B67" w:rsidRPr="00164FF2">
        <w:rPr>
          <w:i/>
          <w:iCs/>
          <w:szCs w:val="24"/>
          <w:u w:val="single"/>
          <w:lang w:val="fr-BE"/>
        </w:rPr>
        <w:t xml:space="preserve">une désignation officielle de transport, </w:t>
      </w:r>
      <w:r w:rsidR="00646B67" w:rsidRPr="00164FF2">
        <w:rPr>
          <w:bCs/>
          <w:i/>
          <w:iCs/>
          <w:szCs w:val="24"/>
          <w:u w:val="single"/>
          <w:lang w:val="fr-BE"/>
        </w:rPr>
        <w:t>un</w:t>
      </w:r>
      <w:r w:rsidR="00646B67" w:rsidRPr="00164FF2">
        <w:rPr>
          <w:i/>
          <w:iCs/>
          <w:szCs w:val="24"/>
          <w:u w:val="single"/>
          <w:lang w:val="fr-BE"/>
        </w:rPr>
        <w:t xml:space="preserve"> numéro ONU, ou </w:t>
      </w:r>
      <w:r w:rsidR="00646B67" w:rsidRPr="00164FF2">
        <w:rPr>
          <w:bCs/>
          <w:i/>
          <w:iCs/>
          <w:szCs w:val="24"/>
          <w:u w:val="single"/>
          <w:lang w:val="fr-BE"/>
        </w:rPr>
        <w:t>un</w:t>
      </w:r>
      <w:r w:rsidR="00646B67" w:rsidRPr="00164FF2">
        <w:rPr>
          <w:i/>
          <w:iCs/>
          <w:szCs w:val="24"/>
          <w:u w:val="single"/>
          <w:lang w:val="fr-BE"/>
        </w:rPr>
        <w:t xml:space="preserve"> groupe d’emballage différent.</w:t>
      </w:r>
      <w:r>
        <w:rPr>
          <w:i/>
          <w:iCs/>
          <w:szCs w:val="24"/>
          <w:lang w:val="fr-BE"/>
        </w:rPr>
        <w:t> </w:t>
      </w:r>
      <w:r w:rsidR="00646B67" w:rsidRPr="0040752E">
        <w:rPr>
          <w:iCs/>
          <w:szCs w:val="24"/>
          <w:lang w:val="fr-BE"/>
        </w:rPr>
        <w:t>».</w:t>
      </w:r>
    </w:p>
    <w:p w:rsidR="00446FE5" w:rsidRPr="00164FF2" w:rsidRDefault="00646B67" w:rsidP="00646B67">
      <w:pPr>
        <w:pStyle w:val="SingleTxtG"/>
        <w:spacing w:before="240" w:after="0"/>
        <w:jc w:val="center"/>
        <w:rPr>
          <w:u w:val="single"/>
        </w:rPr>
      </w:pPr>
      <w:r w:rsidRPr="00164FF2">
        <w:rPr>
          <w:u w:val="single"/>
        </w:rPr>
        <w:tab/>
      </w:r>
      <w:r w:rsidRPr="00164FF2">
        <w:rPr>
          <w:u w:val="single"/>
        </w:rPr>
        <w:tab/>
      </w:r>
      <w:r w:rsidRPr="00164FF2">
        <w:rPr>
          <w:u w:val="single"/>
        </w:rPr>
        <w:tab/>
      </w:r>
    </w:p>
    <w:sectPr w:rsidR="00446FE5" w:rsidRPr="00164FF2" w:rsidSect="00646B6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22" w:rsidRDefault="00682722" w:rsidP="00F95C08">
      <w:pPr>
        <w:spacing w:line="240" w:lineRule="auto"/>
      </w:pPr>
    </w:p>
  </w:endnote>
  <w:endnote w:type="continuationSeparator" w:id="0">
    <w:p w:rsidR="00682722" w:rsidRPr="00AC3823" w:rsidRDefault="00682722" w:rsidP="00AC3823">
      <w:pPr>
        <w:pStyle w:val="Footer"/>
      </w:pPr>
    </w:p>
  </w:endnote>
  <w:endnote w:type="continuationNotice" w:id="1">
    <w:p w:rsidR="00682722" w:rsidRDefault="006827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67" w:rsidRPr="00646B67" w:rsidRDefault="00646B67" w:rsidP="00646B67">
    <w:pPr>
      <w:pStyle w:val="Footer"/>
      <w:tabs>
        <w:tab w:val="right" w:pos="9638"/>
      </w:tabs>
    </w:pPr>
    <w:r w:rsidRPr="00646B67">
      <w:rPr>
        <w:b/>
        <w:sz w:val="18"/>
      </w:rPr>
      <w:fldChar w:fldCharType="begin"/>
    </w:r>
    <w:r w:rsidRPr="00646B67">
      <w:rPr>
        <w:b/>
        <w:sz w:val="18"/>
      </w:rPr>
      <w:instrText xml:space="preserve"> PAGE  \* MERGEFORMAT </w:instrText>
    </w:r>
    <w:r w:rsidRPr="00646B67">
      <w:rPr>
        <w:b/>
        <w:sz w:val="18"/>
      </w:rPr>
      <w:fldChar w:fldCharType="separate"/>
    </w:r>
    <w:r w:rsidRPr="00646B67">
      <w:rPr>
        <w:b/>
        <w:noProof/>
        <w:sz w:val="18"/>
      </w:rPr>
      <w:t>2</w:t>
    </w:r>
    <w:r w:rsidRPr="00646B67">
      <w:rPr>
        <w:b/>
        <w:sz w:val="18"/>
      </w:rPr>
      <w:fldChar w:fldCharType="end"/>
    </w:r>
    <w:r>
      <w:rPr>
        <w:b/>
        <w:sz w:val="18"/>
      </w:rPr>
      <w:tab/>
    </w:r>
    <w:r>
      <w:t>GE.18-14011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67" w:rsidRPr="00646B67" w:rsidRDefault="00646B67" w:rsidP="00646B67">
    <w:pPr>
      <w:pStyle w:val="Footer"/>
      <w:tabs>
        <w:tab w:val="right" w:pos="9638"/>
      </w:tabs>
      <w:rPr>
        <w:b/>
        <w:sz w:val="18"/>
      </w:rPr>
    </w:pPr>
    <w:r>
      <w:t>GE.18-14011</w:t>
    </w:r>
    <w:r>
      <w:tab/>
    </w:r>
    <w:r w:rsidRPr="00646B67">
      <w:rPr>
        <w:b/>
        <w:sz w:val="18"/>
      </w:rPr>
      <w:fldChar w:fldCharType="begin"/>
    </w:r>
    <w:r w:rsidRPr="00646B67">
      <w:rPr>
        <w:b/>
        <w:sz w:val="18"/>
      </w:rPr>
      <w:instrText xml:space="preserve"> PAGE  \* MERGEFORMAT </w:instrText>
    </w:r>
    <w:r w:rsidRPr="00646B67">
      <w:rPr>
        <w:b/>
        <w:sz w:val="18"/>
      </w:rPr>
      <w:fldChar w:fldCharType="separate"/>
    </w:r>
    <w:r w:rsidRPr="00646B67">
      <w:rPr>
        <w:b/>
        <w:noProof/>
        <w:sz w:val="18"/>
      </w:rPr>
      <w:t>3</w:t>
    </w:r>
    <w:r w:rsidRPr="00646B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646B67" w:rsidRDefault="00646B67" w:rsidP="00646B6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14011  (</w:t>
    </w:r>
    <w:proofErr w:type="gramEnd"/>
    <w:r>
      <w:rPr>
        <w:sz w:val="20"/>
      </w:rPr>
      <w:t>F)    240918    011018</w:t>
    </w:r>
    <w:r>
      <w:rPr>
        <w:sz w:val="20"/>
      </w:rPr>
      <w:br/>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sidRPr="00646B6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22" w:rsidRPr="00AC3823" w:rsidRDefault="00682722" w:rsidP="00AC3823">
      <w:pPr>
        <w:pStyle w:val="Footer"/>
        <w:tabs>
          <w:tab w:val="right" w:pos="2155"/>
        </w:tabs>
        <w:spacing w:after="80" w:line="240" w:lineRule="atLeast"/>
        <w:ind w:left="680"/>
        <w:rPr>
          <w:u w:val="single"/>
        </w:rPr>
      </w:pPr>
      <w:r>
        <w:rPr>
          <w:u w:val="single"/>
        </w:rPr>
        <w:tab/>
      </w:r>
    </w:p>
  </w:footnote>
  <w:footnote w:type="continuationSeparator" w:id="0">
    <w:p w:rsidR="00682722" w:rsidRPr="00AC3823" w:rsidRDefault="00682722" w:rsidP="00AC3823">
      <w:pPr>
        <w:pStyle w:val="Footer"/>
        <w:tabs>
          <w:tab w:val="right" w:pos="2155"/>
        </w:tabs>
        <w:spacing w:after="80" w:line="240" w:lineRule="atLeast"/>
        <w:ind w:left="680"/>
        <w:rPr>
          <w:u w:val="single"/>
        </w:rPr>
      </w:pPr>
      <w:r>
        <w:rPr>
          <w:u w:val="single"/>
        </w:rPr>
        <w:tab/>
      </w:r>
    </w:p>
  </w:footnote>
  <w:footnote w:type="continuationNotice" w:id="1">
    <w:p w:rsidR="00682722" w:rsidRPr="00AC3823" w:rsidRDefault="00682722">
      <w:pPr>
        <w:spacing w:line="240" w:lineRule="auto"/>
        <w:rPr>
          <w:sz w:val="2"/>
          <w:szCs w:val="2"/>
        </w:rPr>
      </w:pPr>
    </w:p>
  </w:footnote>
  <w:footnote w:id="2">
    <w:p w:rsidR="00646B67" w:rsidRPr="00646B67" w:rsidRDefault="00646B67" w:rsidP="00646B67">
      <w:pPr>
        <w:pStyle w:val="FootnoteText"/>
        <w:rPr>
          <w:color w:val="333333"/>
          <w:shd w:val="clear" w:color="auto" w:fill="FFFFFF"/>
        </w:rPr>
      </w:pPr>
      <w:r>
        <w:rPr>
          <w:rStyle w:val="spelle"/>
          <w:color w:val="000000"/>
        </w:rPr>
        <w:tab/>
      </w:r>
      <w:r w:rsidRPr="00646B67">
        <w:rPr>
          <w:rStyle w:val="FootnoteReference"/>
        </w:rPr>
        <w:footnoteRef/>
      </w:r>
      <w:r>
        <w:rPr>
          <w:rStyle w:val="spelle"/>
          <w:color w:val="000000"/>
        </w:rPr>
        <w:tab/>
      </w:r>
      <w:r w:rsidRPr="000D7468">
        <w:rPr>
          <w:rStyle w:val="spelle"/>
          <w:color w:val="000000"/>
        </w:rPr>
        <w:t>Conformément</w:t>
      </w:r>
      <w:r w:rsidR="00164FF2">
        <w:t xml:space="preserve"> </w:t>
      </w:r>
      <w:r w:rsidRPr="000D7468">
        <w:t>au</w:t>
      </w:r>
      <w:r w:rsidR="00164FF2">
        <w:t xml:space="preserve"> </w:t>
      </w:r>
      <w:r w:rsidRPr="000D7468">
        <w:rPr>
          <w:rStyle w:val="spelle"/>
          <w:color w:val="000000"/>
        </w:rPr>
        <w:t>programme</w:t>
      </w:r>
      <w:r w:rsidR="00164FF2">
        <w:t xml:space="preserve"> </w:t>
      </w:r>
      <w:r w:rsidRPr="000D7468">
        <w:t xml:space="preserve">de travail du Sous-Comité pour la période biennale 2017-2018, </w:t>
      </w:r>
      <w:r w:rsidRPr="000D7468">
        <w:rPr>
          <w:color w:val="333333"/>
          <w:shd w:val="clear" w:color="auto" w:fill="FFFFFF"/>
        </w:rPr>
        <w:t>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67" w:rsidRPr="00646B67" w:rsidRDefault="00C26E21">
    <w:pPr>
      <w:pStyle w:val="Header"/>
    </w:pPr>
    <w:r>
      <w:fldChar w:fldCharType="begin"/>
    </w:r>
    <w:r>
      <w:instrText xml:space="preserve"> TITLE  \* MERGEFORMAT </w:instrText>
    </w:r>
    <w:r>
      <w:fldChar w:fldCharType="separate"/>
    </w:r>
    <w:r>
      <w:t>ST/SG/AC.10/C.3/2018/69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B67" w:rsidRPr="00646B67" w:rsidRDefault="00C26E21" w:rsidP="00646B67">
    <w:pPr>
      <w:pStyle w:val="Header"/>
      <w:jc w:val="right"/>
    </w:pPr>
    <w:r>
      <w:fldChar w:fldCharType="begin"/>
    </w:r>
    <w:r>
      <w:instrText xml:space="preserve"> TITLE  \* MERGEFORMAT </w:instrText>
    </w:r>
    <w:r>
      <w:fldChar w:fldCharType="separate"/>
    </w:r>
    <w:r>
      <w:t>ST/SG/AC.10/C.3/2018/69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22"/>
    <w:rsid w:val="00017F94"/>
    <w:rsid w:val="00023842"/>
    <w:rsid w:val="000305D3"/>
    <w:rsid w:val="000334F9"/>
    <w:rsid w:val="0007796D"/>
    <w:rsid w:val="000B7790"/>
    <w:rsid w:val="00111F2F"/>
    <w:rsid w:val="00132EA9"/>
    <w:rsid w:val="0014365E"/>
    <w:rsid w:val="00164FF2"/>
    <w:rsid w:val="00176178"/>
    <w:rsid w:val="001F525A"/>
    <w:rsid w:val="00223272"/>
    <w:rsid w:val="0024779E"/>
    <w:rsid w:val="00283190"/>
    <w:rsid w:val="002832AC"/>
    <w:rsid w:val="002D7C93"/>
    <w:rsid w:val="0037470A"/>
    <w:rsid w:val="0040752E"/>
    <w:rsid w:val="00441C3B"/>
    <w:rsid w:val="00446FE5"/>
    <w:rsid w:val="00452396"/>
    <w:rsid w:val="004669F3"/>
    <w:rsid w:val="004E468C"/>
    <w:rsid w:val="004F1617"/>
    <w:rsid w:val="0050591E"/>
    <w:rsid w:val="005505B7"/>
    <w:rsid w:val="00573BE5"/>
    <w:rsid w:val="00584DC4"/>
    <w:rsid w:val="00586ED3"/>
    <w:rsid w:val="00596AA9"/>
    <w:rsid w:val="005D702D"/>
    <w:rsid w:val="00646B67"/>
    <w:rsid w:val="00682722"/>
    <w:rsid w:val="0068456F"/>
    <w:rsid w:val="0071601D"/>
    <w:rsid w:val="00720791"/>
    <w:rsid w:val="007A62E6"/>
    <w:rsid w:val="007A7C22"/>
    <w:rsid w:val="007E07A0"/>
    <w:rsid w:val="00803A0B"/>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26E21"/>
    <w:rsid w:val="00C87F48"/>
    <w:rsid w:val="00D3439C"/>
    <w:rsid w:val="00D62B27"/>
    <w:rsid w:val="00DB1831"/>
    <w:rsid w:val="00DD3BFD"/>
    <w:rsid w:val="00DF6678"/>
    <w:rsid w:val="00E27CE0"/>
    <w:rsid w:val="00EA1DFB"/>
    <w:rsid w:val="00EF2E22"/>
    <w:rsid w:val="00F01738"/>
    <w:rsid w:val="00F31451"/>
    <w:rsid w:val="00F4464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202B9E-4387-4BD6-BA3B-B6FE8E1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pelle">
    <w:name w:val="spelle"/>
    <w:basedOn w:val="DefaultParagraphFont"/>
    <w:rsid w:val="00646B67"/>
  </w:style>
  <w:style w:type="character" w:customStyle="1" w:styleId="SingleTxtGChar">
    <w:name w:val="_ Single Txt_G Char"/>
    <w:link w:val="SingleTxtG"/>
    <w:rsid w:val="00646B67"/>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164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fr/ST/SG/AC.10/C.3/10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35DA-015B-47F3-967B-9AD75C19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ST/SG/AC.10/C.3/2018/69</vt:lpstr>
      <vt:lpstr>ST/SG/AC.10/C.3/2018/69</vt:lpstr>
    </vt:vector>
  </TitlesOfParts>
  <Company>DCM</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ST/SG/AC.10/C.3/2018/69</dc:title>
  <dc:subject/>
  <dc:creator>Isabelle VIGNY</dc:creator>
  <cp:keywords/>
  <cp:lastModifiedBy>Laurence Berthet</cp:lastModifiedBy>
  <cp:revision>3</cp:revision>
  <cp:lastPrinted>2018-11-06T14:21:00Z</cp:lastPrinted>
  <dcterms:created xsi:type="dcterms:W3CDTF">2018-11-06T14:21:00Z</dcterms:created>
  <dcterms:modified xsi:type="dcterms:W3CDTF">2018-11-06T14:21:00Z</dcterms:modified>
</cp:coreProperties>
</file>