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3B782D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F02A23">
              <w:t>8</w:t>
            </w:r>
            <w:r>
              <w:t>/</w:t>
            </w:r>
            <w:r w:rsidR="0045354F">
              <w:t>49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F81FBF" w:rsidP="006D12B1">
            <w:pPr>
              <w:spacing w:line="240" w:lineRule="exact"/>
            </w:pPr>
            <w:r>
              <w:t>5</w:t>
            </w:r>
            <w:r w:rsidR="0045354F">
              <w:t xml:space="preserve"> April 2018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3B782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3B782D">
            <w:pPr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>
              <w:rPr>
                <w:b/>
              </w:rPr>
              <w:t>ifty-</w:t>
            </w:r>
            <w:r w:rsidR="00F02A23">
              <w:rPr>
                <w:b/>
              </w:rPr>
              <w:t>thir</w:t>
            </w:r>
            <w:r w:rsidR="00004671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3B782D">
              <w:rPr>
                <w:lang w:val="en-US"/>
              </w:rPr>
              <w:t>2</w:t>
            </w:r>
            <w:r w:rsidR="00F02A23">
              <w:rPr>
                <w:lang w:val="en-US"/>
              </w:rPr>
              <w:t>5</w:t>
            </w:r>
            <w:r w:rsidR="003B782D">
              <w:rPr>
                <w:lang w:val="en-US"/>
              </w:rPr>
              <w:t xml:space="preserve"> </w:t>
            </w:r>
            <w:r w:rsidR="0045354F">
              <w:rPr>
                <w:lang w:val="en-US"/>
              </w:rPr>
              <w:t>June-</w:t>
            </w:r>
            <w:r w:rsidR="00F02A23">
              <w:rPr>
                <w:lang w:val="en-US"/>
              </w:rPr>
              <w:t>4</w:t>
            </w:r>
            <w:r w:rsidR="00004671">
              <w:rPr>
                <w:lang w:val="en-US"/>
              </w:rPr>
              <w:t xml:space="preserve"> </w:t>
            </w:r>
            <w:r w:rsidR="00F02A23">
              <w:rPr>
                <w:lang w:val="en-US"/>
              </w:rPr>
              <w:t>July</w:t>
            </w:r>
            <w:r w:rsidR="00004671" w:rsidRPr="00A55C80">
              <w:rPr>
                <w:lang w:val="en-US"/>
              </w:rPr>
              <w:t xml:space="preserve"> </w:t>
            </w:r>
            <w:r w:rsidRPr="00876878">
              <w:t>201</w:t>
            </w:r>
            <w:r w:rsidR="00F02A23">
              <w:t>8</w:t>
            </w:r>
          </w:p>
          <w:p w:rsidR="00832EED" w:rsidRPr="00F54DDA" w:rsidRDefault="00832EED" w:rsidP="00832EED">
            <w:pPr>
              <w:ind w:left="34" w:hanging="34"/>
            </w:pPr>
            <w:r w:rsidRPr="00F54DDA">
              <w:t>Item</w:t>
            </w:r>
            <w:r>
              <w:t xml:space="preserve"> 3</w:t>
            </w:r>
            <w:r w:rsidRPr="00F54DDA">
              <w:t xml:space="preserve"> of the provisional agenda</w:t>
            </w:r>
          </w:p>
          <w:p w:rsidR="009B371C" w:rsidRPr="00876878" w:rsidRDefault="00832EED" w:rsidP="00832EED">
            <w:pPr>
              <w:spacing w:after="120"/>
              <w:ind w:right="199"/>
              <w:rPr>
                <w:b/>
              </w:rPr>
            </w:pPr>
            <w:r>
              <w:rPr>
                <w:b/>
              </w:rPr>
              <w:t>L</w:t>
            </w:r>
            <w:r w:rsidRPr="00E64083">
              <w:rPr>
                <w:b/>
              </w:rPr>
              <w:t>isting, classification and packing</w:t>
            </w:r>
          </w:p>
        </w:tc>
      </w:tr>
    </w:tbl>
    <w:p w:rsidR="00832EED" w:rsidRPr="00977526" w:rsidRDefault="00832EED" w:rsidP="00832EED">
      <w:pPr>
        <w:pStyle w:val="HCh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Multiple marking of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>,</w:t>
      </w:r>
      <w:r w:rsidRPr="005A78D0">
        <w:t xml:space="preserve"> </w:t>
      </w:r>
      <w:r w:rsidRPr="005A78D0">
        <w:rPr>
          <w:lang w:val="en-US"/>
        </w:rPr>
        <w:t xml:space="preserve">including </w:t>
      </w:r>
      <w:r w:rsidR="00F81FBF">
        <w:rPr>
          <w:lang w:val="en-US"/>
        </w:rPr>
        <w:t>intermediate bulk containers (</w:t>
      </w:r>
      <w:r w:rsidRPr="005A78D0">
        <w:rPr>
          <w:lang w:val="en-US"/>
        </w:rPr>
        <w:t>IBCs</w:t>
      </w:r>
      <w:r w:rsidR="00F81FBF">
        <w:rPr>
          <w:lang w:val="en-US"/>
        </w:rPr>
        <w:t>)</w:t>
      </w:r>
      <w:r w:rsidRPr="005A78D0">
        <w:rPr>
          <w:lang w:val="en-US"/>
        </w:rPr>
        <w:t xml:space="preserve"> and large </w:t>
      </w:r>
      <w:proofErr w:type="spellStart"/>
      <w:r w:rsidRPr="005A78D0">
        <w:rPr>
          <w:lang w:val="en-US"/>
        </w:rPr>
        <w:t>packagings</w:t>
      </w:r>
      <w:proofErr w:type="spellEnd"/>
      <w:r>
        <w:rPr>
          <w:lang w:val="en-US"/>
        </w:rPr>
        <w:t>, indicating conform</w:t>
      </w:r>
      <w:r w:rsidR="00F91EA1">
        <w:rPr>
          <w:lang w:val="en-US"/>
        </w:rPr>
        <w:t>ity with</w:t>
      </w:r>
      <w:r>
        <w:rPr>
          <w:lang w:val="en-US"/>
        </w:rPr>
        <w:t xml:space="preserve"> </w:t>
      </w:r>
      <w:r w:rsidR="00D84A21">
        <w:rPr>
          <w:lang w:val="en-US"/>
        </w:rPr>
        <w:t>more th</w:t>
      </w:r>
      <w:r w:rsidR="00861943">
        <w:rPr>
          <w:lang w:val="en-US"/>
        </w:rPr>
        <w:t>an one</w:t>
      </w:r>
      <w:r>
        <w:rPr>
          <w:lang w:val="en-US"/>
        </w:rPr>
        <w:t xml:space="preserve"> </w:t>
      </w:r>
      <w:r w:rsidR="00861943">
        <w:rPr>
          <w:lang w:val="en-US"/>
        </w:rPr>
        <w:t>successfully tested design type</w:t>
      </w:r>
      <w:r w:rsidR="00F02A23">
        <w:rPr>
          <w:lang w:val="en-US"/>
        </w:rPr>
        <w:t xml:space="preserve"> (part II)</w:t>
      </w:r>
    </w:p>
    <w:p w:rsidR="008E071B" w:rsidRDefault="00832EED" w:rsidP="003B782D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Pr="004061CF">
        <w:rPr>
          <w:lang w:val="en-US"/>
        </w:rPr>
        <w:t xml:space="preserve">Transmitted by the </w:t>
      </w:r>
      <w:r w:rsidRPr="00F51F72">
        <w:t xml:space="preserve">European </w:t>
      </w:r>
      <w:r w:rsidRPr="003B782D">
        <w:t>Chemical</w:t>
      </w:r>
      <w:r w:rsidRPr="00F51F72">
        <w:t xml:space="preserve"> Industry Council (CEFIC)</w:t>
      </w:r>
      <w:r>
        <w:t xml:space="preserve"> </w:t>
      </w:r>
      <w:r>
        <w:br/>
        <w:t xml:space="preserve">and the </w:t>
      </w:r>
      <w:r w:rsidRPr="0065455F">
        <w:t>Dangerous Goods Advisory Council</w:t>
      </w:r>
      <w:r>
        <w:t xml:space="preserve"> (DGAC)</w:t>
      </w:r>
      <w:r w:rsidR="009F4BF2" w:rsidRPr="00D1626A">
        <w:rPr>
          <w:rStyle w:val="FootnoteReference"/>
          <w:sz w:val="20"/>
        </w:rPr>
        <w:footnoteReference w:id="2"/>
      </w:r>
    </w:p>
    <w:p w:rsidR="008E071B" w:rsidRDefault="008E071B" w:rsidP="00E05346">
      <w:pPr>
        <w:pStyle w:val="HChG"/>
      </w:pPr>
      <w:r>
        <w:tab/>
      </w:r>
      <w:r>
        <w:tab/>
        <w:t>Introduction</w:t>
      </w:r>
    </w:p>
    <w:p w:rsidR="00A20C74" w:rsidRDefault="00A20C74" w:rsidP="00F627B2">
      <w:pPr>
        <w:pStyle w:val="SingleTxtG"/>
        <w:numPr>
          <w:ilvl w:val="0"/>
          <w:numId w:val="27"/>
        </w:numPr>
        <w:ind w:left="1134" w:firstLine="0"/>
      </w:pPr>
      <w:r>
        <w:t xml:space="preserve">At the fifty-second session of the </w:t>
      </w:r>
      <w:r w:rsidR="00F627B2">
        <w:t>Sub-Committee</w:t>
      </w:r>
      <w:r w:rsidR="006C1A2D">
        <w:t>,</w:t>
      </w:r>
      <w:r>
        <w:t xml:space="preserve"> </w:t>
      </w:r>
      <w:r w:rsidR="00F627B2">
        <w:t xml:space="preserve">CEFIC and DGAC raised the topic of </w:t>
      </w:r>
      <w:r w:rsidR="00F627B2">
        <w:rPr>
          <w:lang w:val="en-US"/>
        </w:rPr>
        <w:t xml:space="preserve">multiple marking of </w:t>
      </w:r>
      <w:proofErr w:type="spellStart"/>
      <w:r w:rsidR="00F627B2">
        <w:rPr>
          <w:lang w:val="en-US"/>
        </w:rPr>
        <w:t>packagings</w:t>
      </w:r>
      <w:proofErr w:type="spellEnd"/>
      <w:r w:rsidR="00F627B2">
        <w:rPr>
          <w:lang w:val="en-US"/>
        </w:rPr>
        <w:t>,</w:t>
      </w:r>
      <w:r w:rsidR="00F627B2" w:rsidRPr="005A78D0">
        <w:t xml:space="preserve"> </w:t>
      </w:r>
      <w:r w:rsidR="00F627B2" w:rsidRPr="005A78D0">
        <w:rPr>
          <w:lang w:val="en-US"/>
        </w:rPr>
        <w:t xml:space="preserve">including IBCs and large </w:t>
      </w:r>
      <w:proofErr w:type="spellStart"/>
      <w:r w:rsidR="00F627B2" w:rsidRPr="005A78D0">
        <w:rPr>
          <w:lang w:val="en-US"/>
        </w:rPr>
        <w:t>packagings</w:t>
      </w:r>
      <w:proofErr w:type="spellEnd"/>
      <w:r w:rsidR="00F627B2">
        <w:rPr>
          <w:lang w:val="en-US"/>
        </w:rPr>
        <w:t>, indicating conformity with more than one successfully tested design type</w:t>
      </w:r>
      <w:r w:rsidR="006C1A2D">
        <w:rPr>
          <w:lang w:val="en-US"/>
        </w:rPr>
        <w:t>.</w:t>
      </w:r>
      <w:r w:rsidR="00F627B2">
        <w:t xml:space="preserve"> </w:t>
      </w:r>
      <w:r w:rsidR="006C1A2D">
        <w:t xml:space="preserve">Their document ST/SG/AC.10/C.3/2017/36 </w:t>
      </w:r>
      <w:r>
        <w:t xml:space="preserve">together with </w:t>
      </w:r>
      <w:r w:rsidR="00F81FBF">
        <w:t xml:space="preserve">informal document </w:t>
      </w:r>
      <w:r>
        <w:t xml:space="preserve">INF.23 </w:t>
      </w:r>
      <w:r w:rsidR="006C1A2D">
        <w:t xml:space="preserve">by </w:t>
      </w:r>
      <w:r w:rsidR="00F81FBF">
        <w:t>the International Confederation of Intermediate Bulk Containers Association (</w:t>
      </w:r>
      <w:r w:rsidR="006C1A2D">
        <w:t>ICIBCA</w:t>
      </w:r>
      <w:r w:rsidR="00F81FBF">
        <w:t>)</w:t>
      </w:r>
      <w:r w:rsidR="006C1A2D">
        <w:t xml:space="preserve"> </w:t>
      </w:r>
      <w:r w:rsidR="00F81FBF">
        <w:t>and informal document INF.</w:t>
      </w:r>
      <w:r>
        <w:t xml:space="preserve">45 </w:t>
      </w:r>
      <w:r w:rsidR="006C1A2D">
        <w:t xml:space="preserve">by </w:t>
      </w:r>
      <w:r w:rsidR="00F81FBF">
        <w:t xml:space="preserve">the International Confederation of Container </w:t>
      </w:r>
      <w:proofErr w:type="spellStart"/>
      <w:r w:rsidR="00F81FBF">
        <w:t>Reconditioners</w:t>
      </w:r>
      <w:proofErr w:type="spellEnd"/>
      <w:r w:rsidR="00F81FBF">
        <w:t xml:space="preserve"> (</w:t>
      </w:r>
      <w:r w:rsidR="006C1A2D">
        <w:t>ICCR</w:t>
      </w:r>
      <w:r w:rsidR="00F81FBF">
        <w:t>)</w:t>
      </w:r>
      <w:r w:rsidR="006C1A2D">
        <w:t xml:space="preserve"> </w:t>
      </w:r>
      <w:r>
        <w:t xml:space="preserve">were discussed </w:t>
      </w:r>
      <w:r w:rsidR="00F627B2">
        <w:t>with focus on two aspects</w:t>
      </w:r>
      <w:r>
        <w:t>:</w:t>
      </w:r>
    </w:p>
    <w:p w:rsidR="00A20C74" w:rsidRDefault="00A20C74" w:rsidP="00A20C74">
      <w:pPr>
        <w:pStyle w:val="Bullet1G"/>
        <w:numPr>
          <w:ilvl w:val="0"/>
          <w:numId w:val="26"/>
        </w:numPr>
        <w:tabs>
          <w:tab w:val="clear" w:pos="1701"/>
        </w:tabs>
        <w:ind w:left="1985" w:hanging="283"/>
      </w:pPr>
      <w:r>
        <w:t xml:space="preserve">General permissibility of multiple UN marks applied to packages based on the conformance to </w:t>
      </w:r>
      <w:r w:rsidR="006B5E7A">
        <w:t xml:space="preserve">one or </w:t>
      </w:r>
      <w:r>
        <w:t>more than one successfully tested design type.</w:t>
      </w:r>
    </w:p>
    <w:p w:rsidR="00A20C74" w:rsidRDefault="00A20C74" w:rsidP="00A20C74">
      <w:pPr>
        <w:pStyle w:val="Bullet1G"/>
        <w:numPr>
          <w:ilvl w:val="0"/>
          <w:numId w:val="26"/>
        </w:numPr>
        <w:tabs>
          <w:tab w:val="clear" w:pos="1701"/>
        </w:tabs>
        <w:ind w:left="1985" w:hanging="283"/>
      </w:pPr>
      <w:r>
        <w:t xml:space="preserve">Permissibility of multiple approvals for packages that simultaneously conform to </w:t>
      </w:r>
      <w:r w:rsidR="005E53D8">
        <w:t xml:space="preserve">more </w:t>
      </w:r>
      <w:r w:rsidR="001A558D">
        <w:t xml:space="preserve">than one </w:t>
      </w:r>
      <w:r>
        <w:t xml:space="preserve">design type of </w:t>
      </w:r>
      <w:r w:rsidR="00FB0284">
        <w:t xml:space="preserve">the same or </w:t>
      </w:r>
      <w:r>
        <w:t>different kind and category</w:t>
      </w:r>
      <w:r w:rsidR="006C1A2D">
        <w:t>.</w:t>
      </w:r>
    </w:p>
    <w:p w:rsidR="00DF144B" w:rsidRDefault="006C1A2D" w:rsidP="002671A8">
      <w:pPr>
        <w:pStyle w:val="SingleTxtG"/>
        <w:numPr>
          <w:ilvl w:val="0"/>
          <w:numId w:val="27"/>
        </w:numPr>
        <w:ind w:left="1134" w:firstLine="0"/>
      </w:pPr>
      <w:r>
        <w:t>In a first step c</w:t>
      </w:r>
      <w:r w:rsidR="00A20C74">
        <w:t xml:space="preserve">onsensus was reached on the permissibility of the current practice to issue multiple approvals for successfully tested design types which belong to the same regime of </w:t>
      </w:r>
      <w:r>
        <w:t>packages</w:t>
      </w:r>
      <w:r w:rsidR="00AC1B07">
        <w:t xml:space="preserve">. </w:t>
      </w:r>
      <w:r w:rsidR="00D51B00">
        <w:t xml:space="preserve">Based on </w:t>
      </w:r>
      <w:r w:rsidR="00F81FBF">
        <w:t xml:space="preserve">informal document </w:t>
      </w:r>
      <w:r w:rsidR="00D51B00">
        <w:t xml:space="preserve">INF.51 </w:t>
      </w:r>
      <w:r w:rsidR="002D1732">
        <w:t xml:space="preserve">by CEFIC and DGAC, </w:t>
      </w:r>
      <w:r w:rsidR="00D51B00">
        <w:t>a</w:t>
      </w:r>
      <w:r w:rsidR="00A20C74">
        <w:t xml:space="preserve">n interim text </w:t>
      </w:r>
      <w:r w:rsidR="002671A8">
        <w:t xml:space="preserve">was adopted for locations in Chapters 6.1, 6.5 and 6.6 </w:t>
      </w:r>
      <w:r w:rsidR="00AC1B07">
        <w:t>providing technical guidance</w:t>
      </w:r>
      <w:r w:rsidR="00CB5A4F">
        <w:t xml:space="preserve"> </w:t>
      </w:r>
      <w:r w:rsidR="007E6132">
        <w:t xml:space="preserve">where </w:t>
      </w:r>
      <w:r w:rsidR="007E6132">
        <w:lastRenderedPageBreak/>
        <w:t xml:space="preserve">required, </w:t>
      </w:r>
      <w:r w:rsidR="00AC1B07">
        <w:t xml:space="preserve">how to apply </w:t>
      </w:r>
      <w:r w:rsidR="00BE16D0">
        <w:t>simultaneously and in</w:t>
      </w:r>
      <w:r w:rsidR="00BE16D0" w:rsidRPr="002671A8">
        <w:t xml:space="preserve"> </w:t>
      </w:r>
      <w:r w:rsidR="00BE16D0" w:rsidRPr="00AC1B07">
        <w:t>an acceptable</w:t>
      </w:r>
      <w:r w:rsidR="00BE16D0">
        <w:t xml:space="preserve"> manner </w:t>
      </w:r>
      <w:r w:rsidR="002671A8">
        <w:t xml:space="preserve">the different </w:t>
      </w:r>
      <w:r w:rsidR="00D71E1A">
        <w:t>UN</w:t>
      </w:r>
      <w:r w:rsidR="00AC1B07" w:rsidRPr="00AC1B07">
        <w:t xml:space="preserve"> mark</w:t>
      </w:r>
      <w:r w:rsidR="002671A8">
        <w:t>s</w:t>
      </w:r>
      <w:r w:rsidR="00AC1B07" w:rsidRPr="00AC1B07">
        <w:t xml:space="preserve"> reflecting </w:t>
      </w:r>
      <w:r w:rsidR="00CB5A4F">
        <w:t xml:space="preserve">conformance to </w:t>
      </w:r>
      <w:r w:rsidR="00C77DF8">
        <w:t xml:space="preserve">more than one </w:t>
      </w:r>
      <w:r w:rsidR="00CB5A4F">
        <w:t xml:space="preserve">successful tested </w:t>
      </w:r>
      <w:r w:rsidR="00AC1B07" w:rsidRPr="00AC1B07">
        <w:t>design</w:t>
      </w:r>
      <w:r w:rsidR="00CB5A4F">
        <w:t xml:space="preserve"> type</w:t>
      </w:r>
      <w:r w:rsidR="00AC1B07">
        <w:t>.</w:t>
      </w:r>
    </w:p>
    <w:p w:rsidR="00FF3AE7" w:rsidRPr="00475CAC" w:rsidRDefault="00F7349B" w:rsidP="00284709">
      <w:pPr>
        <w:pStyle w:val="HChG"/>
      </w:pPr>
      <w:r>
        <w:tab/>
      </w:r>
      <w:r>
        <w:tab/>
        <w:t>Discuss</w:t>
      </w:r>
      <w:r w:rsidR="00FF3AE7">
        <w:t>ion</w:t>
      </w:r>
    </w:p>
    <w:p w:rsidR="00B63BC3" w:rsidRDefault="00160075" w:rsidP="008E38E6">
      <w:pPr>
        <w:pStyle w:val="SingleTxtG"/>
        <w:numPr>
          <w:ilvl w:val="0"/>
          <w:numId w:val="27"/>
        </w:numPr>
        <w:ind w:left="1134" w:firstLine="0"/>
      </w:pPr>
      <w:r>
        <w:t>T</w:t>
      </w:r>
      <w:r w:rsidR="00B63BC3">
        <w:t xml:space="preserve">he current document </w:t>
      </w:r>
      <w:r w:rsidR="00C80E70">
        <w:t>submitted by</w:t>
      </w:r>
      <w:r>
        <w:t xml:space="preserve"> </w:t>
      </w:r>
      <w:r w:rsidR="00B63BC3">
        <w:t>CEFIC and DGAC resume</w:t>
      </w:r>
      <w:r w:rsidR="007D3F4C">
        <w:t>s</w:t>
      </w:r>
      <w:r w:rsidR="00B63BC3">
        <w:t xml:space="preserve"> the topi</w:t>
      </w:r>
      <w:r>
        <w:t>c on multiple approved packages</w:t>
      </w:r>
      <w:r w:rsidR="002F794A">
        <w:t xml:space="preserve"> </w:t>
      </w:r>
      <w:r w:rsidR="007D3F4C">
        <w:t>and aims</w:t>
      </w:r>
      <w:r w:rsidR="00B63BC3">
        <w:t xml:space="preserve"> to address the remaining issue of multiple approvals overarching between </w:t>
      </w:r>
      <w:r w:rsidR="00A173D0">
        <w:t xml:space="preserve">the same or </w:t>
      </w:r>
      <w:r w:rsidR="00B63BC3">
        <w:t xml:space="preserve">different kinds </w:t>
      </w:r>
      <w:r w:rsidR="00F0012D">
        <w:t xml:space="preserve">and categories </w:t>
      </w:r>
      <w:r w:rsidR="00B63BC3">
        <w:t>o</w:t>
      </w:r>
      <w:r w:rsidR="00F0012D">
        <w:t>f packages.</w:t>
      </w:r>
    </w:p>
    <w:p w:rsidR="008E38E6" w:rsidRPr="00E07ECE" w:rsidRDefault="007855DD" w:rsidP="008E38E6">
      <w:pPr>
        <w:pStyle w:val="SingleTxtG"/>
        <w:numPr>
          <w:ilvl w:val="0"/>
          <w:numId w:val="27"/>
        </w:numPr>
        <w:ind w:left="1134" w:firstLine="0"/>
      </w:pPr>
      <w:r>
        <w:t xml:space="preserve">When applying the concept of design type approvals </w:t>
      </w:r>
      <w:r w:rsidR="00E4580E">
        <w:t>consequen</w:t>
      </w:r>
      <w:r>
        <w:t>tly based on design criteria and performance test requirements,</w:t>
      </w:r>
      <w:r w:rsidRPr="00E07ECE" w:rsidDel="00C07858">
        <w:t xml:space="preserve"> </w:t>
      </w:r>
      <w:r>
        <w:t xml:space="preserve">it is obvious that certain designs and constructions, </w:t>
      </w:r>
      <w:r w:rsidR="00323E30">
        <w:t>e.g.</w:t>
      </w:r>
      <w:r>
        <w:t xml:space="preserve"> boxes and IBCs, may simultaneously provide compliance to various design types of different kind and category</w:t>
      </w:r>
      <w:r w:rsidRPr="008A63F3">
        <w:t xml:space="preserve"> </w:t>
      </w:r>
      <w:r w:rsidRPr="00E07ECE">
        <w:t xml:space="preserve">of </w:t>
      </w:r>
      <w:proofErr w:type="spellStart"/>
      <w:r w:rsidRPr="00E07ECE">
        <w:t>packagings</w:t>
      </w:r>
      <w:proofErr w:type="spellEnd"/>
      <w:r w:rsidRPr="00E07ECE">
        <w:t xml:space="preserve">, </w:t>
      </w:r>
      <w:r>
        <w:t xml:space="preserve">IBCs and large </w:t>
      </w:r>
      <w:proofErr w:type="spellStart"/>
      <w:r>
        <w:t>packagings</w:t>
      </w:r>
      <w:proofErr w:type="spellEnd"/>
      <w:r>
        <w:t xml:space="preserve"> as well. </w:t>
      </w:r>
      <w:r w:rsidRPr="00E07ECE">
        <w:t xml:space="preserve">For the sake of </w:t>
      </w:r>
      <w:r>
        <w:t xml:space="preserve">legal certainty and to support </w:t>
      </w:r>
      <w:r w:rsidRPr="00E07ECE">
        <w:t xml:space="preserve">flexibility in </w:t>
      </w:r>
      <w:r>
        <w:t xml:space="preserve">service, multiple approvals for </w:t>
      </w:r>
      <w:proofErr w:type="spellStart"/>
      <w:r w:rsidRPr="00E07ECE">
        <w:t>packaging</w:t>
      </w:r>
      <w:r>
        <w:t>s</w:t>
      </w:r>
      <w:proofErr w:type="spellEnd"/>
      <w:r>
        <w:t xml:space="preserve">, </w:t>
      </w:r>
      <w:r w:rsidRPr="008E38E6">
        <w:t xml:space="preserve">including IBCs and large </w:t>
      </w:r>
      <w:proofErr w:type="spellStart"/>
      <w:r w:rsidRPr="008E38E6">
        <w:t>packagings</w:t>
      </w:r>
      <w:proofErr w:type="spellEnd"/>
      <w:r w:rsidRPr="008E38E6">
        <w:t>,</w:t>
      </w:r>
      <w:r>
        <w:t xml:space="preserve"> should be permissible to certify conformance to any successfully tested design type of the same or different kind and category.</w:t>
      </w:r>
    </w:p>
    <w:p w:rsidR="00FF3AE7" w:rsidRPr="00F7349B" w:rsidRDefault="009B7D7D" w:rsidP="00F7349B">
      <w:pPr>
        <w:pStyle w:val="SingleTxtG"/>
        <w:numPr>
          <w:ilvl w:val="0"/>
          <w:numId w:val="27"/>
        </w:numPr>
        <w:ind w:left="1134" w:firstLine="0"/>
      </w:pPr>
      <w:r>
        <w:t xml:space="preserve">It should be explicitly allowed in the regulations to apply </w:t>
      </w:r>
      <w:r w:rsidRPr="00E07ECE">
        <w:t xml:space="preserve">the specific marks to the </w:t>
      </w:r>
      <w:proofErr w:type="spellStart"/>
      <w:r w:rsidRPr="00E07ECE">
        <w:t>packaging</w:t>
      </w:r>
      <w:r>
        <w:t>s</w:t>
      </w:r>
      <w:proofErr w:type="spellEnd"/>
      <w:r>
        <w:t xml:space="preserve">, </w:t>
      </w:r>
      <w:r w:rsidRPr="008E38E6">
        <w:t xml:space="preserve">including IBCs and large </w:t>
      </w:r>
      <w:proofErr w:type="spellStart"/>
      <w:r w:rsidRPr="008E38E6">
        <w:t>packagings</w:t>
      </w:r>
      <w:proofErr w:type="spellEnd"/>
      <w:r w:rsidRPr="008E38E6">
        <w:t>,</w:t>
      </w:r>
      <w:r>
        <w:t xml:space="preserve"> </w:t>
      </w:r>
      <w:r w:rsidRPr="00E07ECE">
        <w:t>individually or in multiple combination</w:t>
      </w:r>
      <w:r>
        <w:t>,</w:t>
      </w:r>
      <w:r w:rsidRPr="00E07ECE">
        <w:t xml:space="preserve"> </w:t>
      </w:r>
      <w:proofErr w:type="gramStart"/>
      <w:r w:rsidRPr="00F525DE">
        <w:t>in close proximity to</w:t>
      </w:r>
      <w:proofErr w:type="gramEnd"/>
      <w:r w:rsidRPr="00F525DE">
        <w:t xml:space="preserve"> one another and in its entirety </w:t>
      </w:r>
      <w:r w:rsidRPr="00E07ECE">
        <w:t>to indicate</w:t>
      </w:r>
      <w:r>
        <w:t xml:space="preserve"> compliance to </w:t>
      </w:r>
      <w:r w:rsidR="004E7719">
        <w:t xml:space="preserve">any </w:t>
      </w:r>
      <w:r>
        <w:t>of the corresponding design types</w:t>
      </w:r>
      <w:r w:rsidRPr="00E07ECE">
        <w:t>.</w:t>
      </w:r>
      <w:r w:rsidR="00B63BC3">
        <w:t xml:space="preserve"> </w:t>
      </w:r>
      <w:r w:rsidR="00FF3AE7" w:rsidRPr="00F7349B">
        <w:t xml:space="preserve">The </w:t>
      </w:r>
      <w:r w:rsidR="00DD1C3A">
        <w:t xml:space="preserve">user shall be aware </w:t>
      </w:r>
      <w:r w:rsidR="000A74EE">
        <w:t>about the</w:t>
      </w:r>
      <w:r w:rsidR="00DD1C3A">
        <w:t xml:space="preserve"> </w:t>
      </w:r>
      <w:r w:rsidR="00FF3AE7" w:rsidRPr="00F7349B">
        <w:t xml:space="preserve">display of multiple </w:t>
      </w:r>
      <w:r w:rsidR="00F7349B">
        <w:t>design type</w:t>
      </w:r>
      <w:r w:rsidR="00FF3AE7" w:rsidRPr="00F7349B">
        <w:t xml:space="preserve"> certifications simultaneously on the same packag</w:t>
      </w:r>
      <w:r w:rsidR="00F7349B">
        <w:t>e</w:t>
      </w:r>
      <w:r w:rsidR="00FF3AE7" w:rsidRPr="00F7349B">
        <w:t xml:space="preserve"> </w:t>
      </w:r>
      <w:r w:rsidR="000A74EE">
        <w:t xml:space="preserve">to take advantage of </w:t>
      </w:r>
      <w:r w:rsidR="00FF3AE7" w:rsidRPr="00F7349B">
        <w:t>the full set of information about all safety-relevant performance parameters, which is of crucial importance to ensure safety and compliance within the packing process.</w:t>
      </w:r>
    </w:p>
    <w:p w:rsidR="0012636F" w:rsidRPr="00F7349B" w:rsidRDefault="0012636F" w:rsidP="000003FF">
      <w:pPr>
        <w:pStyle w:val="SingleTxtG"/>
        <w:numPr>
          <w:ilvl w:val="0"/>
          <w:numId w:val="27"/>
        </w:numPr>
        <w:ind w:left="1134" w:firstLine="0"/>
      </w:pPr>
      <w:r w:rsidRPr="00F7349B">
        <w:t xml:space="preserve">Without any compromise on safety, the use of multiple-approved </w:t>
      </w:r>
      <w:proofErr w:type="spellStart"/>
      <w:r w:rsidRPr="00F7349B">
        <w:t>packagings</w:t>
      </w:r>
      <w:proofErr w:type="spellEnd"/>
      <w:r>
        <w:t xml:space="preserve">, </w:t>
      </w:r>
      <w:r w:rsidRPr="00AC2E70">
        <w:rPr>
          <w:lang w:val="en-US"/>
        </w:rPr>
        <w:t xml:space="preserve">including IBCs and large </w:t>
      </w:r>
      <w:proofErr w:type="spellStart"/>
      <w:r w:rsidRPr="00AC2E70">
        <w:rPr>
          <w:lang w:val="en-US"/>
        </w:rPr>
        <w:t>packagings</w:t>
      </w:r>
      <w:proofErr w:type="spellEnd"/>
      <w:r w:rsidRPr="00AC2E70">
        <w:rPr>
          <w:lang w:val="en-US"/>
        </w:rPr>
        <w:t>,</w:t>
      </w:r>
      <w:r w:rsidRPr="00F7349B">
        <w:t xml:space="preserve"> is in full compliance with the </w:t>
      </w:r>
      <w:r w:rsidR="000C7DC8">
        <w:t xml:space="preserve">respective </w:t>
      </w:r>
      <w:r w:rsidRPr="00F7349B">
        <w:t xml:space="preserve">packing provisions of </w:t>
      </w:r>
      <w:r w:rsidR="000A0ED1">
        <w:t xml:space="preserve">Chapter 4 for </w:t>
      </w:r>
      <w:r w:rsidRPr="00F7349B">
        <w:t>each of the corresponding design types and the specific transport conditions requi</w:t>
      </w:r>
      <w:r>
        <w:t>red by the allocated substances</w:t>
      </w:r>
      <w:r w:rsidRPr="00F7349B">
        <w:t>.</w:t>
      </w:r>
      <w:r w:rsidR="00AC2E70">
        <w:t xml:space="preserve"> </w:t>
      </w:r>
      <w:r>
        <w:t>Traceability of a proper selection of the design type permitted by the respective packing instructions is ensured by the required transport documentation according to 5.4.1.5.</w:t>
      </w:r>
    </w:p>
    <w:p w:rsidR="00553F21" w:rsidRDefault="00553F21" w:rsidP="009B7D7D">
      <w:pPr>
        <w:pStyle w:val="SingleTxtG"/>
        <w:numPr>
          <w:ilvl w:val="0"/>
          <w:numId w:val="27"/>
        </w:numPr>
        <w:ind w:left="1134" w:firstLine="0"/>
      </w:pPr>
      <w:r>
        <w:t xml:space="preserve">At the last session of the Sub-Committee some delegations expressed concerns that </w:t>
      </w:r>
      <w:r w:rsidR="00160075">
        <w:t>the definition of IBCs in 1.2.1</w:t>
      </w:r>
      <w:r w:rsidR="00996280">
        <w:t>,</w:t>
      </w:r>
      <w:r w:rsidR="00160075">
        <w:t xml:space="preserve"> </w:t>
      </w:r>
      <w:r w:rsidR="00996280">
        <w:t>“</w:t>
      </w:r>
      <w:r w:rsidR="00996280" w:rsidRPr="00BB4C7F">
        <w:rPr>
          <w:lang w:val="en-US"/>
        </w:rPr>
        <w:t>IBC means any rigid or flexible portable packaging</w:t>
      </w:r>
      <w:r w:rsidR="00996280">
        <w:rPr>
          <w:lang w:val="en-US"/>
        </w:rPr>
        <w:t xml:space="preserve">, </w:t>
      </w:r>
      <w:r w:rsidR="00996280" w:rsidRPr="00B91898">
        <w:rPr>
          <w:lang w:val="en-US"/>
        </w:rPr>
        <w:t>other than those specified in Chapter 6.1</w:t>
      </w:r>
      <w:r w:rsidR="00162C94">
        <w:rPr>
          <w:lang w:val="en-US"/>
        </w:rPr>
        <w:t>, that:</w:t>
      </w:r>
      <w:r w:rsidR="00996280">
        <w:rPr>
          <w:lang w:val="en-US"/>
        </w:rPr>
        <w:t xml:space="preserve"> …”,</w:t>
      </w:r>
      <w:r w:rsidR="00996280">
        <w:t xml:space="preserve"> </w:t>
      </w:r>
      <w:r w:rsidR="00160075">
        <w:t>might conflict with a</w:t>
      </w:r>
      <w:r w:rsidR="00C80E70">
        <w:t xml:space="preserve"> multiple</w:t>
      </w:r>
      <w:r w:rsidR="00160075">
        <w:t xml:space="preserve"> approval of a package </w:t>
      </w:r>
      <w:r w:rsidR="00C80E70">
        <w:t xml:space="preserve">being compliant simultaneously </w:t>
      </w:r>
      <w:r w:rsidR="00160075">
        <w:t xml:space="preserve">with a design type </w:t>
      </w:r>
      <w:r w:rsidR="00C80E70">
        <w:t>of</w:t>
      </w:r>
      <w:r w:rsidR="00160075">
        <w:t xml:space="preserve"> the </w:t>
      </w:r>
      <w:r w:rsidR="009C2FD5">
        <w:t xml:space="preserve">IBC </w:t>
      </w:r>
      <w:r w:rsidR="00160075">
        <w:t xml:space="preserve">regime </w:t>
      </w:r>
      <w:r w:rsidR="00C80E70">
        <w:t xml:space="preserve">and a design type belonging to the </w:t>
      </w:r>
      <w:r w:rsidR="009C2FD5">
        <w:t xml:space="preserve">packaging </w:t>
      </w:r>
      <w:r w:rsidR="00C80E70">
        <w:t>regime as well.</w:t>
      </w:r>
    </w:p>
    <w:p w:rsidR="00FA2871" w:rsidRDefault="00A22C21" w:rsidP="009B7D7D">
      <w:pPr>
        <w:pStyle w:val="SingleTxtG"/>
        <w:numPr>
          <w:ilvl w:val="0"/>
          <w:numId w:val="27"/>
        </w:numPr>
        <w:ind w:left="1134" w:firstLine="0"/>
      </w:pPr>
      <w:r>
        <w:t xml:space="preserve">The phrase </w:t>
      </w:r>
      <w:r w:rsidRPr="00B91898">
        <w:t>“</w:t>
      </w:r>
      <w:r w:rsidRPr="00B91898">
        <w:rPr>
          <w:lang w:val="en-US"/>
        </w:rPr>
        <w:t>other than those specified in Chapter 6.1”</w:t>
      </w:r>
      <w:r>
        <w:rPr>
          <w:lang w:val="en-US"/>
        </w:rPr>
        <w:t xml:space="preserve"> just provides the information that IBC design types are not found among the packaging design types specified in Chapter 6.1. However, the possibility that an IBC design type may </w:t>
      </w:r>
      <w:r w:rsidRPr="002442CA">
        <w:rPr>
          <w:lang w:val="en-US"/>
        </w:rPr>
        <w:t xml:space="preserve">simultaneously </w:t>
      </w:r>
      <w:r>
        <w:rPr>
          <w:lang w:val="en-US"/>
        </w:rPr>
        <w:t>conform to</w:t>
      </w:r>
      <w:r w:rsidRPr="002442CA">
        <w:rPr>
          <w:lang w:val="en-US"/>
        </w:rPr>
        <w:t xml:space="preserve"> </w:t>
      </w:r>
      <w:r>
        <w:rPr>
          <w:lang w:val="en-US"/>
        </w:rPr>
        <w:t xml:space="preserve">common </w:t>
      </w:r>
      <w:r w:rsidRPr="002442CA">
        <w:rPr>
          <w:lang w:val="en-US"/>
        </w:rPr>
        <w:t xml:space="preserve">design criteria of </w:t>
      </w:r>
      <w:r>
        <w:rPr>
          <w:lang w:val="en-US"/>
        </w:rPr>
        <w:t xml:space="preserve">packaging </w:t>
      </w:r>
      <w:r w:rsidRPr="002442CA">
        <w:rPr>
          <w:lang w:val="en-US"/>
        </w:rPr>
        <w:t>design types</w:t>
      </w:r>
      <w:r>
        <w:rPr>
          <w:lang w:val="en-US"/>
        </w:rPr>
        <w:t xml:space="preserve"> specified in Chapter 6.1 needs not to be excluded, e.g. in the practical case of IBCs and boxes. </w:t>
      </w:r>
    </w:p>
    <w:p w:rsidR="00B022B6" w:rsidRDefault="00A22C21" w:rsidP="009B7D7D">
      <w:pPr>
        <w:pStyle w:val="SingleTxtG"/>
        <w:numPr>
          <w:ilvl w:val="0"/>
          <w:numId w:val="27"/>
        </w:numPr>
        <w:ind w:left="1134" w:firstLine="0"/>
      </w:pPr>
      <w:r w:rsidRPr="009B7D7D">
        <w:t xml:space="preserve">The different types </w:t>
      </w:r>
      <w:r>
        <w:t xml:space="preserve">and categories </w:t>
      </w:r>
      <w:r w:rsidRPr="009B7D7D">
        <w:t>of IBCs are clearly defined by the</w:t>
      </w:r>
      <w:r>
        <w:t xml:space="preserve"> related</w:t>
      </w:r>
      <w:r w:rsidRPr="009B7D7D">
        <w:t xml:space="preserve"> design type criteria specifi</w:t>
      </w:r>
      <w:r>
        <w:t>ed</w:t>
      </w:r>
      <w:r w:rsidRPr="009B7D7D">
        <w:t xml:space="preserve"> in Chapter 6.5.</w:t>
      </w:r>
      <w:r>
        <w:t xml:space="preserve"> </w:t>
      </w:r>
      <w:r w:rsidR="00DD0126" w:rsidRPr="009B7D7D">
        <w:t xml:space="preserve">IBCs distinguish from </w:t>
      </w:r>
      <w:proofErr w:type="spellStart"/>
      <w:r w:rsidR="00DD0126" w:rsidRPr="009B7D7D">
        <w:t>packagings</w:t>
      </w:r>
      <w:proofErr w:type="spellEnd"/>
      <w:r w:rsidR="00DD0126" w:rsidRPr="009B7D7D">
        <w:t xml:space="preserve"> by their higher limit in capacity, </w:t>
      </w:r>
      <w:r w:rsidR="00DD0126">
        <w:t xml:space="preserve">the integrated </w:t>
      </w:r>
      <w:r w:rsidR="00DD0126" w:rsidRPr="009B7D7D">
        <w:t>handling equipment interface features and their capability to resist stress produced in mechanical handling, as determined by specific tests defined in Chapter 6.5.</w:t>
      </w:r>
      <w:r w:rsidR="00DD0126">
        <w:t xml:space="preserve"> </w:t>
      </w:r>
      <w:r w:rsidR="00CD5A1E">
        <w:t xml:space="preserve">Although </w:t>
      </w:r>
      <w:r w:rsidR="00DD0126">
        <w:t xml:space="preserve">these </w:t>
      </w:r>
      <w:r w:rsidR="00DF4A50">
        <w:t>technical</w:t>
      </w:r>
      <w:r w:rsidR="00DD0126">
        <w:t xml:space="preserve"> </w:t>
      </w:r>
      <w:r w:rsidR="001E71F6">
        <w:t>specif</w:t>
      </w:r>
      <w:r w:rsidR="00DD0126">
        <w:t xml:space="preserve">ics </w:t>
      </w:r>
      <w:r w:rsidR="001E71F6">
        <w:t xml:space="preserve">of IBCs </w:t>
      </w:r>
      <w:r w:rsidR="00CD5A1E">
        <w:t>are not</w:t>
      </w:r>
      <w:r w:rsidR="001E71F6">
        <w:t xml:space="preserve"> addressed in the packaging regime,</w:t>
      </w:r>
      <w:r w:rsidR="00CD5A1E">
        <w:t xml:space="preserve"> they </w:t>
      </w:r>
      <w:r w:rsidR="001E71F6">
        <w:t xml:space="preserve">also </w:t>
      </w:r>
      <w:r w:rsidR="00A9116B">
        <w:t>do</w:t>
      </w:r>
      <w:r w:rsidR="00DD0126">
        <w:t xml:space="preserve"> not </w:t>
      </w:r>
      <w:r w:rsidR="00A9116B">
        <w:t xml:space="preserve">conflict with </w:t>
      </w:r>
      <w:r w:rsidR="00CD5A1E">
        <w:t xml:space="preserve">design criteria and performance test requirements of </w:t>
      </w:r>
      <w:proofErr w:type="spellStart"/>
      <w:r w:rsidR="00CD5A1E">
        <w:t>packagings</w:t>
      </w:r>
      <w:proofErr w:type="spellEnd"/>
      <w:r w:rsidR="00CD5A1E">
        <w:t>.</w:t>
      </w:r>
    </w:p>
    <w:p w:rsidR="009B7D7D" w:rsidRPr="009B7D7D" w:rsidRDefault="009B7D7D" w:rsidP="009B7D7D">
      <w:pPr>
        <w:pStyle w:val="SingleTxtG"/>
        <w:numPr>
          <w:ilvl w:val="0"/>
          <w:numId w:val="27"/>
        </w:numPr>
        <w:ind w:left="1134" w:firstLine="0"/>
      </w:pPr>
      <w:r w:rsidRPr="009B7D7D">
        <w:t xml:space="preserve">The explicit exclusion from </w:t>
      </w:r>
      <w:proofErr w:type="spellStart"/>
      <w:r w:rsidRPr="009B7D7D">
        <w:t>packagings</w:t>
      </w:r>
      <w:proofErr w:type="spellEnd"/>
      <w:r w:rsidRPr="009B7D7D">
        <w:t xml:space="preserve"> specified in Chapter 6.1, as stipulated in the definition of IBCs in 1.2.1, does not provide any guidance nor additional requirements for the design of IBCs. On the contrary, there </w:t>
      </w:r>
      <w:r w:rsidR="000C7DC8">
        <w:t>i</w:t>
      </w:r>
      <w:r w:rsidRPr="009B7D7D">
        <w:t xml:space="preserve">s no </w:t>
      </w:r>
      <w:r w:rsidR="00627A79">
        <w:t xml:space="preserve">technical justification nor any </w:t>
      </w:r>
      <w:r w:rsidRPr="009B7D7D">
        <w:t xml:space="preserve">benefit in safety </w:t>
      </w:r>
      <w:r w:rsidRPr="009B7D7D">
        <w:lastRenderedPageBreak/>
        <w:t xml:space="preserve">to exclude multiple design type approvals among IBCs </w:t>
      </w:r>
      <w:r w:rsidR="009A0835" w:rsidRPr="009B7D7D">
        <w:t xml:space="preserve">and </w:t>
      </w:r>
      <w:proofErr w:type="spellStart"/>
      <w:r w:rsidR="009A0835" w:rsidRPr="009B7D7D">
        <w:t>packagings</w:t>
      </w:r>
      <w:proofErr w:type="spellEnd"/>
      <w:r w:rsidR="009A0835" w:rsidRPr="009B7D7D">
        <w:t xml:space="preserve"> </w:t>
      </w:r>
      <w:r w:rsidRPr="009B7D7D">
        <w:t>by formal reasons based on constringent definitions.</w:t>
      </w:r>
    </w:p>
    <w:p w:rsidR="009B7D7D" w:rsidRPr="00475CAC" w:rsidRDefault="009B7D7D" w:rsidP="009B7D7D">
      <w:pPr>
        <w:pStyle w:val="HChG"/>
      </w:pPr>
      <w:r>
        <w:tab/>
      </w:r>
      <w:r>
        <w:tab/>
      </w:r>
      <w:r w:rsidRPr="00475CAC">
        <w:t>Proposal</w:t>
      </w:r>
      <w:r w:rsidR="00284709">
        <w:t>s</w:t>
      </w:r>
    </w:p>
    <w:p w:rsidR="009B7D7D" w:rsidRPr="009B7D7D" w:rsidRDefault="00DD45EA" w:rsidP="009B7D7D">
      <w:pPr>
        <w:pStyle w:val="SingleTxtG"/>
        <w:numPr>
          <w:ilvl w:val="0"/>
          <w:numId w:val="27"/>
        </w:numPr>
        <w:ind w:left="1134" w:firstLine="0"/>
      </w:pPr>
      <w:r>
        <w:t>To prevent regulatory barriers</w:t>
      </w:r>
      <w:r w:rsidR="00933818">
        <w:t>,</w:t>
      </w:r>
      <w:r>
        <w:t xml:space="preserve"> </w:t>
      </w:r>
      <w:r w:rsidR="00933818">
        <w:t>which contradict the concept of design type approvals based on design criteria and performance test requirements, a</w:t>
      </w:r>
      <w:r w:rsidR="00933818" w:rsidRPr="009B7D7D">
        <w:t xml:space="preserve">mend </w:t>
      </w:r>
      <w:r w:rsidR="009B7D7D" w:rsidRPr="009B7D7D">
        <w:t>the definition of IBCs in 1.2.1 to read as follows:</w:t>
      </w:r>
    </w:p>
    <w:p w:rsidR="009B7D7D" w:rsidRPr="00BB4C7F" w:rsidRDefault="009B7D7D" w:rsidP="009B7D7D">
      <w:pPr>
        <w:pStyle w:val="SingleTxtG"/>
        <w:ind w:left="1701"/>
        <w:rPr>
          <w:i/>
          <w:lang w:val="en-US"/>
        </w:rPr>
      </w:pPr>
      <w:r>
        <w:rPr>
          <w:lang w:val="en-US"/>
        </w:rPr>
        <w:t>“</w:t>
      </w:r>
      <w:r w:rsidRPr="00BB4C7F">
        <w:rPr>
          <w:i/>
          <w:lang w:val="en-US"/>
        </w:rPr>
        <w:t xml:space="preserve">Intermediate Bulk Container (IBC) </w:t>
      </w:r>
    </w:p>
    <w:p w:rsidR="009B7D7D" w:rsidRPr="00BB4C7F" w:rsidRDefault="009B7D7D" w:rsidP="0045354F">
      <w:pPr>
        <w:pStyle w:val="SingleTxtG"/>
        <w:ind w:left="1701"/>
        <w:rPr>
          <w:lang w:val="en-US"/>
        </w:rPr>
      </w:pPr>
      <w:r w:rsidRPr="00BB4C7F">
        <w:rPr>
          <w:lang w:val="en-US"/>
        </w:rPr>
        <w:t>IBC means any rigid or flexible portable packaging</w:t>
      </w:r>
      <w:r w:rsidRPr="00BB4C7F">
        <w:rPr>
          <w:strike/>
          <w:lang w:val="en-US"/>
        </w:rPr>
        <w:t>, other than those specified in Chapter 6.1,</w:t>
      </w:r>
      <w:r w:rsidRPr="00BB4C7F">
        <w:rPr>
          <w:lang w:val="en-US"/>
        </w:rPr>
        <w:t xml:space="preserve"> that: </w:t>
      </w:r>
    </w:p>
    <w:p w:rsidR="009B7D7D" w:rsidRDefault="009B7D7D" w:rsidP="0045354F">
      <w:pPr>
        <w:pStyle w:val="SingleTxtG"/>
        <w:numPr>
          <w:ilvl w:val="0"/>
          <w:numId w:val="28"/>
        </w:numPr>
        <w:ind w:left="2268" w:hanging="567"/>
        <w:rPr>
          <w:lang w:val="en-US"/>
        </w:rPr>
      </w:pPr>
      <w:r w:rsidRPr="00BB4C7F">
        <w:rPr>
          <w:lang w:val="en-US"/>
        </w:rPr>
        <w:t>has a capacity of:</w:t>
      </w:r>
      <w:r>
        <w:rPr>
          <w:lang w:val="en-US"/>
        </w:rPr>
        <w:t xml:space="preserve"> …</w:t>
      </w:r>
    </w:p>
    <w:p w:rsidR="009B7D7D" w:rsidRPr="00BB4C7F" w:rsidRDefault="009B7D7D" w:rsidP="0045354F">
      <w:pPr>
        <w:pStyle w:val="SingleTxtG"/>
        <w:numPr>
          <w:ilvl w:val="0"/>
          <w:numId w:val="28"/>
        </w:numPr>
        <w:ind w:left="2268" w:hanging="567"/>
        <w:rPr>
          <w:lang w:val="en-US"/>
        </w:rPr>
      </w:pPr>
      <w:r w:rsidRPr="00BB4C7F">
        <w:t>is designed for mechanical handling;</w:t>
      </w:r>
    </w:p>
    <w:p w:rsidR="009B7D7D" w:rsidRDefault="009B7D7D" w:rsidP="0045354F">
      <w:pPr>
        <w:pStyle w:val="SingleTxtG"/>
        <w:numPr>
          <w:ilvl w:val="0"/>
          <w:numId w:val="28"/>
        </w:numPr>
        <w:ind w:left="2268" w:hanging="567"/>
        <w:rPr>
          <w:lang w:val="en-US"/>
        </w:rPr>
      </w:pPr>
      <w:r w:rsidRPr="00BB4C7F">
        <w:rPr>
          <w:lang w:val="en-US"/>
        </w:rPr>
        <w:t>is resistant to the stresses produced in handling and transport, as determined by tests</w:t>
      </w:r>
      <w:r>
        <w:rPr>
          <w:lang w:val="en-US"/>
        </w:rPr>
        <w:t>.”</w:t>
      </w:r>
    </w:p>
    <w:p w:rsidR="009B7D7D" w:rsidRPr="009B7D7D" w:rsidRDefault="00B15166" w:rsidP="009B7D7D">
      <w:pPr>
        <w:pStyle w:val="SingleTxtG"/>
        <w:numPr>
          <w:ilvl w:val="0"/>
          <w:numId w:val="27"/>
        </w:numPr>
        <w:ind w:left="1134" w:firstLine="0"/>
      </w:pPr>
      <w:r>
        <w:t>To support awareness of the user about the permissibility of multiple approved design types s</w:t>
      </w:r>
      <w:r w:rsidRPr="009B7D7D">
        <w:t xml:space="preserve">upplement </w:t>
      </w:r>
      <w:r w:rsidR="009B7D7D" w:rsidRPr="009B7D7D">
        <w:t>4.1.1 by a new sub-paragraph under 4.1.1.3 to read as follows:</w:t>
      </w:r>
    </w:p>
    <w:p w:rsidR="009B7D7D" w:rsidRDefault="009B7D7D" w:rsidP="009B7D7D">
      <w:pPr>
        <w:pStyle w:val="SingleTxtG"/>
        <w:tabs>
          <w:tab w:val="left" w:pos="2835"/>
        </w:tabs>
        <w:ind w:left="1701"/>
        <w:rPr>
          <w:lang w:val="en-US"/>
        </w:rPr>
      </w:pPr>
      <w:r>
        <w:rPr>
          <w:lang w:val="en-US"/>
        </w:rPr>
        <w:t>“</w:t>
      </w:r>
      <w:r>
        <w:rPr>
          <w:u w:val="single"/>
          <w:lang w:val="en-US"/>
        </w:rPr>
        <w:t>4.1.1.3.1</w:t>
      </w:r>
      <w:r>
        <w:rPr>
          <w:u w:val="single"/>
          <w:lang w:val="en-US"/>
        </w:rPr>
        <w:tab/>
      </w:r>
      <w:proofErr w:type="spellStart"/>
      <w:r w:rsidR="00D40A51">
        <w:rPr>
          <w:u w:val="single"/>
          <w:lang w:val="en-US"/>
        </w:rPr>
        <w:t>P</w:t>
      </w:r>
      <w:r w:rsidR="00D40A51" w:rsidRPr="00564DCF">
        <w:rPr>
          <w:u w:val="single"/>
          <w:lang w:val="en-US"/>
        </w:rPr>
        <w:t>ackaging</w:t>
      </w:r>
      <w:r w:rsidR="00D40A51">
        <w:rPr>
          <w:u w:val="single"/>
          <w:lang w:val="en-US"/>
        </w:rPr>
        <w:t>s</w:t>
      </w:r>
      <w:proofErr w:type="spellEnd"/>
      <w:r w:rsidRPr="00564DCF">
        <w:rPr>
          <w:u w:val="single"/>
          <w:lang w:val="en-US"/>
        </w:rPr>
        <w:t xml:space="preserve">, including IBCs and large </w:t>
      </w:r>
      <w:proofErr w:type="spellStart"/>
      <w:r w:rsidRPr="00564DCF">
        <w:rPr>
          <w:u w:val="single"/>
          <w:lang w:val="en-US"/>
        </w:rPr>
        <w:t>packagings</w:t>
      </w:r>
      <w:proofErr w:type="spellEnd"/>
      <w:r w:rsidRPr="00564DCF">
        <w:rPr>
          <w:u w:val="single"/>
          <w:lang w:val="en-US"/>
        </w:rPr>
        <w:t xml:space="preserve">, </w:t>
      </w:r>
      <w:r w:rsidR="00B57906">
        <w:rPr>
          <w:u w:val="single"/>
          <w:lang w:val="en-US"/>
        </w:rPr>
        <w:t>may</w:t>
      </w:r>
      <w:r>
        <w:rPr>
          <w:u w:val="single"/>
          <w:lang w:val="en-US"/>
        </w:rPr>
        <w:t xml:space="preserve"> </w:t>
      </w:r>
      <w:r w:rsidRPr="00564DCF">
        <w:rPr>
          <w:u w:val="single"/>
          <w:lang w:val="en-US"/>
        </w:rPr>
        <w:t xml:space="preserve">conform to </w:t>
      </w:r>
      <w:r w:rsidR="00BF7B3C" w:rsidRPr="00D62C6B">
        <w:rPr>
          <w:u w:val="single"/>
        </w:rPr>
        <w:t xml:space="preserve">one or </w:t>
      </w:r>
      <w:r w:rsidRPr="00D62C6B">
        <w:rPr>
          <w:u w:val="single"/>
          <w:lang w:val="en-US"/>
        </w:rPr>
        <w:t>more</w:t>
      </w:r>
      <w:r w:rsidRPr="00564DCF">
        <w:rPr>
          <w:u w:val="single"/>
          <w:lang w:val="en-US"/>
        </w:rPr>
        <w:t xml:space="preserve"> than one </w:t>
      </w:r>
      <w:r>
        <w:rPr>
          <w:u w:val="single"/>
          <w:lang w:val="en-US"/>
        </w:rPr>
        <w:t xml:space="preserve">successfully </w:t>
      </w:r>
      <w:r w:rsidRPr="00564DCF">
        <w:rPr>
          <w:u w:val="single"/>
          <w:lang w:val="en-US"/>
        </w:rPr>
        <w:t xml:space="preserve">tested design </w:t>
      </w:r>
      <w:r w:rsidRPr="00D62C6B">
        <w:rPr>
          <w:u w:val="single"/>
          <w:lang w:val="en-US"/>
        </w:rPr>
        <w:t>type</w:t>
      </w:r>
      <w:r w:rsidR="007F1AE8" w:rsidRPr="00D62C6B">
        <w:rPr>
          <w:u w:val="single"/>
        </w:rPr>
        <w:t xml:space="preserve"> of the same or different kind and category</w:t>
      </w:r>
      <w:r w:rsidRPr="00D62C6B">
        <w:rPr>
          <w:u w:val="single"/>
          <w:lang w:val="en-US"/>
        </w:rPr>
        <w:t xml:space="preserve">, </w:t>
      </w:r>
      <w:r w:rsidR="00B57906" w:rsidRPr="00D62C6B">
        <w:rPr>
          <w:u w:val="single"/>
          <w:lang w:val="en-US"/>
        </w:rPr>
        <w:t xml:space="preserve">and </w:t>
      </w:r>
      <w:r w:rsidRPr="00D62C6B">
        <w:rPr>
          <w:u w:val="single"/>
          <w:lang w:val="en-US"/>
        </w:rPr>
        <w:t xml:space="preserve">may bear more than one mark </w:t>
      </w:r>
      <w:r w:rsidR="005C60A3" w:rsidRPr="00D62C6B">
        <w:rPr>
          <w:u w:val="single"/>
          <w:lang w:val="en-US"/>
        </w:rPr>
        <w:t>to di</w:t>
      </w:r>
      <w:r w:rsidR="005C60A3">
        <w:rPr>
          <w:u w:val="single"/>
          <w:lang w:val="en-US"/>
        </w:rPr>
        <w:t xml:space="preserve">splay the relevant performance parameters </w:t>
      </w:r>
      <w:r>
        <w:rPr>
          <w:u w:val="single"/>
          <w:lang w:val="en-US"/>
        </w:rPr>
        <w:t xml:space="preserve">in accordance with the requirements of </w:t>
      </w:r>
      <w:r w:rsidRPr="00564DCF">
        <w:rPr>
          <w:u w:val="single"/>
          <w:lang w:val="en-US"/>
        </w:rPr>
        <w:t>6.1.3.13</w:t>
      </w:r>
      <w:r>
        <w:rPr>
          <w:u w:val="single"/>
          <w:lang w:val="en-US"/>
        </w:rPr>
        <w:t xml:space="preserve">, </w:t>
      </w:r>
      <w:r w:rsidRPr="00F170DF">
        <w:rPr>
          <w:u w:val="single"/>
          <w:lang w:val="en-US"/>
        </w:rPr>
        <w:t>6.5.2.1.3</w:t>
      </w:r>
      <w:r>
        <w:rPr>
          <w:u w:val="single"/>
          <w:lang w:val="en-US"/>
        </w:rPr>
        <w:t xml:space="preserve"> or </w:t>
      </w:r>
      <w:r w:rsidRPr="00F170DF">
        <w:rPr>
          <w:u w:val="single"/>
          <w:lang w:val="en-US"/>
        </w:rPr>
        <w:t>6.6.3.4</w:t>
      </w:r>
      <w:r>
        <w:rPr>
          <w:u w:val="single"/>
          <w:lang w:val="en-US"/>
        </w:rPr>
        <w:t>, as applicable</w:t>
      </w:r>
      <w:r w:rsidRPr="00E579B4">
        <w:rPr>
          <w:u w:val="single"/>
          <w:lang w:val="en-US"/>
        </w:rPr>
        <w:t>.</w:t>
      </w:r>
      <w:r w:rsidR="0045354F">
        <w:rPr>
          <w:lang w:val="en-US"/>
        </w:rPr>
        <w:t>”</w:t>
      </w:r>
    </w:p>
    <w:p w:rsidR="00553F21" w:rsidRPr="009B7D7D" w:rsidRDefault="00E4580E" w:rsidP="00553F21">
      <w:pPr>
        <w:pStyle w:val="SingleTxtG"/>
        <w:numPr>
          <w:ilvl w:val="0"/>
          <w:numId w:val="27"/>
        </w:numPr>
        <w:ind w:left="1134" w:firstLine="0"/>
      </w:pPr>
      <w:r>
        <w:t xml:space="preserve">To fully implement the concept of design type approvals consequently based on design criteria and performance test requirements, remove </w:t>
      </w:r>
      <w:r w:rsidR="00553F21">
        <w:t xml:space="preserve">the square brackets </w:t>
      </w:r>
      <w:r w:rsidR="000F7992">
        <w:t xml:space="preserve">and amend </w:t>
      </w:r>
      <w:r w:rsidR="00553F21">
        <w:t xml:space="preserve">the interim </w:t>
      </w:r>
      <w:r w:rsidR="00553F21" w:rsidRPr="00553F21">
        <w:t xml:space="preserve">text </w:t>
      </w:r>
      <w:r w:rsidR="00B57966">
        <w:t>adopted at the last session of the Sub-Committee</w:t>
      </w:r>
      <w:r w:rsidR="00B57966" w:rsidRPr="00553F21">
        <w:t xml:space="preserve"> </w:t>
      </w:r>
      <w:r w:rsidR="00553F21" w:rsidRPr="00553F21">
        <w:t xml:space="preserve">under </w:t>
      </w:r>
      <w:r w:rsidR="00553F21" w:rsidRPr="00553F21">
        <w:rPr>
          <w:lang w:val="en-US"/>
        </w:rPr>
        <w:t xml:space="preserve">6.1.3.13, 6.5.2.1.3 </w:t>
      </w:r>
      <w:r w:rsidR="00553F21">
        <w:rPr>
          <w:lang w:val="en-US"/>
        </w:rPr>
        <w:t>and</w:t>
      </w:r>
      <w:r w:rsidR="00553F21" w:rsidRPr="00553F21">
        <w:rPr>
          <w:lang w:val="en-US"/>
        </w:rPr>
        <w:t xml:space="preserve"> 6.6.3</w:t>
      </w:r>
      <w:r w:rsidR="00553F21" w:rsidRPr="00553F21">
        <w:t xml:space="preserve"> </w:t>
      </w:r>
      <w:r w:rsidR="00F81FBF">
        <w:t>(</w:t>
      </w:r>
      <w:r w:rsidR="008939C2">
        <w:t>see ST/SG/AC.10/C.3/104/Add.1, a</w:t>
      </w:r>
      <w:bookmarkStart w:id="0" w:name="_GoBack"/>
      <w:bookmarkEnd w:id="0"/>
      <w:r w:rsidR="00F81FBF">
        <w:t xml:space="preserve">nnex II) </w:t>
      </w:r>
      <w:r w:rsidR="00553F21" w:rsidRPr="00553F21">
        <w:t>to read</w:t>
      </w:r>
      <w:r w:rsidR="00553F21" w:rsidRPr="009B7D7D">
        <w:t xml:space="preserve"> as follows:</w:t>
      </w:r>
    </w:p>
    <w:p w:rsidR="009B7D7D" w:rsidRDefault="009B7D7D" w:rsidP="000F7992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bookmarkStart w:id="1" w:name="_Hlk508984261"/>
      <w:r>
        <w:rPr>
          <w:lang w:val="en-US"/>
        </w:rPr>
        <w:t>6.1.3.13</w:t>
      </w:r>
      <w:bookmarkEnd w:id="1"/>
      <w:r>
        <w:rPr>
          <w:lang w:val="en-US"/>
        </w:rPr>
        <w:tab/>
      </w:r>
      <w:r w:rsidRPr="003912B8">
        <w:rPr>
          <w:lang w:val="en-US"/>
        </w:rPr>
        <w:t>Where a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IBCs and large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>,</w:t>
      </w:r>
      <w:r w:rsidRPr="003912B8">
        <w:rPr>
          <w:lang w:val="en-US"/>
        </w:rPr>
        <w:t xml:space="preserve"> conforms to </w:t>
      </w:r>
      <w:r w:rsidR="00A34D55" w:rsidRPr="00D62C6B">
        <w:rPr>
          <w:u w:val="single"/>
          <w:lang w:val="en-US"/>
        </w:rPr>
        <w:t>one or</w:t>
      </w:r>
      <w:r w:rsidR="00A34D55">
        <w:rPr>
          <w:lang w:val="en-US"/>
        </w:rPr>
        <w:t xml:space="preserve"> </w:t>
      </w:r>
      <w:r w:rsidRPr="003912B8">
        <w:rPr>
          <w:lang w:val="en-US"/>
        </w:rPr>
        <w:t xml:space="preserve">more than one tested </w:t>
      </w:r>
      <w:r w:rsidRPr="00D33DBC">
        <w:rPr>
          <w:strike/>
          <w:lang w:val="en-US"/>
        </w:rPr>
        <w:t xml:space="preserve">packaging </w:t>
      </w:r>
      <w:r w:rsidRPr="003912B8">
        <w:rPr>
          <w:lang w:val="en-US"/>
        </w:rPr>
        <w:t>design type, the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IBCs and large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>,</w:t>
      </w:r>
      <w:r w:rsidRPr="003912B8">
        <w:rPr>
          <w:lang w:val="en-US"/>
        </w:rPr>
        <w:t xml:space="preserve"> may bear more than one mark</w:t>
      </w:r>
      <w:r w:rsidR="0010159C">
        <w:rPr>
          <w:lang w:val="en-US"/>
        </w:rPr>
        <w:t xml:space="preserve"> </w:t>
      </w:r>
      <w:r w:rsidR="008212DE" w:rsidRPr="00116AD0">
        <w:rPr>
          <w:u w:val="single"/>
          <w:lang w:val="en-US"/>
        </w:rPr>
        <w:t xml:space="preserve">to indicate </w:t>
      </w:r>
      <w:r w:rsidR="00351B9A" w:rsidRPr="00116AD0">
        <w:rPr>
          <w:u w:val="single"/>
          <w:lang w:val="en-US"/>
        </w:rPr>
        <w:t>the</w:t>
      </w:r>
      <w:r w:rsidR="00002B5B" w:rsidRPr="00116AD0">
        <w:rPr>
          <w:u w:val="single"/>
          <w:lang w:val="en-US"/>
        </w:rPr>
        <w:t xml:space="preserve"> </w:t>
      </w:r>
      <w:r w:rsidR="00CF4589" w:rsidRPr="00116AD0">
        <w:rPr>
          <w:u w:val="single"/>
          <w:lang w:val="en-US"/>
        </w:rPr>
        <w:t>relevant</w:t>
      </w:r>
      <w:r w:rsidR="00555B2C" w:rsidRPr="00116AD0">
        <w:rPr>
          <w:u w:val="single"/>
          <w:lang w:val="en-US"/>
        </w:rPr>
        <w:t xml:space="preserve"> </w:t>
      </w:r>
      <w:r w:rsidR="0010159C" w:rsidRPr="00116AD0">
        <w:rPr>
          <w:u w:val="single"/>
          <w:lang w:val="en-US"/>
        </w:rPr>
        <w:t xml:space="preserve">performance test </w:t>
      </w:r>
      <w:r w:rsidR="00FA7FAC" w:rsidRPr="00116AD0">
        <w:rPr>
          <w:u w:val="single"/>
          <w:lang w:val="en-US"/>
        </w:rPr>
        <w:t xml:space="preserve">requirements </w:t>
      </w:r>
      <w:r w:rsidR="00555B2C" w:rsidRPr="00116AD0">
        <w:rPr>
          <w:u w:val="single"/>
          <w:lang w:val="en-US"/>
        </w:rPr>
        <w:t>that have been met</w:t>
      </w:r>
      <w:r w:rsidRPr="003912B8">
        <w:rPr>
          <w:lang w:val="en-US"/>
        </w:rPr>
        <w:t>. Where more than one mark appears on a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IBCs and large </w:t>
      </w:r>
      <w:proofErr w:type="spellStart"/>
      <w:r>
        <w:rPr>
          <w:u w:val="single"/>
          <w:lang w:val="en-US"/>
        </w:rPr>
        <w:t>packagings</w:t>
      </w:r>
      <w:proofErr w:type="spellEnd"/>
      <w:r w:rsidRPr="003912B8">
        <w:rPr>
          <w:lang w:val="en-US"/>
        </w:rPr>
        <w:t>, the marks must appear in close proximity to one another and each mar</w:t>
      </w:r>
      <w:r w:rsidR="000F7992">
        <w:rPr>
          <w:lang w:val="en-US"/>
        </w:rPr>
        <w:t>k must appear in its entirety.”</w:t>
      </w:r>
    </w:p>
    <w:p w:rsidR="009B7D7D" w:rsidRDefault="009B7D7D" w:rsidP="000F7992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bookmarkStart w:id="2" w:name="_Hlk508984296"/>
      <w:r>
        <w:rPr>
          <w:lang w:val="en-US"/>
        </w:rPr>
        <w:t>6.5.2.1.3</w:t>
      </w:r>
      <w:bookmarkEnd w:id="2"/>
      <w:r>
        <w:rPr>
          <w:lang w:val="en-US"/>
        </w:rPr>
        <w:tab/>
      </w:r>
      <w:r w:rsidRPr="003912B8">
        <w:rPr>
          <w:lang w:val="en-US"/>
        </w:rPr>
        <w:t>Where an IBC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large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>,</w:t>
      </w:r>
      <w:r w:rsidRPr="003912B8">
        <w:rPr>
          <w:lang w:val="en-US"/>
        </w:rPr>
        <w:t xml:space="preserve"> conforms to </w:t>
      </w:r>
      <w:r w:rsidR="001A558D" w:rsidRPr="00D62C6B">
        <w:rPr>
          <w:u w:val="single"/>
          <w:lang w:val="en-US"/>
        </w:rPr>
        <w:t>one or</w:t>
      </w:r>
      <w:r w:rsidR="001A558D">
        <w:rPr>
          <w:lang w:val="en-US"/>
        </w:rPr>
        <w:t xml:space="preserve"> </w:t>
      </w:r>
      <w:r w:rsidRPr="003912B8">
        <w:rPr>
          <w:lang w:val="en-US"/>
        </w:rPr>
        <w:t xml:space="preserve">more than one tested </w:t>
      </w:r>
      <w:r w:rsidRPr="00D33DBC">
        <w:rPr>
          <w:strike/>
          <w:lang w:val="en-US"/>
        </w:rPr>
        <w:t xml:space="preserve">IBC </w:t>
      </w:r>
      <w:r w:rsidRPr="003912B8">
        <w:rPr>
          <w:lang w:val="en-US"/>
        </w:rPr>
        <w:t>design type, the IBC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large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>,</w:t>
      </w:r>
      <w:r w:rsidRPr="003912B8">
        <w:rPr>
          <w:lang w:val="en-US"/>
        </w:rPr>
        <w:t xml:space="preserve"> may bear more than one mark</w:t>
      </w:r>
      <w:r w:rsidR="001A558D" w:rsidRPr="001A558D">
        <w:rPr>
          <w:lang w:val="en-US"/>
        </w:rPr>
        <w:t xml:space="preserve"> </w:t>
      </w:r>
      <w:r w:rsidR="001A558D" w:rsidRPr="00116AD0">
        <w:rPr>
          <w:u w:val="single"/>
          <w:lang w:val="en-US"/>
        </w:rPr>
        <w:t xml:space="preserve">to indicate </w:t>
      </w:r>
      <w:r w:rsidR="00351B9A" w:rsidRPr="00116AD0">
        <w:rPr>
          <w:u w:val="single"/>
          <w:lang w:val="en-US"/>
        </w:rPr>
        <w:t>the</w:t>
      </w:r>
      <w:r w:rsidR="001A558D" w:rsidRPr="00116AD0">
        <w:rPr>
          <w:u w:val="single"/>
          <w:lang w:val="en-US"/>
        </w:rPr>
        <w:t xml:space="preserve"> </w:t>
      </w:r>
      <w:r w:rsidR="00CF4589" w:rsidRPr="00116AD0">
        <w:rPr>
          <w:u w:val="single"/>
          <w:lang w:val="en-US"/>
        </w:rPr>
        <w:t>relevant</w:t>
      </w:r>
      <w:r w:rsidR="001A558D" w:rsidRPr="00116AD0">
        <w:rPr>
          <w:u w:val="single"/>
          <w:lang w:val="en-US"/>
        </w:rPr>
        <w:t xml:space="preserve"> performance test requirements that have been met</w:t>
      </w:r>
      <w:r w:rsidRPr="003912B8">
        <w:rPr>
          <w:lang w:val="en-US"/>
        </w:rPr>
        <w:t>. Where more than one mark appears on an IBC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large </w:t>
      </w:r>
      <w:proofErr w:type="spellStart"/>
      <w:r>
        <w:rPr>
          <w:u w:val="single"/>
          <w:lang w:val="en-US"/>
        </w:rPr>
        <w:t>packagings</w:t>
      </w:r>
      <w:proofErr w:type="spellEnd"/>
      <w:r w:rsidRPr="003912B8">
        <w:rPr>
          <w:lang w:val="en-US"/>
        </w:rPr>
        <w:t xml:space="preserve">, </w:t>
      </w:r>
      <w:bookmarkStart w:id="3" w:name="_Hlk509192350"/>
      <w:r w:rsidRPr="003912B8">
        <w:rPr>
          <w:lang w:val="en-US"/>
        </w:rPr>
        <w:t>the marks must appear in close proximity to one another and each mark must appear in its entirety</w:t>
      </w:r>
      <w:bookmarkEnd w:id="3"/>
      <w:r w:rsidR="000F7992">
        <w:rPr>
          <w:lang w:val="en-US"/>
        </w:rPr>
        <w:t>.”</w:t>
      </w:r>
    </w:p>
    <w:p w:rsidR="009B7D7D" w:rsidRDefault="009B7D7D" w:rsidP="00F81FBF">
      <w:pPr>
        <w:pStyle w:val="SingleTxtG"/>
        <w:ind w:left="1701"/>
        <w:rPr>
          <w:lang w:val="en-US"/>
        </w:rPr>
      </w:pPr>
      <w:r>
        <w:rPr>
          <w:lang w:val="en-US"/>
        </w:rPr>
        <w:t>“6.6.3.4</w:t>
      </w:r>
      <w:r>
        <w:rPr>
          <w:lang w:val="en-US"/>
        </w:rPr>
        <w:tab/>
      </w:r>
      <w:r w:rsidRPr="003912B8">
        <w:rPr>
          <w:lang w:val="en-US"/>
        </w:rPr>
        <w:t>Where a large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IBCs,</w:t>
      </w:r>
      <w:r w:rsidRPr="003912B8">
        <w:rPr>
          <w:lang w:val="en-US"/>
        </w:rPr>
        <w:t xml:space="preserve"> conforms to </w:t>
      </w:r>
      <w:r w:rsidR="001A558D" w:rsidRPr="00D62C6B">
        <w:rPr>
          <w:u w:val="single"/>
          <w:lang w:val="en-US"/>
        </w:rPr>
        <w:t>one or</w:t>
      </w:r>
      <w:r w:rsidR="001A558D">
        <w:rPr>
          <w:lang w:val="en-US"/>
        </w:rPr>
        <w:t xml:space="preserve"> </w:t>
      </w:r>
      <w:r w:rsidRPr="003912B8">
        <w:rPr>
          <w:lang w:val="en-US"/>
        </w:rPr>
        <w:t xml:space="preserve">more than one tested </w:t>
      </w:r>
      <w:r w:rsidRPr="00D33DBC">
        <w:rPr>
          <w:strike/>
          <w:lang w:val="en-US"/>
        </w:rPr>
        <w:t xml:space="preserve">large packaging </w:t>
      </w:r>
      <w:r w:rsidRPr="003912B8">
        <w:rPr>
          <w:lang w:val="en-US"/>
        </w:rPr>
        <w:t>design type, the large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IBCs,</w:t>
      </w:r>
      <w:r w:rsidRPr="003912B8">
        <w:rPr>
          <w:lang w:val="en-US"/>
        </w:rPr>
        <w:t xml:space="preserve"> may bear more than one mark</w:t>
      </w:r>
      <w:r w:rsidR="001A558D" w:rsidRPr="001A558D">
        <w:rPr>
          <w:lang w:val="en-US"/>
        </w:rPr>
        <w:t xml:space="preserve"> </w:t>
      </w:r>
      <w:r w:rsidR="001A558D" w:rsidRPr="00116AD0">
        <w:rPr>
          <w:u w:val="single"/>
          <w:lang w:val="en-US"/>
        </w:rPr>
        <w:t xml:space="preserve">to indicate </w:t>
      </w:r>
      <w:r w:rsidR="00351B9A" w:rsidRPr="00116AD0">
        <w:rPr>
          <w:u w:val="single"/>
          <w:lang w:val="en-US"/>
        </w:rPr>
        <w:t>the</w:t>
      </w:r>
      <w:r w:rsidR="001A558D" w:rsidRPr="00116AD0">
        <w:rPr>
          <w:u w:val="single"/>
          <w:lang w:val="en-US"/>
        </w:rPr>
        <w:t xml:space="preserve"> </w:t>
      </w:r>
      <w:r w:rsidR="00CF4589" w:rsidRPr="00116AD0">
        <w:rPr>
          <w:u w:val="single"/>
          <w:lang w:val="en-US"/>
        </w:rPr>
        <w:t>relevant</w:t>
      </w:r>
      <w:r w:rsidR="001A558D" w:rsidRPr="00116AD0">
        <w:rPr>
          <w:u w:val="single"/>
          <w:lang w:val="en-US"/>
        </w:rPr>
        <w:t xml:space="preserve"> performance test requirements that have been met</w:t>
      </w:r>
      <w:r w:rsidRPr="003912B8">
        <w:rPr>
          <w:lang w:val="en-US"/>
        </w:rPr>
        <w:t>. Where more than one mark appears on a large packaging</w:t>
      </w:r>
      <w:r w:rsidRPr="00E579B4">
        <w:rPr>
          <w:u w:val="single"/>
          <w:lang w:val="en-US"/>
        </w:rPr>
        <w:t>, inclu</w:t>
      </w:r>
      <w:r>
        <w:rPr>
          <w:u w:val="single"/>
          <w:lang w:val="en-US"/>
        </w:rPr>
        <w:t xml:space="preserve">ding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and IBCs</w:t>
      </w:r>
      <w:r w:rsidRPr="003912B8">
        <w:rPr>
          <w:lang w:val="en-US"/>
        </w:rPr>
        <w:t>, the marks must appear in close proximity to one another and each mar</w:t>
      </w:r>
      <w:r w:rsidR="000F7992">
        <w:rPr>
          <w:lang w:val="en-US"/>
        </w:rPr>
        <w:t>k must appear in its entirety.”</w:t>
      </w:r>
    </w:p>
    <w:p w:rsidR="00553F21" w:rsidRPr="003B782D" w:rsidRDefault="00553F21" w:rsidP="00553F21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F3AE7" w:rsidRDefault="00FF3AE7" w:rsidP="00DF144B"/>
    <w:sectPr w:rsidR="00FF3AE7" w:rsidSect="001D3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67" w:rsidRDefault="00374D67"/>
  </w:endnote>
  <w:endnote w:type="continuationSeparator" w:id="0">
    <w:p w:rsidR="00374D67" w:rsidRDefault="00374D67"/>
  </w:endnote>
  <w:endnote w:type="continuationNotice" w:id="1">
    <w:p w:rsidR="00374D67" w:rsidRDefault="00374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8D62E6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8939C2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8D62E6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8939C2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67" w:rsidRPr="000B175B" w:rsidRDefault="00374D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4D67" w:rsidRPr="00FC68B7" w:rsidRDefault="00374D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4D67" w:rsidRDefault="00374D67"/>
  </w:footnote>
  <w:footnote w:id="2">
    <w:p w:rsidR="008D62E6" w:rsidRPr="009F4BF2" w:rsidRDefault="008D62E6" w:rsidP="009F4BF2">
      <w:pPr>
        <w:pStyle w:val="FootnoteText"/>
        <w:tabs>
          <w:tab w:val="left" w:pos="1418"/>
        </w:tabs>
        <w:ind w:firstLine="0"/>
        <w:rPr>
          <w:lang w:val="en-US"/>
        </w:rPr>
      </w:pPr>
      <w:r w:rsidRPr="00D1626A">
        <w:rPr>
          <w:rStyle w:val="FootnoteReference"/>
          <w:sz w:val="20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 xml:space="preserve">the </w:t>
      </w:r>
      <w:r w:rsidR="00407C96" w:rsidRPr="00C77DF8">
        <w:t>program</w:t>
      </w:r>
      <w:r w:rsidR="00C77DF8" w:rsidRPr="00C77DF8">
        <w:t>me</w:t>
      </w:r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3B782D">
    <w:pPr>
      <w:pStyle w:val="Header"/>
    </w:pPr>
    <w:r>
      <w:t>ST/SG/AC.10/C.3/201</w:t>
    </w:r>
    <w:r w:rsidR="00B44CA8">
      <w:t>8</w:t>
    </w:r>
    <w:r>
      <w:t>/</w:t>
    </w:r>
    <w:r w:rsidR="0045354F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3B782D" w:rsidP="006D12B1">
    <w:pPr>
      <w:pStyle w:val="Header"/>
      <w:jc w:val="right"/>
    </w:pPr>
    <w:r>
      <w:t>ST/SG/AC.10/C.3/201</w:t>
    </w:r>
    <w:r w:rsidR="006F7643">
      <w:t>8</w:t>
    </w:r>
    <w:r>
      <w:t>/</w:t>
    </w:r>
    <w:r w:rsidR="0045354F">
      <w:t>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Default="008D62E6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B5A4C"/>
    <w:multiLevelType w:val="hybridMultilevel"/>
    <w:tmpl w:val="80CA3FDA"/>
    <w:lvl w:ilvl="0" w:tplc="0390E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80157"/>
    <w:multiLevelType w:val="hybridMultilevel"/>
    <w:tmpl w:val="5D56423A"/>
    <w:lvl w:ilvl="0" w:tplc="855C99C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72966EB"/>
    <w:multiLevelType w:val="hybridMultilevel"/>
    <w:tmpl w:val="F38CCF8A"/>
    <w:lvl w:ilvl="0" w:tplc="D90E7C8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3"/>
  </w:num>
  <w:num w:numId="13">
    <w:abstractNumId w:val="12"/>
  </w:num>
  <w:num w:numId="14">
    <w:abstractNumId w:val="24"/>
  </w:num>
  <w:num w:numId="15">
    <w:abstractNumId w:val="28"/>
  </w:num>
  <w:num w:numId="16">
    <w:abstractNumId w:val="14"/>
  </w:num>
  <w:num w:numId="17">
    <w:abstractNumId w:val="20"/>
  </w:num>
  <w:num w:numId="18">
    <w:abstractNumId w:val="19"/>
  </w:num>
  <w:num w:numId="19">
    <w:abstractNumId w:val="27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21"/>
  </w:num>
  <w:num w:numId="25">
    <w:abstractNumId w:val="15"/>
  </w:num>
  <w:num w:numId="26">
    <w:abstractNumId w:val="18"/>
  </w:num>
  <w:num w:numId="27">
    <w:abstractNumId w:val="10"/>
  </w:num>
  <w:num w:numId="28">
    <w:abstractNumId w:val="16"/>
  </w:num>
  <w:num w:numId="29">
    <w:abstractNumId w:val="26"/>
  </w:num>
  <w:num w:numId="30">
    <w:abstractNumId w:val="24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1"/>
    <w:rsid w:val="00002B5B"/>
    <w:rsid w:val="00003D68"/>
    <w:rsid w:val="00004671"/>
    <w:rsid w:val="00013201"/>
    <w:rsid w:val="00017038"/>
    <w:rsid w:val="00017EBB"/>
    <w:rsid w:val="00023F08"/>
    <w:rsid w:val="000357D1"/>
    <w:rsid w:val="00047D68"/>
    <w:rsid w:val="00047F82"/>
    <w:rsid w:val="000504CE"/>
    <w:rsid w:val="00050F6B"/>
    <w:rsid w:val="00056AFE"/>
    <w:rsid w:val="00062798"/>
    <w:rsid w:val="00072C8C"/>
    <w:rsid w:val="000750C9"/>
    <w:rsid w:val="00075858"/>
    <w:rsid w:val="00083B73"/>
    <w:rsid w:val="000855DB"/>
    <w:rsid w:val="00091419"/>
    <w:rsid w:val="0009150D"/>
    <w:rsid w:val="000931C0"/>
    <w:rsid w:val="000A0ED1"/>
    <w:rsid w:val="000A254F"/>
    <w:rsid w:val="000A5147"/>
    <w:rsid w:val="000A74EE"/>
    <w:rsid w:val="000B175B"/>
    <w:rsid w:val="000B3A0F"/>
    <w:rsid w:val="000B6007"/>
    <w:rsid w:val="000C2086"/>
    <w:rsid w:val="000C7DC8"/>
    <w:rsid w:val="000D38D6"/>
    <w:rsid w:val="000D58F6"/>
    <w:rsid w:val="000D75B4"/>
    <w:rsid w:val="000D7BAE"/>
    <w:rsid w:val="000E0415"/>
    <w:rsid w:val="000E46F2"/>
    <w:rsid w:val="000F19F8"/>
    <w:rsid w:val="000F7992"/>
    <w:rsid w:val="000F7AB3"/>
    <w:rsid w:val="0010159C"/>
    <w:rsid w:val="00115C6E"/>
    <w:rsid w:val="00116AD0"/>
    <w:rsid w:val="00117787"/>
    <w:rsid w:val="001206C9"/>
    <w:rsid w:val="0012636F"/>
    <w:rsid w:val="00131D42"/>
    <w:rsid w:val="00160075"/>
    <w:rsid w:val="00162C94"/>
    <w:rsid w:val="001633FB"/>
    <w:rsid w:val="00167786"/>
    <w:rsid w:val="00186060"/>
    <w:rsid w:val="001A537C"/>
    <w:rsid w:val="001A558D"/>
    <w:rsid w:val="001A5BD3"/>
    <w:rsid w:val="001A72A0"/>
    <w:rsid w:val="001B4B04"/>
    <w:rsid w:val="001C0631"/>
    <w:rsid w:val="001C6663"/>
    <w:rsid w:val="001C6877"/>
    <w:rsid w:val="001C7526"/>
    <w:rsid w:val="001C7895"/>
    <w:rsid w:val="001C7A0D"/>
    <w:rsid w:val="001D26DF"/>
    <w:rsid w:val="001D2FDC"/>
    <w:rsid w:val="001D31FD"/>
    <w:rsid w:val="001D79DB"/>
    <w:rsid w:val="001E5A95"/>
    <w:rsid w:val="001E71F6"/>
    <w:rsid w:val="001E7810"/>
    <w:rsid w:val="001F3FA0"/>
    <w:rsid w:val="001F4C6A"/>
    <w:rsid w:val="002016FA"/>
    <w:rsid w:val="00210B9C"/>
    <w:rsid w:val="002114DD"/>
    <w:rsid w:val="00211E0B"/>
    <w:rsid w:val="00212DFA"/>
    <w:rsid w:val="00213AFD"/>
    <w:rsid w:val="00220277"/>
    <w:rsid w:val="00221E51"/>
    <w:rsid w:val="002309A7"/>
    <w:rsid w:val="00235282"/>
    <w:rsid w:val="00237785"/>
    <w:rsid w:val="002403E7"/>
    <w:rsid w:val="00241466"/>
    <w:rsid w:val="00241743"/>
    <w:rsid w:val="00243932"/>
    <w:rsid w:val="002442CA"/>
    <w:rsid w:val="00253AD8"/>
    <w:rsid w:val="00260156"/>
    <w:rsid w:val="00261C88"/>
    <w:rsid w:val="00263EB2"/>
    <w:rsid w:val="002656C7"/>
    <w:rsid w:val="00266652"/>
    <w:rsid w:val="002671A8"/>
    <w:rsid w:val="002725CA"/>
    <w:rsid w:val="00274950"/>
    <w:rsid w:val="00276AFA"/>
    <w:rsid w:val="00280407"/>
    <w:rsid w:val="00280EB7"/>
    <w:rsid w:val="00284709"/>
    <w:rsid w:val="00286006"/>
    <w:rsid w:val="00286DC6"/>
    <w:rsid w:val="002A286C"/>
    <w:rsid w:val="002B1CDA"/>
    <w:rsid w:val="002B4AB6"/>
    <w:rsid w:val="002C1AE8"/>
    <w:rsid w:val="002C47E7"/>
    <w:rsid w:val="002D1732"/>
    <w:rsid w:val="002E3E7B"/>
    <w:rsid w:val="002F794A"/>
    <w:rsid w:val="0030379C"/>
    <w:rsid w:val="00306458"/>
    <w:rsid w:val="003107FA"/>
    <w:rsid w:val="0032058E"/>
    <w:rsid w:val="003229D8"/>
    <w:rsid w:val="00323E30"/>
    <w:rsid w:val="00337633"/>
    <w:rsid w:val="003435EA"/>
    <w:rsid w:val="0034759C"/>
    <w:rsid w:val="00351B9A"/>
    <w:rsid w:val="0036127B"/>
    <w:rsid w:val="00373BF8"/>
    <w:rsid w:val="00374D67"/>
    <w:rsid w:val="00376FC8"/>
    <w:rsid w:val="003770E6"/>
    <w:rsid w:val="003774C1"/>
    <w:rsid w:val="003912B8"/>
    <w:rsid w:val="0039277A"/>
    <w:rsid w:val="00397267"/>
    <w:rsid w:val="003972E0"/>
    <w:rsid w:val="003A0C75"/>
    <w:rsid w:val="003A25EB"/>
    <w:rsid w:val="003A58B0"/>
    <w:rsid w:val="003B3726"/>
    <w:rsid w:val="003B47FB"/>
    <w:rsid w:val="003B782D"/>
    <w:rsid w:val="003C24C1"/>
    <w:rsid w:val="003C2CC4"/>
    <w:rsid w:val="003C56AC"/>
    <w:rsid w:val="003C7B41"/>
    <w:rsid w:val="003D461F"/>
    <w:rsid w:val="003D4B23"/>
    <w:rsid w:val="003D6DC1"/>
    <w:rsid w:val="003E0AFF"/>
    <w:rsid w:val="003E211B"/>
    <w:rsid w:val="003E5B28"/>
    <w:rsid w:val="00407C96"/>
    <w:rsid w:val="00421AF2"/>
    <w:rsid w:val="0042233A"/>
    <w:rsid w:val="004325CB"/>
    <w:rsid w:val="00437F3F"/>
    <w:rsid w:val="00442626"/>
    <w:rsid w:val="00442DF8"/>
    <w:rsid w:val="00446DE4"/>
    <w:rsid w:val="004475BC"/>
    <w:rsid w:val="00447EDD"/>
    <w:rsid w:val="00450194"/>
    <w:rsid w:val="00450806"/>
    <w:rsid w:val="0045354F"/>
    <w:rsid w:val="00454036"/>
    <w:rsid w:val="00455585"/>
    <w:rsid w:val="00465AFB"/>
    <w:rsid w:val="00477705"/>
    <w:rsid w:val="00477D30"/>
    <w:rsid w:val="00483009"/>
    <w:rsid w:val="00485492"/>
    <w:rsid w:val="00492044"/>
    <w:rsid w:val="004B2C9D"/>
    <w:rsid w:val="004C1373"/>
    <w:rsid w:val="004C1EC5"/>
    <w:rsid w:val="004C2B9F"/>
    <w:rsid w:val="004C6FBA"/>
    <w:rsid w:val="004D56C3"/>
    <w:rsid w:val="004E05DD"/>
    <w:rsid w:val="004E7719"/>
    <w:rsid w:val="004F018B"/>
    <w:rsid w:val="004F0881"/>
    <w:rsid w:val="004F3384"/>
    <w:rsid w:val="00500363"/>
    <w:rsid w:val="00517A43"/>
    <w:rsid w:val="00527910"/>
    <w:rsid w:val="00527DE7"/>
    <w:rsid w:val="00534038"/>
    <w:rsid w:val="005420F2"/>
    <w:rsid w:val="00546203"/>
    <w:rsid w:val="005500DD"/>
    <w:rsid w:val="005501BE"/>
    <w:rsid w:val="00550A97"/>
    <w:rsid w:val="00553F21"/>
    <w:rsid w:val="00555B2C"/>
    <w:rsid w:val="005614D7"/>
    <w:rsid w:val="00563498"/>
    <w:rsid w:val="005649C7"/>
    <w:rsid w:val="00564DCF"/>
    <w:rsid w:val="00566C4F"/>
    <w:rsid w:val="00575122"/>
    <w:rsid w:val="00590144"/>
    <w:rsid w:val="00590E9D"/>
    <w:rsid w:val="00591271"/>
    <w:rsid w:val="0059403F"/>
    <w:rsid w:val="0059588D"/>
    <w:rsid w:val="005B03C6"/>
    <w:rsid w:val="005B151F"/>
    <w:rsid w:val="005B337B"/>
    <w:rsid w:val="005B3DB3"/>
    <w:rsid w:val="005B77F6"/>
    <w:rsid w:val="005C4FD9"/>
    <w:rsid w:val="005C60A3"/>
    <w:rsid w:val="005C6729"/>
    <w:rsid w:val="005C756D"/>
    <w:rsid w:val="005C7602"/>
    <w:rsid w:val="005E4EC1"/>
    <w:rsid w:val="005E53D8"/>
    <w:rsid w:val="005F7326"/>
    <w:rsid w:val="00600B82"/>
    <w:rsid w:val="006115EA"/>
    <w:rsid w:val="00611FC4"/>
    <w:rsid w:val="006176FB"/>
    <w:rsid w:val="00625E3D"/>
    <w:rsid w:val="00625E79"/>
    <w:rsid w:val="00627A79"/>
    <w:rsid w:val="00630C9C"/>
    <w:rsid w:val="00632868"/>
    <w:rsid w:val="0063419C"/>
    <w:rsid w:val="00640B26"/>
    <w:rsid w:val="0064599F"/>
    <w:rsid w:val="00645F74"/>
    <w:rsid w:val="006500BA"/>
    <w:rsid w:val="006547FF"/>
    <w:rsid w:val="006548D2"/>
    <w:rsid w:val="00665835"/>
    <w:rsid w:val="0066616B"/>
    <w:rsid w:val="006663B4"/>
    <w:rsid w:val="00666A12"/>
    <w:rsid w:val="00666C9B"/>
    <w:rsid w:val="00666E76"/>
    <w:rsid w:val="00666FF0"/>
    <w:rsid w:val="00674956"/>
    <w:rsid w:val="0068062A"/>
    <w:rsid w:val="006829A1"/>
    <w:rsid w:val="006946BA"/>
    <w:rsid w:val="006949CA"/>
    <w:rsid w:val="00695337"/>
    <w:rsid w:val="006A7392"/>
    <w:rsid w:val="006B0EDB"/>
    <w:rsid w:val="006B20F6"/>
    <w:rsid w:val="006B5E7A"/>
    <w:rsid w:val="006C0D34"/>
    <w:rsid w:val="006C1A2D"/>
    <w:rsid w:val="006D12B1"/>
    <w:rsid w:val="006D3172"/>
    <w:rsid w:val="006E4A89"/>
    <w:rsid w:val="006E564B"/>
    <w:rsid w:val="006E7571"/>
    <w:rsid w:val="006F2F51"/>
    <w:rsid w:val="006F6E56"/>
    <w:rsid w:val="006F7643"/>
    <w:rsid w:val="00704CDB"/>
    <w:rsid w:val="00711C13"/>
    <w:rsid w:val="007221B3"/>
    <w:rsid w:val="00724B47"/>
    <w:rsid w:val="0072632A"/>
    <w:rsid w:val="00734958"/>
    <w:rsid w:val="00744314"/>
    <w:rsid w:val="0074549D"/>
    <w:rsid w:val="00755330"/>
    <w:rsid w:val="00755888"/>
    <w:rsid w:val="00771040"/>
    <w:rsid w:val="00774DC9"/>
    <w:rsid w:val="007777E0"/>
    <w:rsid w:val="00782D80"/>
    <w:rsid w:val="007855DD"/>
    <w:rsid w:val="00790791"/>
    <w:rsid w:val="007911AE"/>
    <w:rsid w:val="0079329B"/>
    <w:rsid w:val="00796AE1"/>
    <w:rsid w:val="007A022A"/>
    <w:rsid w:val="007A6E20"/>
    <w:rsid w:val="007B08A0"/>
    <w:rsid w:val="007B1A7E"/>
    <w:rsid w:val="007B6BA5"/>
    <w:rsid w:val="007B77FB"/>
    <w:rsid w:val="007C2411"/>
    <w:rsid w:val="007C2A74"/>
    <w:rsid w:val="007C3390"/>
    <w:rsid w:val="007C4F4B"/>
    <w:rsid w:val="007D3F4C"/>
    <w:rsid w:val="007D659A"/>
    <w:rsid w:val="007E6132"/>
    <w:rsid w:val="007E79E3"/>
    <w:rsid w:val="007F021A"/>
    <w:rsid w:val="007F1AE8"/>
    <w:rsid w:val="007F6611"/>
    <w:rsid w:val="00800367"/>
    <w:rsid w:val="008063DA"/>
    <w:rsid w:val="008135DF"/>
    <w:rsid w:val="00813C48"/>
    <w:rsid w:val="00816AC5"/>
    <w:rsid w:val="008175E9"/>
    <w:rsid w:val="008212DE"/>
    <w:rsid w:val="00823B1A"/>
    <w:rsid w:val="008242D7"/>
    <w:rsid w:val="00824C37"/>
    <w:rsid w:val="00832EED"/>
    <w:rsid w:val="0085088D"/>
    <w:rsid w:val="0085291B"/>
    <w:rsid w:val="00861943"/>
    <w:rsid w:val="008650F3"/>
    <w:rsid w:val="00871FD5"/>
    <w:rsid w:val="0087312B"/>
    <w:rsid w:val="00876878"/>
    <w:rsid w:val="0088126D"/>
    <w:rsid w:val="00884FD0"/>
    <w:rsid w:val="008910B9"/>
    <w:rsid w:val="008915DA"/>
    <w:rsid w:val="00892078"/>
    <w:rsid w:val="008939C2"/>
    <w:rsid w:val="00895E97"/>
    <w:rsid w:val="008979B1"/>
    <w:rsid w:val="008A3016"/>
    <w:rsid w:val="008A3543"/>
    <w:rsid w:val="008A63F3"/>
    <w:rsid w:val="008A6B25"/>
    <w:rsid w:val="008A6C4F"/>
    <w:rsid w:val="008B63A7"/>
    <w:rsid w:val="008B7447"/>
    <w:rsid w:val="008C0282"/>
    <w:rsid w:val="008D470D"/>
    <w:rsid w:val="008D53CE"/>
    <w:rsid w:val="008D62E6"/>
    <w:rsid w:val="008E071B"/>
    <w:rsid w:val="008E0E46"/>
    <w:rsid w:val="008E26C9"/>
    <w:rsid w:val="008E38E6"/>
    <w:rsid w:val="008F79EE"/>
    <w:rsid w:val="00904B37"/>
    <w:rsid w:val="0091079D"/>
    <w:rsid w:val="00922550"/>
    <w:rsid w:val="009255A2"/>
    <w:rsid w:val="00930114"/>
    <w:rsid w:val="00932FD6"/>
    <w:rsid w:val="0093339A"/>
    <w:rsid w:val="00933818"/>
    <w:rsid w:val="00941249"/>
    <w:rsid w:val="00943472"/>
    <w:rsid w:val="00945A5D"/>
    <w:rsid w:val="00946A04"/>
    <w:rsid w:val="00947476"/>
    <w:rsid w:val="00953FB7"/>
    <w:rsid w:val="0095534D"/>
    <w:rsid w:val="0095612C"/>
    <w:rsid w:val="0095690E"/>
    <w:rsid w:val="00957117"/>
    <w:rsid w:val="00961C8B"/>
    <w:rsid w:val="00963CBA"/>
    <w:rsid w:val="00977B43"/>
    <w:rsid w:val="009854F2"/>
    <w:rsid w:val="0099124E"/>
    <w:rsid w:val="00991261"/>
    <w:rsid w:val="00996280"/>
    <w:rsid w:val="009A0835"/>
    <w:rsid w:val="009A71B8"/>
    <w:rsid w:val="009A7613"/>
    <w:rsid w:val="009B371C"/>
    <w:rsid w:val="009B4C36"/>
    <w:rsid w:val="009B7D7D"/>
    <w:rsid w:val="009C047F"/>
    <w:rsid w:val="009C0A9F"/>
    <w:rsid w:val="009C2FD5"/>
    <w:rsid w:val="009C4B33"/>
    <w:rsid w:val="009C4C96"/>
    <w:rsid w:val="009D1AAE"/>
    <w:rsid w:val="009D21EA"/>
    <w:rsid w:val="009D2254"/>
    <w:rsid w:val="009E523D"/>
    <w:rsid w:val="009E5372"/>
    <w:rsid w:val="009F0F06"/>
    <w:rsid w:val="009F4BF2"/>
    <w:rsid w:val="00A134AB"/>
    <w:rsid w:val="00A13947"/>
    <w:rsid w:val="00A1427D"/>
    <w:rsid w:val="00A173D0"/>
    <w:rsid w:val="00A20C74"/>
    <w:rsid w:val="00A22C21"/>
    <w:rsid w:val="00A3012E"/>
    <w:rsid w:val="00A310BE"/>
    <w:rsid w:val="00A34D55"/>
    <w:rsid w:val="00A357CC"/>
    <w:rsid w:val="00A37600"/>
    <w:rsid w:val="00A464D6"/>
    <w:rsid w:val="00A50007"/>
    <w:rsid w:val="00A60C34"/>
    <w:rsid w:val="00A7002D"/>
    <w:rsid w:val="00A72F22"/>
    <w:rsid w:val="00A73040"/>
    <w:rsid w:val="00A748A6"/>
    <w:rsid w:val="00A74A73"/>
    <w:rsid w:val="00A74EF3"/>
    <w:rsid w:val="00A75B6F"/>
    <w:rsid w:val="00A75EC9"/>
    <w:rsid w:val="00A8523D"/>
    <w:rsid w:val="00A86F88"/>
    <w:rsid w:val="00A879A4"/>
    <w:rsid w:val="00A90303"/>
    <w:rsid w:val="00A9116B"/>
    <w:rsid w:val="00A93914"/>
    <w:rsid w:val="00A93EFD"/>
    <w:rsid w:val="00A941DA"/>
    <w:rsid w:val="00A9451B"/>
    <w:rsid w:val="00A959E8"/>
    <w:rsid w:val="00AA0942"/>
    <w:rsid w:val="00AA6ADE"/>
    <w:rsid w:val="00AB2B67"/>
    <w:rsid w:val="00AC12E0"/>
    <w:rsid w:val="00AC1B07"/>
    <w:rsid w:val="00AC2E70"/>
    <w:rsid w:val="00AC4017"/>
    <w:rsid w:val="00AD0CC9"/>
    <w:rsid w:val="00AE06E2"/>
    <w:rsid w:val="00AF17E0"/>
    <w:rsid w:val="00AF523B"/>
    <w:rsid w:val="00AF57EC"/>
    <w:rsid w:val="00B022B6"/>
    <w:rsid w:val="00B15166"/>
    <w:rsid w:val="00B25562"/>
    <w:rsid w:val="00B30179"/>
    <w:rsid w:val="00B3094C"/>
    <w:rsid w:val="00B314E5"/>
    <w:rsid w:val="00B31E9A"/>
    <w:rsid w:val="00B3282A"/>
    <w:rsid w:val="00B3317B"/>
    <w:rsid w:val="00B33E86"/>
    <w:rsid w:val="00B4226A"/>
    <w:rsid w:val="00B431FF"/>
    <w:rsid w:val="00B44CA8"/>
    <w:rsid w:val="00B57906"/>
    <w:rsid w:val="00B57966"/>
    <w:rsid w:val="00B6275B"/>
    <w:rsid w:val="00B63BC3"/>
    <w:rsid w:val="00B707EC"/>
    <w:rsid w:val="00B80FB1"/>
    <w:rsid w:val="00B81E12"/>
    <w:rsid w:val="00B85A05"/>
    <w:rsid w:val="00B91898"/>
    <w:rsid w:val="00B93068"/>
    <w:rsid w:val="00B94CD7"/>
    <w:rsid w:val="00BA10AE"/>
    <w:rsid w:val="00BB0133"/>
    <w:rsid w:val="00BB027F"/>
    <w:rsid w:val="00BB4C7F"/>
    <w:rsid w:val="00BB4E6C"/>
    <w:rsid w:val="00BC4682"/>
    <w:rsid w:val="00BC5903"/>
    <w:rsid w:val="00BC603D"/>
    <w:rsid w:val="00BC74E9"/>
    <w:rsid w:val="00BD23D8"/>
    <w:rsid w:val="00BD36F7"/>
    <w:rsid w:val="00BE16D0"/>
    <w:rsid w:val="00BE2559"/>
    <w:rsid w:val="00BE3BEE"/>
    <w:rsid w:val="00BE40BD"/>
    <w:rsid w:val="00BE618E"/>
    <w:rsid w:val="00BF169C"/>
    <w:rsid w:val="00BF415E"/>
    <w:rsid w:val="00BF658E"/>
    <w:rsid w:val="00BF7B3C"/>
    <w:rsid w:val="00BF7DE7"/>
    <w:rsid w:val="00C07858"/>
    <w:rsid w:val="00C07C97"/>
    <w:rsid w:val="00C1746C"/>
    <w:rsid w:val="00C32725"/>
    <w:rsid w:val="00C44E98"/>
    <w:rsid w:val="00C463DD"/>
    <w:rsid w:val="00C608D3"/>
    <w:rsid w:val="00C62F76"/>
    <w:rsid w:val="00C667E3"/>
    <w:rsid w:val="00C7192D"/>
    <w:rsid w:val="00C745C3"/>
    <w:rsid w:val="00C7487E"/>
    <w:rsid w:val="00C77DF8"/>
    <w:rsid w:val="00C80E70"/>
    <w:rsid w:val="00C933C4"/>
    <w:rsid w:val="00C97788"/>
    <w:rsid w:val="00CA1C09"/>
    <w:rsid w:val="00CA2BDD"/>
    <w:rsid w:val="00CA2FB6"/>
    <w:rsid w:val="00CB4525"/>
    <w:rsid w:val="00CB5A4F"/>
    <w:rsid w:val="00CB64AE"/>
    <w:rsid w:val="00CB74BE"/>
    <w:rsid w:val="00CC2AEA"/>
    <w:rsid w:val="00CC5473"/>
    <w:rsid w:val="00CC5FB1"/>
    <w:rsid w:val="00CD3225"/>
    <w:rsid w:val="00CD5A1E"/>
    <w:rsid w:val="00CD5FED"/>
    <w:rsid w:val="00CE46BA"/>
    <w:rsid w:val="00CE4A8F"/>
    <w:rsid w:val="00CE57DA"/>
    <w:rsid w:val="00CF03B5"/>
    <w:rsid w:val="00CF4589"/>
    <w:rsid w:val="00CF5E82"/>
    <w:rsid w:val="00CF7E49"/>
    <w:rsid w:val="00D07023"/>
    <w:rsid w:val="00D1626A"/>
    <w:rsid w:val="00D2031B"/>
    <w:rsid w:val="00D24605"/>
    <w:rsid w:val="00D25FE2"/>
    <w:rsid w:val="00D31E44"/>
    <w:rsid w:val="00D327F7"/>
    <w:rsid w:val="00D33DBC"/>
    <w:rsid w:val="00D34630"/>
    <w:rsid w:val="00D35BDD"/>
    <w:rsid w:val="00D36689"/>
    <w:rsid w:val="00D40A51"/>
    <w:rsid w:val="00D43252"/>
    <w:rsid w:val="00D46231"/>
    <w:rsid w:val="00D51B00"/>
    <w:rsid w:val="00D619B6"/>
    <w:rsid w:val="00D625F6"/>
    <w:rsid w:val="00D62C6B"/>
    <w:rsid w:val="00D64ADA"/>
    <w:rsid w:val="00D71E1A"/>
    <w:rsid w:val="00D71E33"/>
    <w:rsid w:val="00D729F2"/>
    <w:rsid w:val="00D753D8"/>
    <w:rsid w:val="00D8365F"/>
    <w:rsid w:val="00D83B2B"/>
    <w:rsid w:val="00D84A21"/>
    <w:rsid w:val="00D96CC5"/>
    <w:rsid w:val="00D978C6"/>
    <w:rsid w:val="00DA67AD"/>
    <w:rsid w:val="00DA7D7C"/>
    <w:rsid w:val="00DB2840"/>
    <w:rsid w:val="00DD0126"/>
    <w:rsid w:val="00DD1C3A"/>
    <w:rsid w:val="00DD45EA"/>
    <w:rsid w:val="00DD62B9"/>
    <w:rsid w:val="00DD66D0"/>
    <w:rsid w:val="00DE7A2F"/>
    <w:rsid w:val="00DF144B"/>
    <w:rsid w:val="00DF1892"/>
    <w:rsid w:val="00DF18E3"/>
    <w:rsid w:val="00DF293E"/>
    <w:rsid w:val="00DF4A50"/>
    <w:rsid w:val="00E05346"/>
    <w:rsid w:val="00E130AB"/>
    <w:rsid w:val="00E1345B"/>
    <w:rsid w:val="00E14A46"/>
    <w:rsid w:val="00E1679E"/>
    <w:rsid w:val="00E16A7F"/>
    <w:rsid w:val="00E207EC"/>
    <w:rsid w:val="00E3580F"/>
    <w:rsid w:val="00E35D04"/>
    <w:rsid w:val="00E44F53"/>
    <w:rsid w:val="00E4580E"/>
    <w:rsid w:val="00E5644E"/>
    <w:rsid w:val="00E607EB"/>
    <w:rsid w:val="00E7260F"/>
    <w:rsid w:val="00E74A38"/>
    <w:rsid w:val="00E81230"/>
    <w:rsid w:val="00E852DA"/>
    <w:rsid w:val="00E8535A"/>
    <w:rsid w:val="00E86AD3"/>
    <w:rsid w:val="00E90C5D"/>
    <w:rsid w:val="00E933C4"/>
    <w:rsid w:val="00E96386"/>
    <w:rsid w:val="00E96630"/>
    <w:rsid w:val="00E96952"/>
    <w:rsid w:val="00EA23B2"/>
    <w:rsid w:val="00EA34E1"/>
    <w:rsid w:val="00EA6E78"/>
    <w:rsid w:val="00EA772F"/>
    <w:rsid w:val="00EB3322"/>
    <w:rsid w:val="00EB6832"/>
    <w:rsid w:val="00EC271A"/>
    <w:rsid w:val="00EC4D9F"/>
    <w:rsid w:val="00ED14CB"/>
    <w:rsid w:val="00ED4A3F"/>
    <w:rsid w:val="00ED7077"/>
    <w:rsid w:val="00ED7A2A"/>
    <w:rsid w:val="00EE01DB"/>
    <w:rsid w:val="00EE7FDC"/>
    <w:rsid w:val="00EF1D7F"/>
    <w:rsid w:val="00F0012D"/>
    <w:rsid w:val="00F0135D"/>
    <w:rsid w:val="00F02A23"/>
    <w:rsid w:val="00F03464"/>
    <w:rsid w:val="00F170DF"/>
    <w:rsid w:val="00F22FBC"/>
    <w:rsid w:val="00F247F0"/>
    <w:rsid w:val="00F36A8B"/>
    <w:rsid w:val="00F37510"/>
    <w:rsid w:val="00F40E75"/>
    <w:rsid w:val="00F46C61"/>
    <w:rsid w:val="00F51FB6"/>
    <w:rsid w:val="00F52545"/>
    <w:rsid w:val="00F525DE"/>
    <w:rsid w:val="00F54674"/>
    <w:rsid w:val="00F608CD"/>
    <w:rsid w:val="00F627B2"/>
    <w:rsid w:val="00F7349B"/>
    <w:rsid w:val="00F81FBF"/>
    <w:rsid w:val="00F910D0"/>
    <w:rsid w:val="00F91EA1"/>
    <w:rsid w:val="00F9331F"/>
    <w:rsid w:val="00FA1334"/>
    <w:rsid w:val="00FA2871"/>
    <w:rsid w:val="00FA7FAC"/>
    <w:rsid w:val="00FB0284"/>
    <w:rsid w:val="00FB7353"/>
    <w:rsid w:val="00FB7D3A"/>
    <w:rsid w:val="00FC4A05"/>
    <w:rsid w:val="00FC68B7"/>
    <w:rsid w:val="00FD6B2B"/>
    <w:rsid w:val="00FE1305"/>
    <w:rsid w:val="00FE4382"/>
    <w:rsid w:val="00FF03BB"/>
    <w:rsid w:val="00FF2EB1"/>
    <w:rsid w:val="00FF3AE7"/>
    <w:rsid w:val="00FF52D7"/>
    <w:rsid w:val="00FF5FC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70C9"/>
  <w15:docId w15:val="{40D308F6-BE34-489C-9FEE-5F98E0C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B44CA8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0225F6D-EAE7-4609-BF8E-7D45E8A3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8525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2018-04-05T08:47:00Z</cp:lastPrinted>
  <dcterms:created xsi:type="dcterms:W3CDTF">2018-04-03T12:25:00Z</dcterms:created>
  <dcterms:modified xsi:type="dcterms:W3CDTF">2018-04-05T09:21:00Z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