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F08D5">
            <w:pPr>
              <w:pStyle w:val="Title"/>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EC020C">
            <w:pPr>
              <w:jc w:val="right"/>
            </w:pPr>
            <w:r>
              <w:rPr>
                <w:sz w:val="40"/>
              </w:rPr>
              <w:t>ST</w:t>
            </w:r>
            <w:r>
              <w:t>/SG/AC.10/C.3/2018/</w:t>
            </w:r>
            <w:r w:rsidR="00397A7C">
              <w:t xml:space="preserve">100 </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365E68" w:rsidP="006D12B1">
            <w:pPr>
              <w:spacing w:before="120"/>
              <w:jc w:val="center"/>
            </w:pPr>
            <w:r w:rsidRPr="00CB4C2D">
              <w:rPr>
                <w:noProof/>
                <w:lang w:val="de-DE" w:eastAsia="de-DE"/>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023507" w:rsidP="006D12B1">
            <w:pPr>
              <w:spacing w:line="240" w:lineRule="exact"/>
            </w:pPr>
            <w:r>
              <w:t>3 September</w:t>
            </w:r>
            <w:r w:rsidR="00EC020C">
              <w:t xml:space="preserve"> 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Pr>
                <w:b/>
              </w:rPr>
              <w:t xml:space="preserve">Sub-Committee of Experts on the Transport </w:t>
            </w:r>
            <w:r>
              <w:rPr>
                <w:b/>
              </w:rPr>
              <w:br/>
              <w:t xml:space="preserve">of Dangerous Goods </w:t>
            </w:r>
          </w:p>
        </w:tc>
      </w:tr>
      <w:tr w:rsidR="009B371C" w:rsidRPr="00CE57DA" w:rsidTr="009B371C">
        <w:tc>
          <w:tcPr>
            <w:tcW w:w="9639" w:type="dxa"/>
            <w:shd w:val="clear" w:color="auto" w:fill="auto"/>
          </w:tcPr>
          <w:p w:rsidR="006133E8" w:rsidRPr="006133E8" w:rsidRDefault="006133E8" w:rsidP="006133E8">
            <w:pPr>
              <w:spacing w:before="100"/>
              <w:rPr>
                <w:b/>
              </w:rPr>
            </w:pPr>
            <w:r w:rsidRPr="006133E8">
              <w:rPr>
                <w:b/>
              </w:rPr>
              <w:t>Fifty-fourth session</w:t>
            </w:r>
          </w:p>
          <w:p w:rsidR="006133E8" w:rsidRPr="006133E8" w:rsidRDefault="006133E8" w:rsidP="006133E8">
            <w:pPr>
              <w:rPr>
                <w:b/>
              </w:rPr>
            </w:pPr>
            <w:r w:rsidRPr="006133E8">
              <w:t>Geneva, 26 November-4 December 2018</w:t>
            </w:r>
            <w:r w:rsidRPr="006133E8">
              <w:br/>
              <w:t xml:space="preserve">Item </w:t>
            </w:r>
            <w:r w:rsidR="00285C6D">
              <w:t>2 (f)</w:t>
            </w:r>
            <w:r w:rsidRPr="006133E8">
              <w:t xml:space="preserve"> of the provisional agenda</w:t>
            </w:r>
          </w:p>
          <w:p w:rsidR="009B371C" w:rsidRPr="00285C6D" w:rsidRDefault="00285C6D" w:rsidP="006133E8">
            <w:pPr>
              <w:spacing w:after="120"/>
              <w:ind w:right="199"/>
              <w:rPr>
                <w:b/>
                <w:bCs/>
              </w:rPr>
            </w:pPr>
            <w:r w:rsidRPr="00285C6D">
              <w:rPr>
                <w:b/>
                <w:bCs/>
              </w:rPr>
              <w:t xml:space="preserve">Recommendations made by the Sub-Committee on its fifty-first, </w:t>
            </w:r>
            <w:r w:rsidRPr="00285C6D">
              <w:rPr>
                <w:b/>
                <w:bCs/>
              </w:rPr>
              <w:br/>
              <w:t>fifty-second and fifty-third sessions and pending issues:</w:t>
            </w:r>
            <w:r w:rsidRPr="00285C6D">
              <w:rPr>
                <w:b/>
                <w:bCs/>
              </w:rPr>
              <w:br/>
              <w:t>miscellaneous pending issues</w:t>
            </w:r>
          </w:p>
        </w:tc>
      </w:tr>
    </w:tbl>
    <w:p w:rsidR="00285C6D" w:rsidRPr="00285C6D" w:rsidRDefault="00285C6D" w:rsidP="00285C6D">
      <w:pPr>
        <w:pStyle w:val="HChG"/>
        <w:rPr>
          <w:lang w:val="en-US"/>
        </w:rPr>
      </w:pPr>
      <w:r>
        <w:rPr>
          <w:lang w:val="en-US"/>
        </w:rPr>
        <w:tab/>
      </w:r>
      <w:r>
        <w:rPr>
          <w:lang w:val="en-US"/>
        </w:rPr>
        <w:tab/>
      </w:r>
      <w:r w:rsidRPr="00285C6D">
        <w:rPr>
          <w:lang w:val="en-US"/>
        </w:rPr>
        <w:t>Chapter 6.7 and portable tank special provisions</w:t>
      </w:r>
    </w:p>
    <w:p w:rsidR="00285C6D" w:rsidRDefault="00285C6D" w:rsidP="00285C6D">
      <w:pPr>
        <w:pStyle w:val="H1G"/>
        <w:rPr>
          <w:lang w:val="en-US"/>
        </w:rPr>
      </w:pPr>
      <w:r w:rsidRPr="00285C6D">
        <w:rPr>
          <w:lang w:val="en-US"/>
        </w:rPr>
        <w:tab/>
      </w:r>
      <w:r w:rsidRPr="00285C6D">
        <w:rPr>
          <w:lang w:val="en-US"/>
        </w:rPr>
        <w:tab/>
        <w:t>Transmitted by the expert from Belgium</w:t>
      </w:r>
      <w:r>
        <w:rPr>
          <w:rStyle w:val="FootnoteReference"/>
          <w:lang w:val="en-US"/>
        </w:rPr>
        <w:footnoteReference w:customMarkFollows="1" w:id="2"/>
        <w:t>*</w:t>
      </w:r>
    </w:p>
    <w:p w:rsidR="00285C6D" w:rsidRPr="00285C6D" w:rsidRDefault="00285C6D" w:rsidP="00285C6D">
      <w:pPr>
        <w:pStyle w:val="H1G"/>
      </w:pPr>
      <w:r w:rsidRPr="00285C6D">
        <w:tab/>
      </w:r>
      <w:r w:rsidRPr="00285C6D">
        <w:tab/>
      </w:r>
      <w:r>
        <w:t>Introduction</w:t>
      </w:r>
    </w:p>
    <w:p w:rsidR="00285C6D" w:rsidRPr="00285C6D" w:rsidRDefault="00285C6D" w:rsidP="00285C6D">
      <w:pPr>
        <w:pStyle w:val="SingleTxtG"/>
      </w:pPr>
      <w:r w:rsidRPr="00285C6D">
        <w:t>1.</w:t>
      </w:r>
      <w:r w:rsidRPr="00285C6D">
        <w:tab/>
        <w:t>During the fifty-second and fifty-third sessions</w:t>
      </w:r>
      <w:r>
        <w:t xml:space="preserve"> of the </w:t>
      </w:r>
      <w:r w:rsidR="00023507">
        <w:t>Sub-Committee</w:t>
      </w:r>
      <w:r w:rsidRPr="00285C6D">
        <w:t xml:space="preserve">, Belgium respectively brought forward </w:t>
      </w:r>
      <w:r>
        <w:t>informal document</w:t>
      </w:r>
      <w:r w:rsidRPr="00285C6D">
        <w:t xml:space="preserve"> </w:t>
      </w:r>
      <w:hyperlink r:id="rId10" w:history="1">
        <w:r w:rsidRPr="00285C6D">
          <w:rPr>
            <w:rStyle w:val="Hyperlink"/>
            <w:rFonts w:asciiTheme="majorBidi" w:hAnsiTheme="majorBidi" w:cstheme="majorBidi"/>
          </w:rPr>
          <w:t>INF.25</w:t>
        </w:r>
      </w:hyperlink>
      <w:r>
        <w:rPr>
          <w:rStyle w:val="Hyperlink"/>
          <w:rFonts w:asciiTheme="majorBidi" w:hAnsiTheme="majorBidi" w:cstheme="majorBidi"/>
        </w:rPr>
        <w:t xml:space="preserve"> (</w:t>
      </w:r>
      <w:r w:rsidR="00023507">
        <w:rPr>
          <w:rStyle w:val="Hyperlink"/>
          <w:rFonts w:asciiTheme="majorBidi" w:hAnsiTheme="majorBidi" w:cstheme="majorBidi"/>
        </w:rPr>
        <w:t>fifty-second</w:t>
      </w:r>
      <w:r>
        <w:rPr>
          <w:rStyle w:val="Hyperlink"/>
          <w:rFonts w:asciiTheme="majorBidi" w:hAnsiTheme="majorBidi" w:cstheme="majorBidi"/>
        </w:rPr>
        <w:t xml:space="preserve"> session)</w:t>
      </w:r>
      <w:r w:rsidRPr="00285C6D">
        <w:t xml:space="preserve"> and </w:t>
      </w:r>
      <w:r>
        <w:t>ST/SG/AC.10/C.3/2018/41.</w:t>
      </w:r>
      <w:r w:rsidRPr="00285C6D">
        <w:t xml:space="preserve"> It was explained that in paragraph 6.7.3.4.1 on the minimal shell thickness of portable tanks intended for the transport of non-refrigerated liquefied gases, no reference was made to the portable tank special provisions in 4.2.5.3. Some of these portable tank special provisions (i.e. TP19 and TP21) are however applicable to the minimal shell thickness of portable tanks intended for the transport of non-refrigerated liquefied gases. </w:t>
      </w:r>
      <w:proofErr w:type="gramStart"/>
      <w:r w:rsidRPr="00285C6D">
        <w:t>Furthermore</w:t>
      </w:r>
      <w:proofErr w:type="gramEnd"/>
      <w:r w:rsidRPr="00285C6D">
        <w:t xml:space="preserve"> a similar reference </w:t>
      </w:r>
      <w:r w:rsidR="00023507">
        <w:t xml:space="preserve">exists in </w:t>
      </w:r>
      <w:r w:rsidRPr="00285C6D">
        <w:t>6.7.2.4.1 that applies to the minimal shell thickness of portable tanks that are intended for the transpor</w:t>
      </w:r>
      <w:r w:rsidR="00023507">
        <w:t>t of substances of Class 1 and classes 3 to </w:t>
      </w:r>
      <w:r w:rsidRPr="00285C6D">
        <w:t>9.</w:t>
      </w:r>
    </w:p>
    <w:p w:rsidR="00285C6D" w:rsidRPr="00285C6D" w:rsidRDefault="00285C6D" w:rsidP="00285C6D">
      <w:pPr>
        <w:pStyle w:val="SingleTxtG"/>
      </w:pPr>
      <w:r w:rsidRPr="00285C6D">
        <w:t>2.</w:t>
      </w:r>
      <w:r w:rsidRPr="00285C6D">
        <w:tab/>
        <w:t xml:space="preserve">During the fifty-third session, it was agreed that the current text should be clarified and several comments were received. Nevertheless no consensus could be reached after which Belgium decided to withdraw document </w:t>
      </w:r>
      <w:hyperlink r:id="rId11" w:history="1">
        <w:r>
          <w:t>ST/SG/AC.10/C.3/2018/41</w:t>
        </w:r>
      </w:hyperlink>
      <w:r w:rsidRPr="00285C6D">
        <w:t xml:space="preserve"> and come up with a new proposal for the next session taking into account the comments made (</w:t>
      </w:r>
      <w:r>
        <w:t xml:space="preserve">ST/SG/AC.10/C.3/106 para. </w:t>
      </w:r>
      <w:r w:rsidRPr="00285C6D">
        <w:t>130).</w:t>
      </w:r>
    </w:p>
    <w:p w:rsidR="00285C6D" w:rsidRDefault="00285C6D">
      <w:pPr>
        <w:suppressAutoHyphens w:val="0"/>
        <w:spacing w:line="240" w:lineRule="auto"/>
      </w:pPr>
      <w:r>
        <w:br w:type="page"/>
      </w:r>
    </w:p>
    <w:p w:rsidR="00285C6D" w:rsidRPr="00285C6D" w:rsidRDefault="00285C6D" w:rsidP="00285C6D">
      <w:pPr>
        <w:pStyle w:val="SingleTxtG"/>
      </w:pPr>
      <w:r w:rsidRPr="00285C6D">
        <w:lastRenderedPageBreak/>
        <w:t>3.</w:t>
      </w:r>
      <w:r w:rsidRPr="00285C6D">
        <w:tab/>
        <w:t>During the fifty-second an</w:t>
      </w:r>
      <w:r>
        <w:t xml:space="preserve">d fifty-third session of the </w:t>
      </w:r>
      <w:r w:rsidR="00023507">
        <w:t>Sub-Committee</w:t>
      </w:r>
      <w:r w:rsidRPr="00285C6D">
        <w:t xml:space="preserve">, Belgium also respectively brought forward </w:t>
      </w:r>
      <w:r>
        <w:t>informal document</w:t>
      </w:r>
      <w:r w:rsidRPr="00285C6D">
        <w:t xml:space="preserve"> </w:t>
      </w:r>
      <w:hyperlink r:id="rId12" w:history="1">
        <w:r w:rsidRPr="00285C6D">
          <w:rPr>
            <w:rStyle w:val="Hyperlink"/>
            <w:rFonts w:asciiTheme="majorBidi" w:hAnsiTheme="majorBidi" w:cstheme="majorBidi"/>
          </w:rPr>
          <w:t>INF.26</w:t>
        </w:r>
      </w:hyperlink>
      <w:r w:rsidRPr="00285C6D">
        <w:t xml:space="preserve"> </w:t>
      </w:r>
      <w:r>
        <w:t>(</w:t>
      </w:r>
      <w:r w:rsidR="00023507">
        <w:t>fifty-second</w:t>
      </w:r>
      <w:r>
        <w:t xml:space="preserve"> session) </w:t>
      </w:r>
      <w:r w:rsidRPr="00285C6D">
        <w:t>and</w:t>
      </w:r>
      <w:r>
        <w:t xml:space="preserve"> ST/SG/AC.10/C.3/2018/43</w:t>
      </w:r>
      <w:r w:rsidRPr="00285C6D">
        <w:t xml:space="preserve"> in which several options were proposed for clarification of TP19. Option 1 of this proposal, with some minor amendments, was unanimously chosen at the fifty-third session. Given the ongoing discussion about the reference to be made in 6.7.3.4.1 and the comments received, we feel that the text accepted for TP19 can still be improved to provide additional clarity.</w:t>
      </w:r>
    </w:p>
    <w:p w:rsidR="00285C6D" w:rsidRPr="00285C6D" w:rsidRDefault="00285C6D" w:rsidP="00285C6D">
      <w:pPr>
        <w:pStyle w:val="SingleTxtG"/>
      </w:pPr>
      <w:r w:rsidRPr="00285C6D">
        <w:t>4.</w:t>
      </w:r>
      <w:r w:rsidRPr="00285C6D">
        <w:tab/>
        <w:t xml:space="preserve">When preparing this document, we also found out that there are </w:t>
      </w:r>
      <w:proofErr w:type="gramStart"/>
      <w:r w:rsidRPr="00285C6D">
        <w:t>a number of</w:t>
      </w:r>
      <w:proofErr w:type="gramEnd"/>
      <w:r w:rsidRPr="00285C6D">
        <w:t xml:space="preserve"> corrections that should be </w:t>
      </w:r>
      <w:r w:rsidR="00023507">
        <w:t>made to the other instances in C</w:t>
      </w:r>
      <w:r w:rsidRPr="00285C6D">
        <w:t xml:space="preserve">hapter 6.7 where reference is made </w:t>
      </w:r>
      <w:r w:rsidR="00023507">
        <w:t>to</w:t>
      </w:r>
      <w:r w:rsidRPr="00285C6D">
        <w:t xml:space="preserve"> the portable tank special provisions, which we also included in this document.</w:t>
      </w:r>
    </w:p>
    <w:p w:rsidR="00285C6D" w:rsidRPr="00285C6D" w:rsidRDefault="00285C6D" w:rsidP="00285C6D">
      <w:pPr>
        <w:pStyle w:val="HChG"/>
        <w:rPr>
          <w:lang w:val="en-US"/>
        </w:rPr>
      </w:pPr>
      <w:r>
        <w:rPr>
          <w:lang w:val="en-US"/>
        </w:rPr>
        <w:tab/>
      </w:r>
      <w:r>
        <w:rPr>
          <w:lang w:val="en-US"/>
        </w:rPr>
        <w:tab/>
      </w:r>
      <w:r w:rsidRPr="00285C6D">
        <w:rPr>
          <w:lang w:val="en-US"/>
        </w:rPr>
        <w:t>Proposals</w:t>
      </w:r>
    </w:p>
    <w:p w:rsidR="00285C6D" w:rsidRPr="00285C6D" w:rsidRDefault="00285C6D" w:rsidP="00285C6D">
      <w:pPr>
        <w:pStyle w:val="H1G"/>
        <w:rPr>
          <w:lang w:val="en-US"/>
        </w:rPr>
      </w:pPr>
      <w:r>
        <w:rPr>
          <w:lang w:val="en-US"/>
        </w:rPr>
        <w:tab/>
      </w:r>
      <w:r>
        <w:rPr>
          <w:lang w:val="en-US"/>
        </w:rPr>
        <w:tab/>
        <w:t>Proposal 1</w:t>
      </w:r>
    </w:p>
    <w:p w:rsidR="00285C6D" w:rsidRPr="00285C6D" w:rsidRDefault="00285C6D" w:rsidP="00285C6D">
      <w:pPr>
        <w:pStyle w:val="SingleTxtG"/>
      </w:pPr>
      <w:r w:rsidRPr="00285C6D">
        <w:t>5.</w:t>
      </w:r>
      <w:r w:rsidRPr="00285C6D">
        <w:tab/>
        <w:t xml:space="preserve">Amend the text of TP19 </w:t>
      </w:r>
      <w:r w:rsidR="00023507">
        <w:t>adopted at the fifty-third</w:t>
      </w:r>
      <w:r w:rsidRPr="00285C6D">
        <w:t xml:space="preserve"> session of the Sub-Committee </w:t>
      </w:r>
      <w:r w:rsidR="00023507">
        <w:t xml:space="preserve">and reproduced in the consolidated list of amendments prepared by the secretariat (ST/SG/AC.10/C.3/2018/65) </w:t>
      </w:r>
      <w:r w:rsidRPr="00285C6D">
        <w:t>to read (</w:t>
      </w:r>
      <w:r w:rsidRPr="00285C6D">
        <w:rPr>
          <w:u w:val="single"/>
        </w:rPr>
        <w:t>new text underlined</w:t>
      </w:r>
      <w:r w:rsidRPr="00285C6D">
        <w:t xml:space="preserve">, </w:t>
      </w:r>
      <w:r w:rsidRPr="00285C6D">
        <w:rPr>
          <w:strike/>
        </w:rPr>
        <w:t>deleted text stricken through</w:t>
      </w:r>
      <w:r w:rsidRPr="00285C6D">
        <w:t>):</w:t>
      </w:r>
    </w:p>
    <w:p w:rsidR="00285C6D" w:rsidRPr="00285C6D" w:rsidRDefault="00285C6D" w:rsidP="00285C6D">
      <w:pPr>
        <w:pStyle w:val="SingleTxtG"/>
        <w:ind w:left="1701"/>
      </w:pPr>
      <w:r w:rsidRPr="00285C6D">
        <w:t>“</w:t>
      </w:r>
      <w:r w:rsidRPr="00285C6D">
        <w:rPr>
          <w:b/>
        </w:rPr>
        <w:t>TP19</w:t>
      </w:r>
      <w:r w:rsidRPr="00285C6D">
        <w:t xml:space="preserve"> At the time of construction, the </w:t>
      </w:r>
      <w:r w:rsidRPr="00285C6D">
        <w:rPr>
          <w:strike/>
        </w:rPr>
        <w:t>calculated</w:t>
      </w:r>
      <w:r w:rsidRPr="00285C6D">
        <w:t xml:space="preserve"> </w:t>
      </w:r>
      <w:r w:rsidRPr="00285C6D">
        <w:rPr>
          <w:u w:val="single"/>
        </w:rPr>
        <w:t>minimum</w:t>
      </w:r>
      <w:r w:rsidRPr="00285C6D">
        <w:t xml:space="preserve"> shell thickness </w:t>
      </w:r>
      <w:r w:rsidRPr="00285C6D">
        <w:rPr>
          <w:u w:val="single"/>
        </w:rPr>
        <w:t>determined according to 6.7.3.4</w:t>
      </w:r>
      <w:r w:rsidRPr="00285C6D">
        <w:t xml:space="preserve"> shall be increased by 3 mm as a corrosion allowance. Shell thickness shall be verified ultrasonically at intervals midway between periodic hydraulic tests and shall never be lower than the </w:t>
      </w:r>
      <w:r w:rsidRPr="00285C6D">
        <w:rPr>
          <w:strike/>
        </w:rPr>
        <w:t>calculated</w:t>
      </w:r>
      <w:r w:rsidRPr="00285C6D">
        <w:t xml:space="preserve"> </w:t>
      </w:r>
      <w:r w:rsidRPr="00285C6D">
        <w:rPr>
          <w:u w:val="single"/>
        </w:rPr>
        <w:t>minimum</w:t>
      </w:r>
      <w:r w:rsidRPr="00285C6D">
        <w:t xml:space="preserve"> shell thickness </w:t>
      </w:r>
      <w:r w:rsidRPr="00285C6D">
        <w:rPr>
          <w:u w:val="single"/>
        </w:rPr>
        <w:t>determined according to 6.7.3.4</w:t>
      </w:r>
      <w:r w:rsidRPr="00285C6D">
        <w:t>.”</w:t>
      </w:r>
    </w:p>
    <w:p w:rsidR="00285C6D" w:rsidRPr="00285C6D" w:rsidRDefault="00285C6D" w:rsidP="00023507">
      <w:pPr>
        <w:pStyle w:val="H23G"/>
      </w:pPr>
      <w:r>
        <w:tab/>
      </w:r>
      <w:r>
        <w:tab/>
      </w:r>
      <w:r w:rsidRPr="00285C6D">
        <w:t>Justification</w:t>
      </w:r>
    </w:p>
    <w:p w:rsidR="00285C6D" w:rsidRPr="00285C6D" w:rsidRDefault="00285C6D" w:rsidP="00285C6D">
      <w:pPr>
        <w:pStyle w:val="SingleTxtG"/>
      </w:pPr>
      <w:r w:rsidRPr="00285C6D">
        <w:t>6.</w:t>
      </w:r>
      <w:r w:rsidRPr="00285C6D">
        <w:tab/>
        <w:t xml:space="preserve">Amending the text as proposed clarifies to the user that an additional 3 mm should be added as a corrosion allowance to the minimum shell thickness determined according to 6.7.3.4. Given the mention in </w:t>
      </w:r>
      <w:proofErr w:type="gramStart"/>
      <w:r w:rsidRPr="00285C6D">
        <w:t>paragraph  6.7.3.4.5</w:t>
      </w:r>
      <w:proofErr w:type="gramEnd"/>
      <w:r w:rsidRPr="00285C6D">
        <w:t xml:space="preserve"> where corrosion allowance is specifically excluded from being part of the minimal shell thickness, it should be clear that the additional 3 mm required according to TP19, shall be </w:t>
      </w:r>
      <w:r w:rsidR="00023507">
        <w:t xml:space="preserve">never </w:t>
      </w:r>
      <w:r w:rsidRPr="00285C6D">
        <w:t>considered as part of the minimal shell thickness.</w:t>
      </w:r>
    </w:p>
    <w:p w:rsidR="00285C6D" w:rsidRPr="00285C6D" w:rsidRDefault="00285C6D" w:rsidP="00285C6D">
      <w:pPr>
        <w:pStyle w:val="H1G"/>
        <w:rPr>
          <w:lang w:val="en-US"/>
        </w:rPr>
      </w:pPr>
      <w:r>
        <w:rPr>
          <w:lang w:val="en-US"/>
        </w:rPr>
        <w:tab/>
      </w:r>
      <w:r>
        <w:rPr>
          <w:lang w:val="en-US"/>
        </w:rPr>
        <w:tab/>
      </w:r>
      <w:r w:rsidRPr="00285C6D">
        <w:rPr>
          <w:lang w:val="en-US"/>
        </w:rPr>
        <w:t>Proposal</w:t>
      </w:r>
      <w:r>
        <w:rPr>
          <w:lang w:val="en-US"/>
        </w:rPr>
        <w:t xml:space="preserve"> 2</w:t>
      </w:r>
    </w:p>
    <w:p w:rsidR="00285C6D" w:rsidRPr="00285C6D" w:rsidRDefault="00285C6D" w:rsidP="00285C6D">
      <w:pPr>
        <w:pStyle w:val="SingleTxtG"/>
        <w:rPr>
          <w:lang w:val="en-US"/>
        </w:rPr>
      </w:pPr>
      <w:r w:rsidRPr="00285C6D">
        <w:rPr>
          <w:lang w:val="en-US"/>
        </w:rPr>
        <w:t>7.</w:t>
      </w:r>
      <w:r w:rsidRPr="00285C6D">
        <w:rPr>
          <w:lang w:val="en-US"/>
        </w:rPr>
        <w:tab/>
        <w:t xml:space="preserve">Amend the text of paragraph 6.7.3.4.1 </w:t>
      </w:r>
      <w:r w:rsidR="00023507">
        <w:rPr>
          <w:lang w:val="en-US"/>
        </w:rPr>
        <w:t xml:space="preserve">of the Model Regulations </w:t>
      </w:r>
      <w:r w:rsidRPr="00285C6D">
        <w:rPr>
          <w:lang w:val="en-US"/>
        </w:rPr>
        <w:t>to read as follows (</w:t>
      </w:r>
      <w:r w:rsidRPr="00285C6D">
        <w:rPr>
          <w:u w:val="single"/>
          <w:lang w:val="en-US"/>
        </w:rPr>
        <w:t>new text underlined</w:t>
      </w:r>
      <w:r w:rsidRPr="00285C6D">
        <w:rPr>
          <w:lang w:val="en-US"/>
        </w:rPr>
        <w:t>):</w:t>
      </w:r>
    </w:p>
    <w:p w:rsidR="00285C6D" w:rsidRPr="00285C6D" w:rsidRDefault="00023507" w:rsidP="00285C6D">
      <w:pPr>
        <w:pStyle w:val="SingleTxtG"/>
        <w:ind w:firstLine="567"/>
      </w:pPr>
      <w:r>
        <w:t>“</w:t>
      </w:r>
      <w:r w:rsidR="00285C6D" w:rsidRPr="00285C6D">
        <w:t>The minimum shell thickness shall be the greater thickness based on:</w:t>
      </w:r>
    </w:p>
    <w:p w:rsidR="00285C6D" w:rsidRPr="00285C6D" w:rsidRDefault="00285C6D" w:rsidP="00285C6D">
      <w:pPr>
        <w:pStyle w:val="SingleTxtG"/>
        <w:ind w:left="1701"/>
      </w:pPr>
      <w:r w:rsidRPr="00285C6D">
        <w:rPr>
          <w:rFonts w:eastAsia="SimSun"/>
          <w:lang w:val="en-US" w:eastAsia="zh-CN"/>
        </w:rPr>
        <w:t>(a)</w:t>
      </w:r>
      <w:r w:rsidRPr="00285C6D">
        <w:rPr>
          <w:rFonts w:eastAsia="SimSun"/>
          <w:lang w:val="en-US" w:eastAsia="zh-CN"/>
        </w:rPr>
        <w:tab/>
      </w:r>
      <w:r w:rsidRPr="00285C6D">
        <w:t xml:space="preserve">The minimum thickness determined in accordance with the requirements mentioned in 6.7.3.4.; and </w:t>
      </w:r>
    </w:p>
    <w:p w:rsidR="00285C6D" w:rsidRPr="00285C6D" w:rsidRDefault="00285C6D" w:rsidP="00285C6D">
      <w:pPr>
        <w:pStyle w:val="SingleTxtG"/>
        <w:ind w:left="1701"/>
      </w:pPr>
      <w:r w:rsidRPr="00285C6D">
        <w:rPr>
          <w:rFonts w:eastAsia="SimSun"/>
          <w:lang w:val="en-US" w:eastAsia="zh-CN"/>
        </w:rPr>
        <w:t>(b)</w:t>
      </w:r>
      <w:r w:rsidRPr="00285C6D">
        <w:rPr>
          <w:rFonts w:eastAsia="SimSun"/>
          <w:lang w:val="en-US" w:eastAsia="zh-CN"/>
        </w:rPr>
        <w:tab/>
      </w:r>
      <w:r w:rsidRPr="00285C6D">
        <w:t>The minimum thickness determined in accordance with the recognized pressure vessel code including the requirements in 6.7.3.3</w:t>
      </w:r>
    </w:p>
    <w:p w:rsidR="00285C6D" w:rsidRPr="00285C6D" w:rsidRDefault="00285C6D" w:rsidP="00285C6D">
      <w:pPr>
        <w:pStyle w:val="SingleTxtG"/>
        <w:ind w:left="1701"/>
        <w:rPr>
          <w:u w:val="single"/>
        </w:rPr>
      </w:pPr>
      <w:r w:rsidRPr="00285C6D">
        <w:rPr>
          <w:u w:val="single"/>
        </w:rPr>
        <w:t xml:space="preserve">In addition, any relevant portable tank special provision </w:t>
      </w:r>
      <w:bookmarkStart w:id="0" w:name="_Hlk522784365"/>
      <w:r w:rsidRPr="00285C6D">
        <w:rPr>
          <w:u w:val="single"/>
        </w:rPr>
        <w:t xml:space="preserve">indicated in Column (11) of the Dangerous Goods List </w:t>
      </w:r>
      <w:bookmarkStart w:id="1" w:name="_Hlk522784279"/>
      <w:bookmarkEnd w:id="0"/>
      <w:r w:rsidRPr="00285C6D">
        <w:rPr>
          <w:u w:val="single"/>
        </w:rPr>
        <w:t xml:space="preserve">and described in 4.2.5.3 </w:t>
      </w:r>
      <w:bookmarkEnd w:id="1"/>
      <w:r w:rsidRPr="00285C6D">
        <w:rPr>
          <w:u w:val="single"/>
        </w:rPr>
        <w:t xml:space="preserve">shall be </w:t>
      </w:r>
      <w:proofErr w:type="gramStart"/>
      <w:r w:rsidRPr="00285C6D">
        <w:rPr>
          <w:u w:val="single"/>
        </w:rPr>
        <w:t>taken into account</w:t>
      </w:r>
      <w:proofErr w:type="gramEnd"/>
      <w:r w:rsidRPr="00285C6D">
        <w:rPr>
          <w:u w:val="single"/>
        </w:rPr>
        <w:t>.</w:t>
      </w:r>
      <w:r w:rsidR="00023507">
        <w:rPr>
          <w:u w:val="single"/>
        </w:rPr>
        <w:t>”.</w:t>
      </w:r>
    </w:p>
    <w:p w:rsidR="00285C6D" w:rsidRPr="00285C6D" w:rsidRDefault="00285C6D" w:rsidP="00023507">
      <w:pPr>
        <w:pStyle w:val="H23G"/>
        <w:rPr>
          <w:rFonts w:eastAsia="SimSun"/>
          <w:lang w:eastAsia="zh-CN"/>
        </w:rPr>
      </w:pPr>
      <w:r>
        <w:rPr>
          <w:rFonts w:eastAsia="SimSun"/>
          <w:lang w:eastAsia="zh-CN"/>
        </w:rPr>
        <w:tab/>
      </w:r>
      <w:r>
        <w:rPr>
          <w:rFonts w:eastAsia="SimSun"/>
          <w:lang w:eastAsia="zh-CN"/>
        </w:rPr>
        <w:tab/>
      </w:r>
      <w:r w:rsidRPr="00285C6D">
        <w:rPr>
          <w:rFonts w:eastAsia="SimSun"/>
          <w:lang w:eastAsia="zh-CN"/>
        </w:rPr>
        <w:t>Justification</w:t>
      </w:r>
    </w:p>
    <w:p w:rsidR="00285C6D" w:rsidRPr="00285C6D" w:rsidRDefault="00285C6D" w:rsidP="00285C6D">
      <w:pPr>
        <w:pStyle w:val="SingleTxtG"/>
      </w:pPr>
      <w:r w:rsidRPr="00285C6D">
        <w:t>8.</w:t>
      </w:r>
      <w:r w:rsidRPr="00285C6D">
        <w:tab/>
        <w:t>Since the portable tank instruction T50 that applies for the transport of non-refrigerated liquified gasses, in contrast to portable tank instruction</w:t>
      </w:r>
      <w:r w:rsidR="00023507">
        <w:t>s</w:t>
      </w:r>
      <w:r w:rsidRPr="00285C6D">
        <w:t xml:space="preserve"> T1 to T23, does not contain requirements for the minimum shell thickness</w:t>
      </w:r>
      <w:r w:rsidR="00023507">
        <w:t>,</w:t>
      </w:r>
      <w:r w:rsidRPr="00285C6D">
        <w:t xml:space="preserve"> and given the content of TP19, it is not possible to refer to the portable tank special provisions as is done in 6.7.2.4.1. Therefore, </w:t>
      </w:r>
      <w:r w:rsidRPr="00285C6D">
        <w:lastRenderedPageBreak/>
        <w:t>we proposed in document</w:t>
      </w:r>
      <w:r>
        <w:t xml:space="preserve"> ST/SG/AC.10/C.3/2018/41</w:t>
      </w:r>
      <w:r w:rsidRPr="00285C6D">
        <w:rPr>
          <w:rStyle w:val="Hyperlink"/>
          <w:rFonts w:asciiTheme="majorBidi" w:hAnsiTheme="majorBidi" w:cstheme="majorBidi"/>
        </w:rPr>
        <w:t xml:space="preserve"> an alternative way of referring </w:t>
      </w:r>
      <w:r w:rsidR="00023507">
        <w:rPr>
          <w:rStyle w:val="Hyperlink"/>
          <w:rFonts w:asciiTheme="majorBidi" w:hAnsiTheme="majorBidi" w:cstheme="majorBidi"/>
        </w:rPr>
        <w:t>to</w:t>
      </w:r>
      <w:r w:rsidRPr="00285C6D">
        <w:rPr>
          <w:rStyle w:val="Hyperlink"/>
          <w:rFonts w:asciiTheme="majorBidi" w:hAnsiTheme="majorBidi" w:cstheme="majorBidi"/>
        </w:rPr>
        <w:t xml:space="preserve"> the portable tank special provisions in 4.2.5.3, which was not </w:t>
      </w:r>
      <w:r w:rsidR="00023507">
        <w:rPr>
          <w:rStyle w:val="Hyperlink"/>
          <w:rFonts w:asciiTheme="majorBidi" w:hAnsiTheme="majorBidi" w:cstheme="majorBidi"/>
        </w:rPr>
        <w:t>adopted</w:t>
      </w:r>
      <w:r w:rsidRPr="00285C6D">
        <w:rPr>
          <w:rStyle w:val="Hyperlink"/>
          <w:rFonts w:asciiTheme="majorBidi" w:hAnsiTheme="majorBidi" w:cstheme="majorBidi"/>
        </w:rPr>
        <w:t xml:space="preserve"> during the fifty-third session. </w:t>
      </w:r>
      <w:r w:rsidR="00023507">
        <w:rPr>
          <w:rStyle w:val="Hyperlink"/>
          <w:rFonts w:asciiTheme="majorBidi" w:hAnsiTheme="majorBidi" w:cstheme="majorBidi"/>
        </w:rPr>
        <w:t>The text as is proposed now takes account of</w:t>
      </w:r>
      <w:r w:rsidRPr="00285C6D">
        <w:rPr>
          <w:rStyle w:val="Hyperlink"/>
          <w:rFonts w:asciiTheme="majorBidi" w:hAnsiTheme="majorBidi" w:cstheme="majorBidi"/>
        </w:rPr>
        <w:t xml:space="preserve"> the comment received </w:t>
      </w:r>
      <w:r w:rsidR="00023507">
        <w:rPr>
          <w:rStyle w:val="Hyperlink"/>
          <w:rFonts w:asciiTheme="majorBidi" w:hAnsiTheme="majorBidi" w:cstheme="majorBidi"/>
        </w:rPr>
        <w:t xml:space="preserve">at previous sessions </w:t>
      </w:r>
      <w:r w:rsidRPr="00285C6D">
        <w:rPr>
          <w:rStyle w:val="Hyperlink"/>
          <w:rFonts w:asciiTheme="majorBidi" w:hAnsiTheme="majorBidi" w:cstheme="majorBidi"/>
        </w:rPr>
        <w:t xml:space="preserve">that the text </w:t>
      </w:r>
      <w:r w:rsidR="00023507">
        <w:rPr>
          <w:rStyle w:val="Hyperlink"/>
          <w:rFonts w:asciiTheme="majorBidi" w:hAnsiTheme="majorBidi" w:cstheme="majorBidi"/>
        </w:rPr>
        <w:t xml:space="preserve">previously </w:t>
      </w:r>
      <w:r w:rsidRPr="00285C6D">
        <w:rPr>
          <w:rStyle w:val="Hyperlink"/>
          <w:rFonts w:asciiTheme="majorBidi" w:hAnsiTheme="majorBidi" w:cstheme="majorBidi"/>
        </w:rPr>
        <w:t>proposed creates a reciprocal connection between TP19 and 6.7.3.4.1.</w:t>
      </w:r>
    </w:p>
    <w:p w:rsidR="00285C6D" w:rsidRPr="00285C6D" w:rsidRDefault="00285C6D" w:rsidP="00285C6D">
      <w:pPr>
        <w:pStyle w:val="H1G"/>
        <w:rPr>
          <w:lang w:val="en-US"/>
        </w:rPr>
      </w:pPr>
      <w:r>
        <w:rPr>
          <w:lang w:val="en-US"/>
        </w:rPr>
        <w:tab/>
      </w:r>
      <w:r>
        <w:rPr>
          <w:lang w:val="en-US"/>
        </w:rPr>
        <w:tab/>
        <w:t>Proposal 3</w:t>
      </w:r>
    </w:p>
    <w:p w:rsidR="00285C6D" w:rsidRPr="00285C6D" w:rsidRDefault="00285C6D" w:rsidP="00285C6D">
      <w:pPr>
        <w:pStyle w:val="SingleTxtG"/>
        <w:rPr>
          <w:lang w:val="en-US"/>
        </w:rPr>
      </w:pPr>
      <w:r w:rsidRPr="00285C6D">
        <w:rPr>
          <w:lang w:val="en-US"/>
        </w:rPr>
        <w:t>9.</w:t>
      </w:r>
      <w:r w:rsidRPr="00285C6D">
        <w:rPr>
          <w:lang w:val="en-US"/>
        </w:rPr>
        <w:tab/>
        <w:t xml:space="preserve">Amend the text of 6.7.4.4.1 </w:t>
      </w:r>
      <w:r w:rsidR="00023507">
        <w:rPr>
          <w:lang w:val="en-US"/>
        </w:rPr>
        <w:t xml:space="preserve">of the Model Regulations </w:t>
      </w:r>
      <w:r w:rsidRPr="00285C6D">
        <w:rPr>
          <w:lang w:val="en-US"/>
        </w:rPr>
        <w:t>to read as follows (</w:t>
      </w:r>
      <w:r w:rsidRPr="00285C6D">
        <w:rPr>
          <w:u w:val="single"/>
          <w:lang w:val="en-US"/>
        </w:rPr>
        <w:t>new text underlined</w:t>
      </w:r>
      <w:r w:rsidRPr="00285C6D">
        <w:rPr>
          <w:lang w:val="en-US"/>
        </w:rPr>
        <w:t>):</w:t>
      </w:r>
    </w:p>
    <w:p w:rsidR="00285C6D" w:rsidRPr="00285C6D" w:rsidRDefault="00023507" w:rsidP="00285C6D">
      <w:pPr>
        <w:pStyle w:val="SingleTxtG"/>
        <w:ind w:firstLine="567"/>
        <w:rPr>
          <w:rFonts w:eastAsia="SimSun"/>
          <w:lang w:val="en-US" w:eastAsia="zh-CN"/>
        </w:rPr>
      </w:pPr>
      <w:r>
        <w:rPr>
          <w:rFonts w:eastAsia="SimSun"/>
          <w:lang w:val="en-US" w:eastAsia="zh-CN"/>
        </w:rPr>
        <w:t>“</w:t>
      </w:r>
      <w:r w:rsidR="00285C6D" w:rsidRPr="00285C6D">
        <w:rPr>
          <w:rFonts w:eastAsia="SimSun"/>
          <w:lang w:val="en-US" w:eastAsia="zh-CN"/>
        </w:rPr>
        <w:t>The minimum shell thickness shall be the greater thickness based on:</w:t>
      </w:r>
    </w:p>
    <w:p w:rsidR="00285C6D" w:rsidRPr="00285C6D" w:rsidRDefault="00285C6D" w:rsidP="00285C6D">
      <w:pPr>
        <w:pStyle w:val="SingleTxtG"/>
        <w:ind w:left="1701"/>
        <w:rPr>
          <w:rFonts w:eastAsia="SimSun"/>
          <w:lang w:val="en-US" w:eastAsia="zh-CN"/>
        </w:rPr>
      </w:pPr>
      <w:r w:rsidRPr="00285C6D">
        <w:rPr>
          <w:rFonts w:eastAsia="SimSun"/>
          <w:lang w:val="en-US" w:eastAsia="zh-CN"/>
        </w:rPr>
        <w:t>(a)</w:t>
      </w:r>
      <w:r w:rsidRPr="00285C6D">
        <w:rPr>
          <w:rFonts w:eastAsia="SimSun"/>
          <w:lang w:val="en-US" w:eastAsia="zh-CN"/>
        </w:rPr>
        <w:tab/>
        <w:t>The minimum thickness determined in accordance with the requirements in 6.7.4.4.2 to 6.7.4.4.7; and</w:t>
      </w:r>
    </w:p>
    <w:p w:rsidR="00285C6D" w:rsidRPr="00285C6D" w:rsidRDefault="00285C6D" w:rsidP="00285C6D">
      <w:pPr>
        <w:pStyle w:val="SingleTxtG"/>
        <w:ind w:left="1701"/>
        <w:rPr>
          <w:rFonts w:eastAsia="SimSun"/>
          <w:lang w:val="en-US" w:eastAsia="zh-CN"/>
        </w:rPr>
      </w:pPr>
      <w:r w:rsidRPr="00285C6D">
        <w:rPr>
          <w:rFonts w:eastAsia="SimSun"/>
          <w:lang w:val="en-US" w:eastAsia="zh-CN"/>
        </w:rPr>
        <w:t>(b)</w:t>
      </w:r>
      <w:r w:rsidRPr="00285C6D">
        <w:rPr>
          <w:rFonts w:eastAsia="SimSun"/>
          <w:lang w:val="en-US" w:eastAsia="zh-CN"/>
        </w:rPr>
        <w:tab/>
        <w:t>The minimum thickness determined in accordance with the recognized pressure vessel code including the requirements in 6.7.4.3.</w:t>
      </w:r>
    </w:p>
    <w:p w:rsidR="00285C6D" w:rsidRPr="00285C6D" w:rsidRDefault="00285C6D" w:rsidP="00285C6D">
      <w:pPr>
        <w:pStyle w:val="SingleTxtG"/>
        <w:rPr>
          <w:u w:val="single"/>
        </w:rPr>
      </w:pPr>
      <w:r w:rsidRPr="00285C6D">
        <w:rPr>
          <w:u w:val="single"/>
        </w:rPr>
        <w:t xml:space="preserve">In addition, any relevant portable tank special provision indicated in Column (11) of the Dangerous Goods List and described in 4.2.5.3 shall be </w:t>
      </w:r>
      <w:proofErr w:type="gramStart"/>
      <w:r w:rsidRPr="00285C6D">
        <w:rPr>
          <w:u w:val="single"/>
        </w:rPr>
        <w:t>taken into account</w:t>
      </w:r>
      <w:proofErr w:type="gramEnd"/>
      <w:r w:rsidRPr="00285C6D">
        <w:rPr>
          <w:u w:val="single"/>
        </w:rPr>
        <w:t>.</w:t>
      </w:r>
      <w:r w:rsidR="00023507">
        <w:rPr>
          <w:u w:val="single"/>
        </w:rPr>
        <w:t>”.</w:t>
      </w:r>
    </w:p>
    <w:p w:rsidR="00285C6D" w:rsidRPr="00285C6D" w:rsidRDefault="00285C6D" w:rsidP="00023507">
      <w:pPr>
        <w:pStyle w:val="H23G"/>
        <w:rPr>
          <w:lang w:val="en-US"/>
        </w:rPr>
      </w:pPr>
      <w:r>
        <w:rPr>
          <w:lang w:val="en-US"/>
        </w:rPr>
        <w:tab/>
      </w:r>
      <w:r>
        <w:rPr>
          <w:lang w:val="en-US"/>
        </w:rPr>
        <w:tab/>
      </w:r>
      <w:r w:rsidRPr="00285C6D">
        <w:rPr>
          <w:lang w:val="en-US"/>
        </w:rPr>
        <w:t>Justification</w:t>
      </w:r>
    </w:p>
    <w:p w:rsidR="00285C6D" w:rsidRPr="00285C6D" w:rsidRDefault="00285C6D" w:rsidP="00285C6D">
      <w:pPr>
        <w:pStyle w:val="SingleTxtG"/>
        <w:rPr>
          <w:lang w:val="en-US"/>
        </w:rPr>
      </w:pPr>
      <w:r w:rsidRPr="00285C6D">
        <w:rPr>
          <w:lang w:val="en-US"/>
        </w:rPr>
        <w:t>10.</w:t>
      </w:r>
      <w:r w:rsidRPr="00285C6D">
        <w:rPr>
          <w:lang w:val="en-US"/>
        </w:rPr>
        <w:tab/>
        <w:t xml:space="preserve">In accordance with what is currently written in paragraph 6.7.2.4.1 and is proposed in proposal 2 for paragraph 6.7.3.4.1, the proposed text refers the users to the portable tank special provisions in 4.2.5.3 where </w:t>
      </w:r>
      <w:r w:rsidR="00023507">
        <w:rPr>
          <w:lang w:val="en-US"/>
        </w:rPr>
        <w:t xml:space="preserve">the </w:t>
      </w:r>
      <w:r w:rsidRPr="00285C6D">
        <w:rPr>
          <w:lang w:val="en-US"/>
        </w:rPr>
        <w:t>portable tank special provision</w:t>
      </w:r>
      <w:r w:rsidR="00023507">
        <w:rPr>
          <w:lang w:val="en-US"/>
        </w:rPr>
        <w:t>s</w:t>
      </w:r>
      <w:r w:rsidRPr="00285C6D">
        <w:rPr>
          <w:lang w:val="en-US"/>
        </w:rPr>
        <w:t xml:space="preserve"> that are applicable to the shell thickness could be described. Since the applicable portable tank instruction T75, also does not contain requirements on the minimal shell thickness, we propose to make this reference as is done in 6.7.3.4.1.</w:t>
      </w:r>
    </w:p>
    <w:p w:rsidR="00285C6D" w:rsidRPr="00285C6D" w:rsidRDefault="00285C6D" w:rsidP="00285C6D">
      <w:pPr>
        <w:pStyle w:val="H1G"/>
        <w:rPr>
          <w:lang w:val="en-US"/>
        </w:rPr>
      </w:pPr>
      <w:r>
        <w:rPr>
          <w:lang w:val="en-US"/>
        </w:rPr>
        <w:tab/>
      </w:r>
      <w:r>
        <w:rPr>
          <w:lang w:val="en-US"/>
        </w:rPr>
        <w:tab/>
        <w:t>Proposal 4</w:t>
      </w:r>
    </w:p>
    <w:p w:rsidR="00285C6D" w:rsidRPr="00285C6D" w:rsidRDefault="00285C6D" w:rsidP="00285C6D">
      <w:pPr>
        <w:pStyle w:val="SingleTxtG"/>
        <w:rPr>
          <w:lang w:val="en-US"/>
        </w:rPr>
      </w:pPr>
      <w:r w:rsidRPr="00285C6D">
        <w:rPr>
          <w:lang w:val="en-US"/>
        </w:rPr>
        <w:t>11.</w:t>
      </w:r>
      <w:r w:rsidRPr="00285C6D">
        <w:rPr>
          <w:lang w:val="en-US"/>
        </w:rPr>
        <w:tab/>
        <w:t xml:space="preserve">Amend the text of paragraph 6.7.2.2.16 </w:t>
      </w:r>
      <w:r w:rsidR="00023507">
        <w:rPr>
          <w:lang w:val="en-US"/>
        </w:rPr>
        <w:t xml:space="preserve">of the Model Regulations </w:t>
      </w:r>
      <w:r w:rsidRPr="00285C6D">
        <w:rPr>
          <w:lang w:val="en-US"/>
        </w:rPr>
        <w:t>as follows: (</w:t>
      </w:r>
      <w:r w:rsidRPr="00285C6D">
        <w:rPr>
          <w:u w:val="single"/>
          <w:lang w:val="en-US"/>
        </w:rPr>
        <w:t>deleted text stricken through</w:t>
      </w:r>
      <w:r w:rsidRPr="00285C6D">
        <w:rPr>
          <w:lang w:val="en-US"/>
        </w:rPr>
        <w:t xml:space="preserve">, </w:t>
      </w:r>
      <w:r w:rsidRPr="00285C6D">
        <w:rPr>
          <w:strike/>
          <w:lang w:val="en-US"/>
        </w:rPr>
        <w:t>new text underlined</w:t>
      </w:r>
      <w:r w:rsidRPr="00285C6D">
        <w:rPr>
          <w:lang w:val="en-US"/>
        </w:rPr>
        <w:t>):</w:t>
      </w:r>
    </w:p>
    <w:p w:rsidR="00285C6D" w:rsidRPr="00285C6D" w:rsidRDefault="00023507" w:rsidP="00023507">
      <w:pPr>
        <w:pStyle w:val="SingleTxtG"/>
        <w:ind w:left="1701"/>
        <w:rPr>
          <w:rFonts w:eastAsia="SimSun"/>
          <w:lang w:val="en-US" w:eastAsia="zh-CN"/>
        </w:rPr>
      </w:pPr>
      <w:r>
        <w:rPr>
          <w:rFonts w:eastAsia="SimSun"/>
          <w:lang w:val="en-US" w:eastAsia="zh-CN"/>
        </w:rPr>
        <w:t>“</w:t>
      </w:r>
      <w:r w:rsidR="00285C6D" w:rsidRPr="00285C6D">
        <w:rPr>
          <w:rFonts w:eastAsia="SimSun"/>
          <w:lang w:val="en-US" w:eastAsia="zh-CN"/>
        </w:rPr>
        <w:t xml:space="preserve">When required for certain substances by the applicable portable tank instruction indicated in Column 10 of the Dangerous Goods List and described in 4.2.5.2.6, or by a portable tank special provision indicated in Column 11 </w:t>
      </w:r>
      <w:r w:rsidR="00285C6D" w:rsidRPr="00285C6D">
        <w:rPr>
          <w:rFonts w:eastAsia="SimSun"/>
          <w:u w:val="single"/>
          <w:lang w:val="en-US" w:eastAsia="zh-CN"/>
        </w:rPr>
        <w:t>of the Dangerous Goods List</w:t>
      </w:r>
      <w:r w:rsidR="00285C6D" w:rsidRPr="00285C6D">
        <w:rPr>
          <w:rFonts w:eastAsia="SimSun"/>
          <w:lang w:val="en-US" w:eastAsia="zh-CN"/>
        </w:rPr>
        <w:t xml:space="preserve"> and described in 4.2.5.3 </w:t>
      </w:r>
      <w:r w:rsidR="00285C6D" w:rsidRPr="00285C6D">
        <w:rPr>
          <w:rFonts w:eastAsia="SimSun"/>
          <w:strike/>
          <w:lang w:val="en-US" w:eastAsia="zh-CN"/>
        </w:rPr>
        <w:t>of the Dangerous Goods List</w:t>
      </w:r>
      <w:r w:rsidR="00285C6D" w:rsidRPr="00285C6D">
        <w:rPr>
          <w:rFonts w:eastAsia="SimSun"/>
          <w:lang w:val="en-US" w:eastAsia="zh-CN"/>
        </w:rPr>
        <w:t>, portable tanks shall be provided with additional protection, which may take the form of additional shell thickness or a higher test pressure, the additional shell thickness or higher test pressure being determined in the light of the inherent risks associated with the transport of the substances concerned.</w:t>
      </w:r>
      <w:r>
        <w:rPr>
          <w:rFonts w:eastAsia="SimSun"/>
          <w:lang w:val="en-US" w:eastAsia="zh-CN"/>
        </w:rPr>
        <w:t>”.</w:t>
      </w:r>
    </w:p>
    <w:p w:rsidR="00285C6D" w:rsidRPr="00285C6D" w:rsidRDefault="00285C6D" w:rsidP="00023507">
      <w:pPr>
        <w:pStyle w:val="H23G"/>
        <w:rPr>
          <w:lang w:val="en-US"/>
        </w:rPr>
      </w:pPr>
      <w:r>
        <w:rPr>
          <w:lang w:val="en-US"/>
        </w:rPr>
        <w:tab/>
      </w:r>
      <w:r>
        <w:rPr>
          <w:lang w:val="en-US"/>
        </w:rPr>
        <w:tab/>
        <w:t>Justificati</w:t>
      </w:r>
      <w:bookmarkStart w:id="2" w:name="_GoBack"/>
      <w:bookmarkEnd w:id="2"/>
      <w:r>
        <w:rPr>
          <w:lang w:val="en-US"/>
        </w:rPr>
        <w:t>on</w:t>
      </w:r>
    </w:p>
    <w:p w:rsidR="00285C6D" w:rsidRPr="00285C6D" w:rsidRDefault="00285C6D" w:rsidP="00285C6D">
      <w:pPr>
        <w:pStyle w:val="SingleTxtG"/>
        <w:rPr>
          <w:lang w:val="en-US"/>
        </w:rPr>
      </w:pPr>
      <w:r w:rsidRPr="00285C6D">
        <w:rPr>
          <w:lang w:val="en-US"/>
        </w:rPr>
        <w:t>12.</w:t>
      </w:r>
      <w:r w:rsidRPr="00285C6D">
        <w:rPr>
          <w:lang w:val="en-US"/>
        </w:rPr>
        <w:tab/>
        <w:t>Portable tanks special provisions are indicated in Column 11 of the Dangerous Goods List and described in 4.2.5.3, not indicated in Column 11 and described in 4.2.5.3 of the Dangerous Good List.</w:t>
      </w:r>
    </w:p>
    <w:p w:rsidR="00285C6D" w:rsidRPr="00285C6D" w:rsidRDefault="00285C6D" w:rsidP="00285C6D">
      <w:pPr>
        <w:pStyle w:val="SingleTxtG"/>
        <w:spacing w:before="240" w:after="0"/>
        <w:jc w:val="center"/>
        <w:rPr>
          <w:rFonts w:asciiTheme="majorBidi" w:hAnsiTheme="majorBidi" w:cstheme="majorBidi"/>
          <w:lang w:val="en-US"/>
        </w:rPr>
      </w:pPr>
      <w:r w:rsidRPr="00285C6D">
        <w:rPr>
          <w:rFonts w:asciiTheme="majorBidi" w:hAnsiTheme="majorBidi" w:cstheme="majorBidi"/>
          <w:u w:val="single"/>
          <w:lang w:val="en-US"/>
        </w:rPr>
        <w:tab/>
      </w:r>
      <w:r w:rsidRPr="00285C6D">
        <w:rPr>
          <w:rFonts w:asciiTheme="majorBidi" w:hAnsiTheme="majorBidi" w:cstheme="majorBidi"/>
          <w:u w:val="single"/>
          <w:lang w:val="en-US"/>
        </w:rPr>
        <w:tab/>
      </w:r>
      <w:r w:rsidRPr="00285C6D">
        <w:rPr>
          <w:rFonts w:asciiTheme="majorBidi" w:hAnsiTheme="majorBidi" w:cstheme="majorBidi"/>
          <w:u w:val="single"/>
          <w:lang w:val="en-US"/>
        </w:rPr>
        <w:tab/>
      </w:r>
    </w:p>
    <w:p w:rsidR="00285C6D" w:rsidRPr="00285C6D" w:rsidRDefault="00285C6D" w:rsidP="00397A7C">
      <w:pPr>
        <w:rPr>
          <w:rFonts w:asciiTheme="majorBidi" w:hAnsiTheme="majorBidi" w:cstheme="majorBidi"/>
        </w:rPr>
      </w:pPr>
    </w:p>
    <w:sectPr w:rsidR="00285C6D" w:rsidRPr="00285C6D" w:rsidSect="001D31FD">
      <w:headerReference w:type="even" r:id="rId13"/>
      <w:headerReference w:type="default" r:id="rId14"/>
      <w:footerReference w:type="even" r:id="rId15"/>
      <w:footerReference w:type="default" r:id="rId16"/>
      <w:headerReference w:type="first" r:id="rId17"/>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9CA" w:rsidRDefault="00B639CA"/>
  </w:endnote>
  <w:endnote w:type="continuationSeparator" w:id="0">
    <w:p w:rsidR="00B639CA" w:rsidRDefault="00B639CA"/>
  </w:endnote>
  <w:endnote w:type="continuationNotice" w:id="1">
    <w:p w:rsidR="00B639CA" w:rsidRDefault="00B63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C21CDE">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C21CDE">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9CA" w:rsidRPr="000B175B" w:rsidRDefault="00B639CA" w:rsidP="000B175B">
      <w:pPr>
        <w:tabs>
          <w:tab w:val="right" w:pos="2155"/>
        </w:tabs>
        <w:spacing w:after="80"/>
        <w:ind w:left="680"/>
        <w:rPr>
          <w:u w:val="single"/>
        </w:rPr>
      </w:pPr>
      <w:r>
        <w:rPr>
          <w:u w:val="single"/>
        </w:rPr>
        <w:tab/>
      </w:r>
    </w:p>
  </w:footnote>
  <w:footnote w:type="continuationSeparator" w:id="0">
    <w:p w:rsidR="00B639CA" w:rsidRPr="00FC68B7" w:rsidRDefault="00B639CA" w:rsidP="00FC68B7">
      <w:pPr>
        <w:tabs>
          <w:tab w:val="left" w:pos="2155"/>
        </w:tabs>
        <w:spacing w:after="80"/>
        <w:ind w:left="680"/>
        <w:rPr>
          <w:u w:val="single"/>
        </w:rPr>
      </w:pPr>
      <w:r>
        <w:rPr>
          <w:u w:val="single"/>
        </w:rPr>
        <w:tab/>
      </w:r>
    </w:p>
  </w:footnote>
  <w:footnote w:type="continuationNotice" w:id="1">
    <w:p w:rsidR="00B639CA" w:rsidRDefault="00B639CA"/>
  </w:footnote>
  <w:footnote w:id="2">
    <w:p w:rsidR="00285C6D" w:rsidRPr="00285C6D" w:rsidRDefault="00285C6D" w:rsidP="00285C6D">
      <w:pPr>
        <w:pStyle w:val="FootnoteText"/>
        <w:tabs>
          <w:tab w:val="left" w:pos="1418"/>
        </w:tabs>
        <w:ind w:firstLine="0"/>
        <w:rPr>
          <w:lang w:val="fr-CH"/>
        </w:rPr>
      </w:pPr>
      <w:r>
        <w:rPr>
          <w:rStyle w:val="FootnoteReference"/>
        </w:rPr>
        <w:t>*</w:t>
      </w:r>
      <w:r>
        <w:t xml:space="preserve"> </w:t>
      </w:r>
      <w:r>
        <w:tab/>
      </w:r>
      <w:r>
        <w:rPr>
          <w:lang w:val="en-US"/>
        </w:rPr>
        <w:t xml:space="preserve">In accordance with </w:t>
      </w:r>
      <w:r w:rsidRPr="00C77DF8">
        <w:t>the programme</w:t>
      </w:r>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7B6AE7">
    <w:pPr>
      <w:pStyle w:val="Header"/>
    </w:pPr>
    <w:r>
      <w:t>S</w:t>
    </w:r>
    <w:r w:rsidR="00285C6D">
      <w:t>T/SG/AC.10/C.3/2018/100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570893" w:rsidRDefault="00A10017" w:rsidP="006D12B1">
    <w:pPr>
      <w:pStyle w:val="Header"/>
      <w:jc w:val="right"/>
      <w:rPr>
        <w:lang w:val="fr-CH"/>
      </w:rPr>
    </w:pPr>
    <w:r>
      <w:rPr>
        <w:lang w:val="fr-CH"/>
      </w:rPr>
      <w:t>ST/SG/AC.10/C.3/2018/100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4B00D98"/>
    <w:multiLevelType w:val="hybridMultilevel"/>
    <w:tmpl w:val="AABA1406"/>
    <w:lvl w:ilvl="0" w:tplc="E58CF0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9"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7"/>
  </w:num>
  <w:num w:numId="15">
    <w:abstractNumId w:val="30"/>
  </w:num>
  <w:num w:numId="16">
    <w:abstractNumId w:val="13"/>
  </w:num>
  <w:num w:numId="17">
    <w:abstractNumId w:val="19"/>
  </w:num>
  <w:num w:numId="18">
    <w:abstractNumId w:val="16"/>
  </w:num>
  <w:num w:numId="19">
    <w:abstractNumId w:val="29"/>
  </w:num>
  <w:num w:numId="20">
    <w:abstractNumId w:val="22"/>
  </w:num>
  <w:num w:numId="21">
    <w:abstractNumId w:val="15"/>
  </w:num>
  <w:num w:numId="22">
    <w:abstractNumId w:val="10"/>
  </w:num>
  <w:num w:numId="23">
    <w:abstractNumId w:val="28"/>
  </w:num>
  <w:num w:numId="24">
    <w:abstractNumId w:val="20"/>
  </w:num>
  <w:num w:numId="25">
    <w:abstractNumId w:val="17"/>
  </w:num>
  <w:num w:numId="26">
    <w:abstractNumId w:val="25"/>
  </w:num>
  <w:num w:numId="27">
    <w:abstractNumId w:val="21"/>
  </w:num>
  <w:num w:numId="28">
    <w:abstractNumId w:val="24"/>
  </w:num>
  <w:num w:numId="29">
    <w:abstractNumId w:val="14"/>
  </w:num>
  <w:num w:numId="30">
    <w:abstractNumId w:val="18"/>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507"/>
    <w:rsid w:val="000239F9"/>
    <w:rsid w:val="00023F08"/>
    <w:rsid w:val="00026223"/>
    <w:rsid w:val="00047D68"/>
    <w:rsid w:val="00047F82"/>
    <w:rsid w:val="000504CE"/>
    <w:rsid w:val="00050F6B"/>
    <w:rsid w:val="00063D27"/>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6C9"/>
    <w:rsid w:val="00131D42"/>
    <w:rsid w:val="00144B44"/>
    <w:rsid w:val="00154E28"/>
    <w:rsid w:val="001633FB"/>
    <w:rsid w:val="00164487"/>
    <w:rsid w:val="00167786"/>
    <w:rsid w:val="00177795"/>
    <w:rsid w:val="001A537C"/>
    <w:rsid w:val="001B42B4"/>
    <w:rsid w:val="001B4B04"/>
    <w:rsid w:val="001C0631"/>
    <w:rsid w:val="001C2273"/>
    <w:rsid w:val="001C3159"/>
    <w:rsid w:val="001C6663"/>
    <w:rsid w:val="001C7526"/>
    <w:rsid w:val="001C7895"/>
    <w:rsid w:val="001D26DF"/>
    <w:rsid w:val="001D2FDC"/>
    <w:rsid w:val="001D31FD"/>
    <w:rsid w:val="001D646C"/>
    <w:rsid w:val="001D79DB"/>
    <w:rsid w:val="001F2D80"/>
    <w:rsid w:val="001F3FA0"/>
    <w:rsid w:val="001F4C6A"/>
    <w:rsid w:val="002016FA"/>
    <w:rsid w:val="00210B9C"/>
    <w:rsid w:val="002114DD"/>
    <w:rsid w:val="00211E0B"/>
    <w:rsid w:val="00212DFA"/>
    <w:rsid w:val="00213AFD"/>
    <w:rsid w:val="0022022E"/>
    <w:rsid w:val="00221E51"/>
    <w:rsid w:val="002309A7"/>
    <w:rsid w:val="00237785"/>
    <w:rsid w:val="00241466"/>
    <w:rsid w:val="00241743"/>
    <w:rsid w:val="002656C7"/>
    <w:rsid w:val="00266652"/>
    <w:rsid w:val="002725CA"/>
    <w:rsid w:val="00274950"/>
    <w:rsid w:val="00277DAE"/>
    <w:rsid w:val="00280EB7"/>
    <w:rsid w:val="00285C6D"/>
    <w:rsid w:val="00286006"/>
    <w:rsid w:val="00286DC6"/>
    <w:rsid w:val="002B1CDA"/>
    <w:rsid w:val="002C1AE8"/>
    <w:rsid w:val="002E376C"/>
    <w:rsid w:val="002E394C"/>
    <w:rsid w:val="002E3E7B"/>
    <w:rsid w:val="0030379C"/>
    <w:rsid w:val="00306458"/>
    <w:rsid w:val="00306980"/>
    <w:rsid w:val="003107FA"/>
    <w:rsid w:val="0032058E"/>
    <w:rsid w:val="003229D8"/>
    <w:rsid w:val="00325290"/>
    <w:rsid w:val="00337633"/>
    <w:rsid w:val="0034759C"/>
    <w:rsid w:val="0036127B"/>
    <w:rsid w:val="00365E68"/>
    <w:rsid w:val="00373BF8"/>
    <w:rsid w:val="003770E6"/>
    <w:rsid w:val="00384F6B"/>
    <w:rsid w:val="0039277A"/>
    <w:rsid w:val="0039606E"/>
    <w:rsid w:val="00397267"/>
    <w:rsid w:val="003972E0"/>
    <w:rsid w:val="00397A7C"/>
    <w:rsid w:val="003A0C75"/>
    <w:rsid w:val="003A203B"/>
    <w:rsid w:val="003A25EB"/>
    <w:rsid w:val="003A58B0"/>
    <w:rsid w:val="003B3726"/>
    <w:rsid w:val="003C24C1"/>
    <w:rsid w:val="003C2CC4"/>
    <w:rsid w:val="003C7B41"/>
    <w:rsid w:val="003D3841"/>
    <w:rsid w:val="003D4B23"/>
    <w:rsid w:val="003E211B"/>
    <w:rsid w:val="003E5B28"/>
    <w:rsid w:val="00413FEE"/>
    <w:rsid w:val="00421B26"/>
    <w:rsid w:val="0042233A"/>
    <w:rsid w:val="004325CB"/>
    <w:rsid w:val="00437F3F"/>
    <w:rsid w:val="00442DF8"/>
    <w:rsid w:val="00446DE4"/>
    <w:rsid w:val="00454036"/>
    <w:rsid w:val="0046510E"/>
    <w:rsid w:val="00465AFB"/>
    <w:rsid w:val="00466CA5"/>
    <w:rsid w:val="00477705"/>
    <w:rsid w:val="00477D30"/>
    <w:rsid w:val="00483009"/>
    <w:rsid w:val="00485492"/>
    <w:rsid w:val="004B2C9D"/>
    <w:rsid w:val="004C1373"/>
    <w:rsid w:val="004C6FBA"/>
    <w:rsid w:val="004D56C3"/>
    <w:rsid w:val="004E05DD"/>
    <w:rsid w:val="004E768F"/>
    <w:rsid w:val="004F0881"/>
    <w:rsid w:val="004F3384"/>
    <w:rsid w:val="00524C27"/>
    <w:rsid w:val="00525F7F"/>
    <w:rsid w:val="00527910"/>
    <w:rsid w:val="00530504"/>
    <w:rsid w:val="00530A3F"/>
    <w:rsid w:val="00534038"/>
    <w:rsid w:val="005420F2"/>
    <w:rsid w:val="00544CB6"/>
    <w:rsid w:val="005500DD"/>
    <w:rsid w:val="005501BE"/>
    <w:rsid w:val="00563498"/>
    <w:rsid w:val="005649C7"/>
    <w:rsid w:val="00566C4F"/>
    <w:rsid w:val="00570893"/>
    <w:rsid w:val="00575122"/>
    <w:rsid w:val="00584DE3"/>
    <w:rsid w:val="00590144"/>
    <w:rsid w:val="00590E9D"/>
    <w:rsid w:val="00591271"/>
    <w:rsid w:val="0059588D"/>
    <w:rsid w:val="005B03C6"/>
    <w:rsid w:val="005B151F"/>
    <w:rsid w:val="005B3DB3"/>
    <w:rsid w:val="005B40ED"/>
    <w:rsid w:val="005B77F6"/>
    <w:rsid w:val="005C37B3"/>
    <w:rsid w:val="005C7602"/>
    <w:rsid w:val="005F7326"/>
    <w:rsid w:val="00600B82"/>
    <w:rsid w:val="00611FC4"/>
    <w:rsid w:val="006133E8"/>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75DB9"/>
    <w:rsid w:val="00680ECD"/>
    <w:rsid w:val="006949CA"/>
    <w:rsid w:val="006A4C5C"/>
    <w:rsid w:val="006A7392"/>
    <w:rsid w:val="006B20F6"/>
    <w:rsid w:val="006C0D34"/>
    <w:rsid w:val="006D12B1"/>
    <w:rsid w:val="006E564B"/>
    <w:rsid w:val="006F05B2"/>
    <w:rsid w:val="006F08D5"/>
    <w:rsid w:val="006F2F51"/>
    <w:rsid w:val="00704CDB"/>
    <w:rsid w:val="00711C13"/>
    <w:rsid w:val="007221B3"/>
    <w:rsid w:val="00724B47"/>
    <w:rsid w:val="0072632A"/>
    <w:rsid w:val="00744314"/>
    <w:rsid w:val="0074549D"/>
    <w:rsid w:val="00755330"/>
    <w:rsid w:val="00755888"/>
    <w:rsid w:val="00765233"/>
    <w:rsid w:val="0077335F"/>
    <w:rsid w:val="00774D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4047A"/>
    <w:rsid w:val="008650F3"/>
    <w:rsid w:val="00871FD5"/>
    <w:rsid w:val="00876878"/>
    <w:rsid w:val="00884FD0"/>
    <w:rsid w:val="008910B9"/>
    <w:rsid w:val="00895E97"/>
    <w:rsid w:val="008979B1"/>
    <w:rsid w:val="008A3016"/>
    <w:rsid w:val="008A3543"/>
    <w:rsid w:val="008A6B25"/>
    <w:rsid w:val="008A6C4F"/>
    <w:rsid w:val="008D53CE"/>
    <w:rsid w:val="008E071B"/>
    <w:rsid w:val="008E0E01"/>
    <w:rsid w:val="008E0E46"/>
    <w:rsid w:val="008F79EE"/>
    <w:rsid w:val="00904B37"/>
    <w:rsid w:val="00922550"/>
    <w:rsid w:val="009255A2"/>
    <w:rsid w:val="009434B3"/>
    <w:rsid w:val="00945A5D"/>
    <w:rsid w:val="00946A04"/>
    <w:rsid w:val="009508F7"/>
    <w:rsid w:val="0095534D"/>
    <w:rsid w:val="0095690E"/>
    <w:rsid w:val="00957117"/>
    <w:rsid w:val="00963CBA"/>
    <w:rsid w:val="00981905"/>
    <w:rsid w:val="009854F2"/>
    <w:rsid w:val="0099124E"/>
    <w:rsid w:val="00991261"/>
    <w:rsid w:val="009A7613"/>
    <w:rsid w:val="009B371C"/>
    <w:rsid w:val="009B4C36"/>
    <w:rsid w:val="009C3ED5"/>
    <w:rsid w:val="009C4C96"/>
    <w:rsid w:val="009D1AAE"/>
    <w:rsid w:val="009D21EA"/>
    <w:rsid w:val="009D2254"/>
    <w:rsid w:val="009E34C3"/>
    <w:rsid w:val="009E523D"/>
    <w:rsid w:val="009F0F06"/>
    <w:rsid w:val="009F4BF2"/>
    <w:rsid w:val="00A10017"/>
    <w:rsid w:val="00A1427D"/>
    <w:rsid w:val="00A3012E"/>
    <w:rsid w:val="00A30D19"/>
    <w:rsid w:val="00A310BE"/>
    <w:rsid w:val="00A357CC"/>
    <w:rsid w:val="00A37714"/>
    <w:rsid w:val="00A405E5"/>
    <w:rsid w:val="00A44CAE"/>
    <w:rsid w:val="00A50007"/>
    <w:rsid w:val="00A60C34"/>
    <w:rsid w:val="00A6594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B5051"/>
    <w:rsid w:val="00AC12E0"/>
    <w:rsid w:val="00AC4017"/>
    <w:rsid w:val="00AD53E5"/>
    <w:rsid w:val="00AE06E2"/>
    <w:rsid w:val="00AF17E0"/>
    <w:rsid w:val="00AF523B"/>
    <w:rsid w:val="00AF6697"/>
    <w:rsid w:val="00B30179"/>
    <w:rsid w:val="00B3094C"/>
    <w:rsid w:val="00B3317B"/>
    <w:rsid w:val="00B4226A"/>
    <w:rsid w:val="00B431FF"/>
    <w:rsid w:val="00B62D3D"/>
    <w:rsid w:val="00B639CA"/>
    <w:rsid w:val="00B707EC"/>
    <w:rsid w:val="00B81E12"/>
    <w:rsid w:val="00B85A05"/>
    <w:rsid w:val="00B93068"/>
    <w:rsid w:val="00B94CD7"/>
    <w:rsid w:val="00BB0133"/>
    <w:rsid w:val="00BB027F"/>
    <w:rsid w:val="00BC603D"/>
    <w:rsid w:val="00BC74E9"/>
    <w:rsid w:val="00BD36F7"/>
    <w:rsid w:val="00BE618E"/>
    <w:rsid w:val="00BF169C"/>
    <w:rsid w:val="00BF7DE7"/>
    <w:rsid w:val="00BF7DF4"/>
    <w:rsid w:val="00C21CDE"/>
    <w:rsid w:val="00C32725"/>
    <w:rsid w:val="00C44E98"/>
    <w:rsid w:val="00C463DD"/>
    <w:rsid w:val="00C62F76"/>
    <w:rsid w:val="00C667E3"/>
    <w:rsid w:val="00C73CE6"/>
    <w:rsid w:val="00C745C3"/>
    <w:rsid w:val="00C7487E"/>
    <w:rsid w:val="00C75101"/>
    <w:rsid w:val="00C97788"/>
    <w:rsid w:val="00CA2FB6"/>
    <w:rsid w:val="00CB4C2D"/>
    <w:rsid w:val="00CB64AE"/>
    <w:rsid w:val="00CC5473"/>
    <w:rsid w:val="00CC5E90"/>
    <w:rsid w:val="00CC5FB1"/>
    <w:rsid w:val="00CD3225"/>
    <w:rsid w:val="00CD5FED"/>
    <w:rsid w:val="00CE46BA"/>
    <w:rsid w:val="00CE4A8F"/>
    <w:rsid w:val="00CE57DA"/>
    <w:rsid w:val="00CF03B5"/>
    <w:rsid w:val="00CF5E82"/>
    <w:rsid w:val="00CF6A88"/>
    <w:rsid w:val="00CF7E49"/>
    <w:rsid w:val="00D11652"/>
    <w:rsid w:val="00D1626A"/>
    <w:rsid w:val="00D2031B"/>
    <w:rsid w:val="00D20CE5"/>
    <w:rsid w:val="00D24605"/>
    <w:rsid w:val="00D25FE2"/>
    <w:rsid w:val="00D327F7"/>
    <w:rsid w:val="00D35BDD"/>
    <w:rsid w:val="00D36689"/>
    <w:rsid w:val="00D43252"/>
    <w:rsid w:val="00D46231"/>
    <w:rsid w:val="00D625F6"/>
    <w:rsid w:val="00D71E33"/>
    <w:rsid w:val="00D729F2"/>
    <w:rsid w:val="00D753D8"/>
    <w:rsid w:val="00D803A9"/>
    <w:rsid w:val="00D83B2B"/>
    <w:rsid w:val="00D96CC5"/>
    <w:rsid w:val="00D978C6"/>
    <w:rsid w:val="00DA67AD"/>
    <w:rsid w:val="00DB2840"/>
    <w:rsid w:val="00DD2FF2"/>
    <w:rsid w:val="00DD62B9"/>
    <w:rsid w:val="00DD66D0"/>
    <w:rsid w:val="00DF18E3"/>
    <w:rsid w:val="00E103D0"/>
    <w:rsid w:val="00E130AB"/>
    <w:rsid w:val="00E1345B"/>
    <w:rsid w:val="00E1679E"/>
    <w:rsid w:val="00E207EC"/>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87E27"/>
    <w:rsid w:val="00F90E26"/>
    <w:rsid w:val="00F9331F"/>
    <w:rsid w:val="00FB7353"/>
    <w:rsid w:val="00FC4A05"/>
    <w:rsid w:val="00FC68B7"/>
    <w:rsid w:val="00FD6B2B"/>
    <w:rsid w:val="00FF03BB"/>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562E7C4"/>
  <w15:chartTrackingRefBased/>
  <w15:docId w15:val="{9C03CC7F-B03B-4056-8F36-BA6AF9AD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ece.org/fileadmin/DAM/trans/doc/2017/dgac10c3/UN-SCETDG-52-INF26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trans/doc/2018/dgac10c3/ST-SG-AC.10-C.3-2018-41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ece.org/fileadmin/DAM/trans/doc/2017/dgac10c3/UN-SCETDG-52-INF25e.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574B8F7C-AEDE-44F0-9C31-80072E09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44</TotalTime>
  <Pages>3</Pages>
  <Words>1074</Words>
  <Characters>6080</Characters>
  <Application>Microsoft Office Word</Application>
  <DocSecurity>0</DocSecurity>
  <Lines>119</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Laurence Berthet</cp:lastModifiedBy>
  <cp:revision>6</cp:revision>
  <cp:lastPrinted>2018-09-03T14:22:00Z</cp:lastPrinted>
  <dcterms:created xsi:type="dcterms:W3CDTF">2018-08-31T08:20:00Z</dcterms:created>
  <dcterms:modified xsi:type="dcterms:W3CDTF">2018-09-03T14:23:00Z</dcterms:modified>
</cp:coreProperties>
</file>